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146685</wp:posOffset>
            </wp:positionV>
            <wp:extent cx="264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107950</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25" w:lineRule="exact"/>
        <w:rPr>
          <w:sz w:val="24"/>
          <w:szCs w:val="24"/>
          <w:color w:val="auto"/>
        </w:rPr>
      </w:pPr>
    </w:p>
    <w:p>
      <w:pPr>
        <w:ind w:left="720" w:hanging="694"/>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2024</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4"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p>
      <w:pPr>
        <w:ind w:left="38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1-13087 (BXP,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0-50209 (Boston Properties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139065</wp:posOffset>
            </wp:positionV>
            <wp:extent cx="2640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BXP, INC.</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BOSTON PROPERTIES LIMITED PARTNERSHIP</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114935</wp:posOffset>
            </wp:positionV>
            <wp:extent cx="264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3280" w:type="dxa"/>
            <w:vAlign w:val="bottom"/>
          </w:tcPr>
          <w:p>
            <w:pPr>
              <w:jc w:val="center"/>
              <w:ind w:right="239"/>
              <w:spacing w:after="0"/>
              <w:rPr>
                <w:sz w:val="20"/>
                <w:szCs w:val="20"/>
                <w:color w:val="auto"/>
              </w:rPr>
            </w:pPr>
            <w:r>
              <w:rPr>
                <w:rFonts w:ascii="Arial" w:cs="Arial" w:eastAsia="Arial" w:hAnsi="Arial"/>
                <w:sz w:val="16"/>
                <w:szCs w:val="16"/>
                <w:b w:val="1"/>
                <w:bCs w:val="1"/>
                <w:color w:val="auto"/>
                <w:w w:val="97"/>
              </w:rPr>
              <w:t>BXP, Inc.</w:t>
            </w:r>
          </w:p>
        </w:tc>
        <w:tc>
          <w:tcPr>
            <w:tcW w:w="4620" w:type="dxa"/>
            <w:vAlign w:val="bottom"/>
          </w:tcPr>
          <w:p>
            <w:pPr>
              <w:jc w:val="center"/>
              <w:ind w:left="79"/>
              <w:spacing w:after="0"/>
              <w:rPr>
                <w:sz w:val="20"/>
                <w:szCs w:val="20"/>
                <w:color w:val="auto"/>
              </w:rPr>
            </w:pPr>
            <w:r>
              <w:rPr>
                <w:rFonts w:ascii="Arial" w:cs="Arial" w:eastAsia="Arial" w:hAnsi="Arial"/>
                <w:sz w:val="16"/>
                <w:szCs w:val="16"/>
                <w:b w:val="1"/>
                <w:bCs w:val="1"/>
                <w:color w:val="auto"/>
                <w:w w:val="99"/>
              </w:rPr>
              <w:t>Delaware</w:t>
            </w:r>
          </w:p>
        </w:tc>
        <w:tc>
          <w:tcPr>
            <w:tcW w:w="2960" w:type="dxa"/>
            <w:vAlign w:val="bottom"/>
          </w:tcPr>
          <w:p>
            <w:pPr>
              <w:jc w:val="center"/>
              <w:ind w:left="59"/>
              <w:spacing w:after="0"/>
              <w:rPr>
                <w:sz w:val="20"/>
                <w:szCs w:val="20"/>
                <w:color w:val="auto"/>
              </w:rPr>
            </w:pPr>
            <w:r>
              <w:rPr>
                <w:rFonts w:ascii="Arial" w:cs="Arial" w:eastAsia="Arial" w:hAnsi="Arial"/>
                <w:sz w:val="16"/>
                <w:szCs w:val="16"/>
                <w:b w:val="1"/>
                <w:bCs w:val="1"/>
                <w:color w:val="auto"/>
              </w:rPr>
              <w:t>04-2473675</w:t>
            </w:r>
          </w:p>
        </w:tc>
      </w:tr>
      <w:tr>
        <w:trPr>
          <w:trHeight w:val="215"/>
        </w:trPr>
        <w:tc>
          <w:tcPr>
            <w:tcW w:w="3280" w:type="dxa"/>
            <w:vAlign w:val="bottom"/>
          </w:tcPr>
          <w:p>
            <w:pPr>
              <w:spacing w:after="0"/>
              <w:rPr>
                <w:sz w:val="18"/>
                <w:szCs w:val="18"/>
                <w:color w:val="auto"/>
              </w:rPr>
            </w:pPr>
          </w:p>
        </w:tc>
        <w:tc>
          <w:tcPr>
            <w:tcW w:w="4620" w:type="dxa"/>
            <w:vAlign w:val="bottom"/>
          </w:tcPr>
          <w:p>
            <w:pPr>
              <w:jc w:val="center"/>
              <w:ind w:left="79"/>
              <w:spacing w:after="0"/>
              <w:rPr>
                <w:sz w:val="20"/>
                <w:szCs w:val="20"/>
                <w:color w:val="auto"/>
              </w:rPr>
            </w:pPr>
            <w:r>
              <w:rPr>
                <w:rFonts w:ascii="Arial" w:cs="Arial" w:eastAsia="Arial" w:hAnsi="Arial"/>
                <w:sz w:val="16"/>
                <w:szCs w:val="16"/>
                <w:color w:val="auto"/>
              </w:rPr>
              <w:t>(State or other jurisdiction of incorporation or organization)</w:t>
            </w:r>
          </w:p>
        </w:tc>
        <w:tc>
          <w:tcPr>
            <w:tcW w:w="2960" w:type="dxa"/>
            <w:vAlign w:val="bottom"/>
          </w:tcPr>
          <w:p>
            <w:pPr>
              <w:jc w:val="center"/>
              <w:ind w:left="59"/>
              <w:spacing w:after="0"/>
              <w:rPr>
                <w:sz w:val="20"/>
                <w:szCs w:val="20"/>
                <w:color w:val="auto"/>
              </w:rPr>
            </w:pPr>
            <w:r>
              <w:rPr>
                <w:rFonts w:ascii="Arial" w:cs="Arial" w:eastAsia="Arial" w:hAnsi="Arial"/>
                <w:sz w:val="16"/>
                <w:szCs w:val="16"/>
                <w:color w:val="auto"/>
              </w:rPr>
              <w:t>(I.R.S. Employer Identification Number)</w:t>
            </w:r>
          </w:p>
        </w:tc>
      </w:tr>
      <w:tr>
        <w:trPr>
          <w:trHeight w:val="312"/>
        </w:trPr>
        <w:tc>
          <w:tcPr>
            <w:tcW w:w="3280" w:type="dxa"/>
            <w:vAlign w:val="bottom"/>
          </w:tcPr>
          <w:p>
            <w:pPr>
              <w:jc w:val="center"/>
              <w:ind w:right="239"/>
              <w:spacing w:after="0"/>
              <w:rPr>
                <w:sz w:val="20"/>
                <w:szCs w:val="20"/>
                <w:color w:val="auto"/>
              </w:rPr>
            </w:pPr>
            <w:r>
              <w:rPr>
                <w:rFonts w:ascii="Arial" w:cs="Arial" w:eastAsia="Arial" w:hAnsi="Arial"/>
                <w:sz w:val="16"/>
                <w:szCs w:val="16"/>
                <w:b w:val="1"/>
                <w:bCs w:val="1"/>
                <w:color w:val="auto"/>
              </w:rPr>
              <w:t>Boston Properties Limited Partnership</w:t>
            </w:r>
          </w:p>
        </w:tc>
        <w:tc>
          <w:tcPr>
            <w:tcW w:w="4620" w:type="dxa"/>
            <w:vAlign w:val="bottom"/>
          </w:tcPr>
          <w:p>
            <w:pPr>
              <w:jc w:val="center"/>
              <w:ind w:left="79"/>
              <w:spacing w:after="0"/>
              <w:rPr>
                <w:sz w:val="20"/>
                <w:szCs w:val="20"/>
                <w:color w:val="auto"/>
              </w:rPr>
            </w:pPr>
            <w:r>
              <w:rPr>
                <w:rFonts w:ascii="Arial" w:cs="Arial" w:eastAsia="Arial" w:hAnsi="Arial"/>
                <w:sz w:val="16"/>
                <w:szCs w:val="16"/>
                <w:b w:val="1"/>
                <w:bCs w:val="1"/>
                <w:color w:val="auto"/>
                <w:w w:val="99"/>
              </w:rPr>
              <w:t>Delaware</w:t>
            </w:r>
          </w:p>
        </w:tc>
        <w:tc>
          <w:tcPr>
            <w:tcW w:w="2960" w:type="dxa"/>
            <w:vAlign w:val="bottom"/>
          </w:tcPr>
          <w:p>
            <w:pPr>
              <w:jc w:val="center"/>
              <w:ind w:left="59"/>
              <w:spacing w:after="0"/>
              <w:rPr>
                <w:sz w:val="20"/>
                <w:szCs w:val="20"/>
                <w:color w:val="auto"/>
              </w:rPr>
            </w:pPr>
            <w:r>
              <w:rPr>
                <w:rFonts w:ascii="Arial" w:cs="Arial" w:eastAsia="Arial" w:hAnsi="Arial"/>
                <w:sz w:val="16"/>
                <w:szCs w:val="16"/>
                <w:b w:val="1"/>
                <w:bCs w:val="1"/>
                <w:color w:val="auto"/>
              </w:rPr>
              <w:t>04-3372948</w:t>
            </w:r>
          </w:p>
        </w:tc>
      </w:tr>
      <w:tr>
        <w:trPr>
          <w:trHeight w:val="215"/>
        </w:trPr>
        <w:tc>
          <w:tcPr>
            <w:tcW w:w="3280" w:type="dxa"/>
            <w:vAlign w:val="bottom"/>
          </w:tcPr>
          <w:p>
            <w:pPr>
              <w:spacing w:after="0"/>
              <w:rPr>
                <w:sz w:val="18"/>
                <w:szCs w:val="18"/>
                <w:color w:val="auto"/>
              </w:rPr>
            </w:pPr>
          </w:p>
        </w:tc>
        <w:tc>
          <w:tcPr>
            <w:tcW w:w="4620" w:type="dxa"/>
            <w:vAlign w:val="bottom"/>
          </w:tcPr>
          <w:p>
            <w:pPr>
              <w:jc w:val="center"/>
              <w:ind w:left="79"/>
              <w:spacing w:after="0"/>
              <w:rPr>
                <w:sz w:val="20"/>
                <w:szCs w:val="20"/>
                <w:color w:val="auto"/>
              </w:rPr>
            </w:pPr>
            <w:r>
              <w:rPr>
                <w:rFonts w:ascii="Arial" w:cs="Arial" w:eastAsia="Arial" w:hAnsi="Arial"/>
                <w:sz w:val="16"/>
                <w:szCs w:val="16"/>
                <w:color w:val="auto"/>
              </w:rPr>
              <w:t>(State or other jurisdiction of incorporation or organization)</w:t>
            </w:r>
          </w:p>
        </w:tc>
        <w:tc>
          <w:tcPr>
            <w:tcW w:w="2960" w:type="dxa"/>
            <w:vAlign w:val="bottom"/>
          </w:tcPr>
          <w:p>
            <w:pPr>
              <w:jc w:val="center"/>
              <w:ind w:left="59"/>
              <w:spacing w:after="0"/>
              <w:rPr>
                <w:sz w:val="20"/>
                <w:szCs w:val="20"/>
                <w:color w:val="auto"/>
              </w:rPr>
            </w:pPr>
            <w:r>
              <w:rPr>
                <w:rFonts w:ascii="Arial" w:cs="Arial" w:eastAsia="Arial" w:hAnsi="Arial"/>
                <w:sz w:val="16"/>
                <w:szCs w:val="16"/>
                <w:color w:val="auto"/>
              </w:rPr>
              <w:t>(I.R.S. Employer Identification Number)</w:t>
            </w:r>
          </w:p>
        </w:tc>
      </w:tr>
    </w:tbl>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Prudential Center, 800 Boylston Street, Suite 1900, Boston, Massachusetts 02199-8103</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(617) 236-3300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117475</wp:posOffset>
            </wp:positionV>
            <wp:extent cx="2640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4"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27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Registrant</w:t>
            </w:r>
          </w:p>
        </w:tc>
        <w:tc>
          <w:tcPr>
            <w:tcW w:w="28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Title of each class</w:t>
            </w:r>
          </w:p>
        </w:tc>
        <w:tc>
          <w:tcPr>
            <w:tcW w:w="27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9"/>
              </w:rPr>
              <w:t>Trading Symbol(s)</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rPr>
              <w:t>Name of each</w:t>
            </w:r>
          </w:p>
        </w:tc>
        <w:tc>
          <w:tcPr>
            <w:tcW w:w="0" w:type="dxa"/>
            <w:vAlign w:val="bottom"/>
          </w:tcPr>
          <w:p>
            <w:pPr>
              <w:spacing w:after="0"/>
              <w:rPr>
                <w:sz w:val="1"/>
                <w:szCs w:val="1"/>
                <w:color w:val="auto"/>
              </w:rPr>
            </w:pPr>
          </w:p>
        </w:tc>
      </w:tr>
      <w:tr>
        <w:trPr>
          <w:trHeight w:val="216"/>
        </w:trPr>
        <w:tc>
          <w:tcPr>
            <w:tcW w:w="2780" w:type="dxa"/>
            <w:vAlign w:val="bottom"/>
            <w:gridSpan w:val="2"/>
            <w:vMerge w:val="continue"/>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rPr>
              <w:t>exchange on which registered</w:t>
            </w:r>
          </w:p>
        </w:tc>
        <w:tc>
          <w:tcPr>
            <w:tcW w:w="0" w:type="dxa"/>
            <w:vAlign w:val="bottom"/>
          </w:tcPr>
          <w:p>
            <w:pPr>
              <w:spacing w:after="0"/>
              <w:rPr>
                <w:sz w:val="1"/>
                <w:szCs w:val="1"/>
                <w:color w:val="auto"/>
              </w:rPr>
            </w:pPr>
          </w:p>
        </w:tc>
      </w:tr>
      <w:tr>
        <w:trPr>
          <w:trHeight w:val="156"/>
        </w:trPr>
        <w:tc>
          <w:tcPr>
            <w:tcW w:w="2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w w:val="95"/>
              </w:rPr>
              <w:t>BXP, Inc.</w:t>
            </w:r>
          </w:p>
        </w:tc>
        <w:tc>
          <w:tcPr>
            <w:tcW w:w="160" w:type="dxa"/>
            <w:vAlign w:val="bottom"/>
          </w:tcPr>
          <w:p>
            <w:pPr>
              <w:spacing w:after="0"/>
              <w:rPr>
                <w:sz w:val="13"/>
                <w:szCs w:val="13"/>
                <w:color w:val="auto"/>
              </w:rPr>
            </w:pPr>
          </w:p>
        </w:tc>
        <w:tc>
          <w:tcPr>
            <w:tcW w:w="2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Common Stock, par value $0.01 per</w:t>
            </w:r>
          </w:p>
        </w:tc>
        <w:tc>
          <w:tcPr>
            <w:tcW w:w="180" w:type="dxa"/>
            <w:vAlign w:val="bottom"/>
          </w:tcPr>
          <w:p>
            <w:pPr>
              <w:spacing w:after="0"/>
              <w:rPr>
                <w:sz w:val="13"/>
                <w:szCs w:val="13"/>
                <w:color w:val="auto"/>
              </w:rPr>
            </w:pPr>
          </w:p>
        </w:tc>
        <w:tc>
          <w:tcPr>
            <w:tcW w:w="2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w w:val="99"/>
              </w:rPr>
              <w:t>BXP</w:t>
            </w:r>
          </w:p>
        </w:tc>
        <w:tc>
          <w:tcPr>
            <w:tcW w:w="160" w:type="dxa"/>
            <w:vAlign w:val="bottom"/>
          </w:tcPr>
          <w:p>
            <w:pPr>
              <w:spacing w:after="0"/>
              <w:rPr>
                <w:sz w:val="13"/>
                <w:szCs w:val="13"/>
                <w:color w:val="auto"/>
              </w:rPr>
            </w:pPr>
          </w:p>
        </w:tc>
        <w:tc>
          <w:tcPr>
            <w:tcW w:w="2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share</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7" w:lineRule="exact"/>
        <w:rPr>
          <w:sz w:val="24"/>
          <w:szCs w:val="24"/>
          <w:color w:val="auto"/>
        </w:rPr>
      </w:pPr>
    </w:p>
    <w:p>
      <w:pPr>
        <w:ind w:firstLine="445"/>
        <w:spacing w:after="0" w:line="27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 w:lineRule="exact"/>
        <w:rPr>
          <w:sz w:val="24"/>
          <w:szCs w:val="24"/>
          <w:color w:val="auto"/>
        </w:rPr>
      </w:pPr>
    </w:p>
    <w:p>
      <w:pPr>
        <w:ind w:left="420"/>
        <w:spacing w:after="0" w:line="196" w:lineRule="exact"/>
        <w:tabs>
          <w:tab w:leader="none" w:pos="1260" w:val="left"/>
          <w:tab w:leader="none" w:pos="1940" w:val="left"/>
          <w:tab w:leader="none" w:pos="2800" w:val="left"/>
          <w:tab w:leader="none" w:pos="5740" w:val="left"/>
          <w:tab w:leader="none" w:pos="6460" w:val="left"/>
        </w:tabs>
        <w:rPr>
          <w:sz w:val="20"/>
          <w:szCs w:val="20"/>
          <w:color w:val="auto"/>
        </w:rPr>
      </w:pPr>
      <w:r>
        <w:rPr>
          <w:rFonts w:ascii="Arial" w:cs="Arial" w:eastAsia="Arial" w:hAnsi="Arial"/>
          <w:sz w:val="16"/>
          <w:szCs w:val="16"/>
          <w:color w:val="auto"/>
        </w:rPr>
        <w:t>BXP, Inc.:</w:t>
        <w:tab/>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 w:firstLine="445"/>
        <w:spacing w:after="0" w:line="28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 w:lineRule="exact"/>
        <w:rPr>
          <w:sz w:val="20"/>
          <w:szCs w:val="20"/>
          <w:color w:val="auto"/>
        </w:rPr>
      </w:pPr>
    </w:p>
    <w:p>
      <w:pPr>
        <w:ind w:left="420"/>
        <w:spacing w:after="0" w:line="196" w:lineRule="exact"/>
        <w:tabs>
          <w:tab w:leader="none" w:pos="1260" w:val="left"/>
          <w:tab w:leader="none" w:pos="1980" w:val="left"/>
          <w:tab w:leader="none" w:pos="2840" w:val="left"/>
          <w:tab w:leader="none" w:pos="5800" w:val="left"/>
          <w:tab w:leader="none" w:pos="6500" w:val="left"/>
        </w:tabs>
        <w:rPr>
          <w:sz w:val="20"/>
          <w:szCs w:val="20"/>
          <w:color w:val="auto"/>
        </w:rPr>
      </w:pPr>
      <w:r>
        <w:rPr>
          <w:rFonts w:ascii="Arial" w:cs="Arial" w:eastAsia="Arial" w:hAnsi="Arial"/>
          <w:sz w:val="16"/>
          <w:szCs w:val="16"/>
          <w:color w:val="auto"/>
        </w:rPr>
        <w:t>BXP, Inc.:</w:t>
        <w:tab/>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227" w:lineRule="exact"/>
        <w:rPr>
          <w:sz w:val="20"/>
          <w:szCs w:val="20"/>
          <w:color w:val="auto"/>
        </w:rPr>
      </w:pPr>
    </w:p>
    <w:p>
      <w:pPr>
        <w:ind w:right="180" w:firstLine="445"/>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Arial" w:cs="Arial" w:eastAsia="Arial" w:hAnsi="Arial"/>
                <w:sz w:val="16"/>
                <w:szCs w:val="16"/>
                <w:color w:val="auto"/>
              </w:rPr>
              <w:t>BXP, Inc.:</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740" w:type="dxa"/>
            <w:vAlign w:val="bottom"/>
          </w:tcPr>
          <w:p>
            <w:pPr>
              <w:spacing w:after="0"/>
              <w:rPr>
                <w:sz w:val="17"/>
                <w:szCs w:val="17"/>
                <w:color w:val="auto"/>
              </w:rPr>
            </w:pPr>
          </w:p>
        </w:tc>
        <w:tc>
          <w:tcPr>
            <w:tcW w:w="4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Pr>
          <w:p>
            <w:pPr>
              <w:spacing w:after="0"/>
              <w:rPr>
                <w:sz w:val="17"/>
                <w:szCs w:val="17"/>
                <w:color w:val="auto"/>
              </w:rPr>
            </w:pPr>
          </w:p>
        </w:tc>
        <w:tc>
          <w:tcPr>
            <w:tcW w:w="4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640" w:type="dxa"/>
            <w:vAlign w:val="bottom"/>
          </w:tcPr>
          <w:p>
            <w:pPr>
              <w:spacing w:after="0" w:line="163" w:lineRule="exact"/>
              <w:rPr>
                <w:sz w:val="20"/>
                <w:szCs w:val="20"/>
                <w:color w:val="auto"/>
              </w:rPr>
            </w:pPr>
            <w:r>
              <w:rPr>
                <w:rFonts w:ascii="Arial" w:cs="Arial" w:eastAsia="Arial" w:hAnsi="Arial"/>
                <w:sz w:val="16"/>
                <w:szCs w:val="16"/>
                <w:color w:val="auto"/>
              </w:rPr>
              <w:t>Large accelerated filer</w:t>
            </w:r>
          </w:p>
        </w:tc>
        <w:tc>
          <w:tcPr>
            <w:tcW w:w="400" w:type="dxa"/>
            <w:vAlign w:val="bottom"/>
          </w:tcPr>
          <w:p>
            <w:pPr>
              <w:ind w:left="40"/>
              <w:spacing w:after="0" w:line="163" w:lineRule="exact"/>
              <w:rPr>
                <w:sz w:val="20"/>
                <w:szCs w:val="20"/>
                <w:color w:val="auto"/>
              </w:rPr>
            </w:pPr>
            <w:r>
              <w:rPr>
                <w:rFonts w:ascii="Wingdings" w:cs="Wingdings" w:eastAsia="Wingdings" w:hAnsi="Wingdings"/>
                <w:sz w:val="16"/>
                <w:szCs w:val="16"/>
                <w:b w:val="1"/>
                <w:bCs w:val="1"/>
                <w:color w:val="auto"/>
              </w:rPr>
              <w:t>x</w:t>
            </w:r>
          </w:p>
        </w:tc>
        <w:tc>
          <w:tcPr>
            <w:tcW w:w="1400" w:type="dxa"/>
            <w:vAlign w:val="bottom"/>
          </w:tcPr>
          <w:p>
            <w:pPr>
              <w:ind w:left="220"/>
              <w:spacing w:after="0" w:line="163" w:lineRule="exact"/>
              <w:rPr>
                <w:sz w:val="20"/>
                <w:szCs w:val="20"/>
                <w:color w:val="auto"/>
              </w:rPr>
            </w:pPr>
            <w:r>
              <w:rPr>
                <w:rFonts w:ascii="Arial" w:cs="Arial" w:eastAsia="Arial" w:hAnsi="Arial"/>
                <w:sz w:val="16"/>
                <w:szCs w:val="16"/>
                <w:color w:val="auto"/>
              </w:rPr>
              <w:t>Accelerated filer</w:t>
            </w:r>
          </w:p>
        </w:tc>
        <w:tc>
          <w:tcPr>
            <w:tcW w:w="420" w:type="dxa"/>
            <w:vAlign w:val="bottom"/>
            <w:vMerge w:val="continue"/>
          </w:tcPr>
          <w:p>
            <w:pPr>
              <w:spacing w:after="0"/>
              <w:rPr>
                <w:sz w:val="14"/>
                <w:szCs w:val="14"/>
                <w:color w:val="auto"/>
              </w:rPr>
            </w:pPr>
          </w:p>
        </w:tc>
        <w:tc>
          <w:tcPr>
            <w:tcW w:w="1740" w:type="dxa"/>
            <w:vAlign w:val="bottom"/>
          </w:tcPr>
          <w:p>
            <w:pPr>
              <w:ind w:left="220"/>
              <w:spacing w:after="0" w:line="163" w:lineRule="exact"/>
              <w:rPr>
                <w:sz w:val="20"/>
                <w:szCs w:val="20"/>
                <w:color w:val="auto"/>
              </w:rPr>
            </w:pPr>
            <w:r>
              <w:rPr>
                <w:rFonts w:ascii="Arial" w:cs="Arial" w:eastAsia="Arial" w:hAnsi="Arial"/>
                <w:sz w:val="16"/>
                <w:szCs w:val="16"/>
                <w:color w:val="auto"/>
              </w:rPr>
              <w:t>Non-accelerated filer</w:t>
            </w:r>
          </w:p>
        </w:tc>
        <w:tc>
          <w:tcPr>
            <w:tcW w:w="420" w:type="dxa"/>
            <w:vAlign w:val="bottom"/>
            <w:vMerge w:val="continue"/>
          </w:tcPr>
          <w:p>
            <w:pPr>
              <w:spacing w:after="0"/>
              <w:rPr>
                <w:sz w:val="14"/>
                <w:szCs w:val="14"/>
                <w:color w:val="auto"/>
              </w:rPr>
            </w:pPr>
          </w:p>
        </w:tc>
        <w:tc>
          <w:tcPr>
            <w:tcW w:w="2220" w:type="dxa"/>
            <w:vAlign w:val="bottom"/>
          </w:tcPr>
          <w:p>
            <w:pPr>
              <w:ind w:left="200"/>
              <w:spacing w:after="0" w:line="163" w:lineRule="exact"/>
              <w:rPr>
                <w:sz w:val="20"/>
                <w:szCs w:val="20"/>
                <w:color w:val="auto"/>
              </w:rPr>
            </w:pPr>
            <w:r>
              <w:rPr>
                <w:rFonts w:ascii="Arial" w:cs="Arial" w:eastAsia="Arial" w:hAnsi="Arial"/>
                <w:sz w:val="16"/>
                <w:szCs w:val="16"/>
                <w:color w:val="auto"/>
              </w:rPr>
              <w:t>Smaller reporting company</w:t>
            </w:r>
          </w:p>
        </w:tc>
        <w:tc>
          <w:tcPr>
            <w:tcW w:w="400" w:type="dxa"/>
            <w:vAlign w:val="bottom"/>
            <w:vMerge w:val="continue"/>
          </w:tcPr>
          <w:p>
            <w:pPr>
              <w:spacing w:after="0"/>
              <w:rPr>
                <w:sz w:val="14"/>
                <w:szCs w:val="14"/>
                <w:color w:val="auto"/>
              </w:rPr>
            </w:pPr>
          </w:p>
        </w:tc>
        <w:tc>
          <w:tcPr>
            <w:tcW w:w="1560" w:type="dxa"/>
            <w:vAlign w:val="bottom"/>
          </w:tcPr>
          <w:p>
            <w:pPr>
              <w:ind w:left="180"/>
              <w:spacing w:after="0" w:line="163" w:lineRule="exact"/>
              <w:rPr>
                <w:sz w:val="20"/>
                <w:szCs w:val="20"/>
                <w:color w:val="auto"/>
              </w:rPr>
            </w:pPr>
            <w:r>
              <w:rPr>
                <w:rFonts w:ascii="Arial" w:cs="Arial" w:eastAsia="Arial" w:hAnsi="Arial"/>
                <w:sz w:val="16"/>
                <w:szCs w:val="16"/>
                <w:color w:val="auto"/>
              </w:rPr>
              <w:t>Emerging growth</w:t>
            </w:r>
          </w:p>
        </w:tc>
        <w:tc>
          <w:tcPr>
            <w:tcW w:w="0" w:type="dxa"/>
            <w:vAlign w:val="bottom"/>
          </w:tcPr>
          <w:p>
            <w:pPr>
              <w:spacing w:after="0"/>
              <w:rPr>
                <w:sz w:val="1"/>
                <w:szCs w:val="1"/>
                <w:color w:val="auto"/>
              </w:rPr>
            </w:pPr>
          </w:p>
        </w:tc>
      </w:tr>
      <w:tr>
        <w:trPr>
          <w:trHeight w:val="303"/>
        </w:trPr>
        <w:tc>
          <w:tcPr>
            <w:tcW w:w="1640" w:type="dxa"/>
            <w:vAlign w:val="bottom"/>
          </w:tcPr>
          <w:p>
            <w:pPr>
              <w:spacing w:after="0" w:line="196"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7"/>
                <w:szCs w:val="17"/>
                <w:color w:val="auto"/>
              </w:rPr>
              <w:t>☐</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3440" w:type="dxa"/>
            <w:vAlign w:val="bottom"/>
            <w:gridSpan w:val="3"/>
          </w:tcPr>
          <w:p>
            <w:pPr>
              <w:spacing w:after="0"/>
              <w:rPr>
                <w:sz w:val="20"/>
                <w:szCs w:val="20"/>
                <w:color w:val="auto"/>
              </w:rPr>
            </w:pPr>
            <w:r>
              <w:rPr>
                <w:rFonts w:ascii="Arial" w:cs="Arial" w:eastAsia="Arial" w:hAnsi="Arial"/>
                <w:sz w:val="16"/>
                <w:szCs w:val="16"/>
                <w:color w:val="auto"/>
              </w:rPr>
              <w:t>Boston Properties Limited Partnership:</w:t>
            </w:r>
          </w:p>
        </w:tc>
        <w:tc>
          <w:tcPr>
            <w:tcW w:w="42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0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1400" w:type="dxa"/>
            <w:vAlign w:val="bottom"/>
          </w:tcPr>
          <w:p>
            <w:pPr>
              <w:ind w:left="200"/>
              <w:spacing w:after="0"/>
              <w:rPr>
                <w:sz w:val="20"/>
                <w:szCs w:val="20"/>
                <w:color w:val="auto"/>
              </w:rPr>
            </w:pPr>
            <w:r>
              <w:rPr>
                <w:rFonts w:ascii="Arial" w:cs="Arial" w:eastAsia="Arial" w:hAnsi="Arial"/>
                <w:sz w:val="16"/>
                <w:szCs w:val="16"/>
                <w:color w:val="auto"/>
              </w:rPr>
              <w:t>Accelerated filer</w:t>
            </w:r>
          </w:p>
        </w:tc>
        <w:tc>
          <w:tcPr>
            <w:tcW w:w="420" w:type="dxa"/>
            <w:vAlign w:val="bottom"/>
            <w:vMerge w:val="continue"/>
          </w:tcPr>
          <w:p>
            <w:pPr>
              <w:spacing w:after="0"/>
              <w:rPr>
                <w:sz w:val="17"/>
                <w:szCs w:val="17"/>
                <w:color w:val="auto"/>
              </w:rPr>
            </w:pPr>
          </w:p>
        </w:tc>
        <w:tc>
          <w:tcPr>
            <w:tcW w:w="1740" w:type="dxa"/>
            <w:vAlign w:val="bottom"/>
          </w:tcPr>
          <w:p>
            <w:pPr>
              <w:ind w:left="180"/>
              <w:spacing w:after="0"/>
              <w:rPr>
                <w:sz w:val="20"/>
                <w:szCs w:val="20"/>
                <w:color w:val="auto"/>
              </w:rPr>
            </w:pPr>
            <w:r>
              <w:rPr>
                <w:rFonts w:ascii="Arial" w:cs="Arial" w:eastAsia="Arial" w:hAnsi="Arial"/>
                <w:sz w:val="16"/>
                <w:szCs w:val="16"/>
                <w:color w:val="auto"/>
              </w:rPr>
              <w:t>Non-accelerated filer</w:t>
            </w:r>
          </w:p>
        </w:tc>
        <w:tc>
          <w:tcPr>
            <w:tcW w:w="420" w:type="dxa"/>
            <w:vAlign w:val="bottom"/>
          </w:tcPr>
          <w:p>
            <w:pPr>
              <w:ind w:left="20"/>
              <w:spacing w:after="0"/>
              <w:rPr>
                <w:sz w:val="20"/>
                <w:szCs w:val="20"/>
                <w:color w:val="auto"/>
              </w:rPr>
            </w:pPr>
            <w:r>
              <w:rPr>
                <w:rFonts w:ascii="Wingdings" w:cs="Wingdings" w:eastAsia="Wingdings" w:hAnsi="Wingdings"/>
                <w:sz w:val="16"/>
                <w:szCs w:val="16"/>
                <w:b w:val="1"/>
                <w:bCs w:val="1"/>
                <w:color w:val="auto"/>
              </w:rPr>
              <w:t>x</w:t>
            </w:r>
          </w:p>
        </w:tc>
        <w:tc>
          <w:tcPr>
            <w:tcW w:w="2220" w:type="dxa"/>
            <w:vAlign w:val="bottom"/>
          </w:tcPr>
          <w:p>
            <w:pPr>
              <w:ind w:left="260"/>
              <w:spacing w:after="0"/>
              <w:rPr>
                <w:sz w:val="20"/>
                <w:szCs w:val="20"/>
                <w:color w:val="auto"/>
              </w:rPr>
            </w:pPr>
            <w:r>
              <w:rPr>
                <w:rFonts w:ascii="Arial" w:cs="Arial" w:eastAsia="Arial" w:hAnsi="Arial"/>
                <w:sz w:val="16"/>
                <w:szCs w:val="16"/>
                <w:color w:val="auto"/>
              </w:rPr>
              <w:t>Smaller reporting company</w:t>
            </w:r>
          </w:p>
        </w:tc>
        <w:tc>
          <w:tcPr>
            <w:tcW w:w="400" w:type="dxa"/>
            <w:vAlign w:val="bottom"/>
            <w:vMerge w:val="continue"/>
          </w:tcPr>
          <w:p>
            <w:pPr>
              <w:spacing w:after="0"/>
              <w:rPr>
                <w:sz w:val="17"/>
                <w:szCs w:val="17"/>
                <w:color w:val="auto"/>
              </w:rPr>
            </w:pPr>
          </w:p>
        </w:tc>
        <w:tc>
          <w:tcPr>
            <w:tcW w:w="1560" w:type="dxa"/>
            <w:vAlign w:val="bottom"/>
          </w:tcPr>
          <w:p>
            <w:pPr>
              <w:ind w:left="340"/>
              <w:spacing w:after="0"/>
              <w:rPr>
                <w:sz w:val="20"/>
                <w:szCs w:val="20"/>
                <w:color w:val="auto"/>
              </w:rPr>
            </w:pPr>
            <w:r>
              <w:rPr>
                <w:rFonts w:ascii="Arial" w:cs="Arial" w:eastAsia="Arial" w:hAnsi="Arial"/>
                <w:sz w:val="16"/>
                <w:szCs w:val="16"/>
                <w:color w:val="auto"/>
                <w:w w:val="99"/>
              </w:rPr>
              <w:t>Emerging growth</w:t>
            </w:r>
          </w:p>
        </w:tc>
        <w:tc>
          <w:tcPr>
            <w:tcW w:w="0" w:type="dxa"/>
            <w:vAlign w:val="bottom"/>
          </w:tcPr>
          <w:p>
            <w:pPr>
              <w:spacing w:after="0"/>
              <w:rPr>
                <w:sz w:val="1"/>
                <w:szCs w:val="1"/>
                <w:color w:val="auto"/>
              </w:rPr>
            </w:pPr>
          </w:p>
        </w:tc>
      </w:tr>
      <w:tr>
        <w:trPr>
          <w:trHeight w:val="303"/>
        </w:trPr>
        <w:tc>
          <w:tcPr>
            <w:tcW w:w="1640" w:type="dxa"/>
            <w:vAlign w:val="bottom"/>
          </w:tcPr>
          <w:p>
            <w:pPr>
              <w:spacing w:after="0" w:line="196"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7"/>
                <w:szCs w:val="17"/>
                <w:color w:val="auto"/>
              </w:rPr>
              <w:t>☐</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right="260" w:firstLine="405"/>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5" w:lineRule="exact"/>
        <w:rPr>
          <w:sz w:val="20"/>
          <w:szCs w:val="20"/>
          <w:color w:val="auto"/>
        </w:rPr>
      </w:pPr>
    </w:p>
    <w:p>
      <w:pPr>
        <w:ind w:left="460"/>
        <w:spacing w:after="0" w:line="184" w:lineRule="exact"/>
        <w:tabs>
          <w:tab w:leader="none" w:pos="2040" w:val="left"/>
        </w:tabs>
        <w:rPr>
          <w:sz w:val="20"/>
          <w:szCs w:val="20"/>
          <w:color w:val="auto"/>
        </w:rPr>
      </w:pPr>
      <w:r>
        <w:rPr>
          <w:rFonts w:ascii="Arial" w:cs="Arial" w:eastAsia="Arial" w:hAnsi="Arial"/>
          <w:sz w:val="16"/>
          <w:szCs w:val="16"/>
          <w:color w:val="auto"/>
        </w:rPr>
        <w:t xml:space="preserve">BXP, Inc.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Boston Properties Limited Partnership </w:t>
      </w:r>
      <w:r>
        <w:rPr>
          <w:rFonts w:ascii="MS PGothic" w:cs="MS PGothic" w:eastAsia="MS PGothic" w:hAnsi="MS PGothic"/>
          <w:sz w:val="16"/>
          <w:szCs w:val="16"/>
          <w:color w:val="auto"/>
        </w:rPr>
        <w:t>☐</w:t>
      </w:r>
    </w:p>
    <w:p>
      <w:pPr>
        <w:spacing w:after="0" w:line="2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7" w:lineRule="exact"/>
        <w:rPr>
          <w:sz w:val="20"/>
          <w:szCs w:val="20"/>
          <w:color w:val="auto"/>
        </w:rPr>
      </w:pPr>
    </w:p>
    <w:p>
      <w:pPr>
        <w:ind w:left="420"/>
        <w:spacing w:after="0" w:line="184" w:lineRule="exact"/>
        <w:tabs>
          <w:tab w:leader="none" w:pos="1260" w:val="left"/>
          <w:tab w:leader="none" w:pos="1960" w:val="left"/>
          <w:tab w:leader="none" w:pos="2780" w:val="left"/>
          <w:tab w:leader="none" w:pos="5740" w:val="left"/>
          <w:tab w:leader="none" w:pos="6420" w:val="left"/>
        </w:tabs>
        <w:rPr>
          <w:sz w:val="20"/>
          <w:szCs w:val="20"/>
          <w:color w:val="auto"/>
        </w:rPr>
      </w:pPr>
      <w:r>
        <w:rPr>
          <w:rFonts w:ascii="Arial" w:cs="Arial" w:eastAsia="Arial" w:hAnsi="Arial"/>
          <w:sz w:val="16"/>
          <w:szCs w:val="16"/>
          <w:color w:val="auto"/>
        </w:rPr>
        <w:t>BXP, Inc.:</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Wingdings" w:cs="Wingdings" w:eastAsia="Wingdings" w:hAnsi="Wingdings"/>
          <w:sz w:val="16"/>
          <w:szCs w:val="16"/>
          <w:b w:val="1"/>
          <w:bCs w:val="1"/>
          <w:color w:val="auto"/>
        </w:rPr>
        <w:t>x</w:t>
      </w:r>
      <w:r>
        <w:rPr>
          <w:sz w:val="20"/>
          <w:szCs w:val="20"/>
          <w:color w:val="auto"/>
        </w:rPr>
        <w:tab/>
      </w:r>
      <w:r>
        <w:rPr>
          <w:rFonts w:ascii="Arial" w:cs="Arial" w:eastAsia="Arial" w:hAnsi="Arial"/>
          <w:sz w:val="16"/>
          <w:szCs w:val="16"/>
          <w:color w:val="auto"/>
        </w:rPr>
        <w:t>Boston Properties Limited Partnership:</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Wingdings" w:cs="Wingdings" w:eastAsia="Wingdings" w:hAnsi="Wingdings"/>
          <w:sz w:val="16"/>
          <w:szCs w:val="16"/>
          <w:b w:val="1"/>
          <w:bCs w:val="1"/>
          <w:color w:val="auto"/>
        </w:rPr>
        <w:t>x</w:t>
      </w:r>
    </w:p>
    <w:p>
      <w:pPr>
        <w:spacing w:after="0" w:line="2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jc w:val="center"/>
              <w:ind w:left="859"/>
              <w:spacing w:after="0"/>
              <w:rPr>
                <w:sz w:val="20"/>
                <w:szCs w:val="20"/>
                <w:color w:val="auto"/>
              </w:rPr>
            </w:pPr>
            <w:r>
              <w:rPr>
                <w:rFonts w:ascii="Arial" w:cs="Arial" w:eastAsia="Arial" w:hAnsi="Arial"/>
                <w:sz w:val="16"/>
                <w:szCs w:val="16"/>
                <w:b w:val="1"/>
                <w:bCs w:val="1"/>
                <w:color w:val="auto"/>
                <w:w w:val="97"/>
              </w:rPr>
              <w:t>BXP, Inc.</w:t>
            </w:r>
          </w:p>
        </w:tc>
        <w:tc>
          <w:tcPr>
            <w:tcW w:w="4280" w:type="dxa"/>
            <w:vAlign w:val="bottom"/>
          </w:tcPr>
          <w:p>
            <w:pPr>
              <w:jc w:val="center"/>
              <w:ind w:left="99"/>
              <w:spacing w:after="0"/>
              <w:rPr>
                <w:sz w:val="20"/>
                <w:szCs w:val="20"/>
                <w:color w:val="auto"/>
              </w:rPr>
            </w:pPr>
            <w:r>
              <w:rPr>
                <w:rFonts w:ascii="Arial" w:cs="Arial" w:eastAsia="Arial" w:hAnsi="Arial"/>
                <w:sz w:val="16"/>
                <w:szCs w:val="16"/>
                <w:b w:val="1"/>
                <w:bCs w:val="1"/>
                <w:color w:val="auto"/>
              </w:rPr>
              <w:t>Common Stock, par value $0.01 per share</w:t>
            </w:r>
          </w:p>
        </w:tc>
        <w:tc>
          <w:tcPr>
            <w:tcW w:w="3820" w:type="dxa"/>
            <w:vAlign w:val="bottom"/>
          </w:tcPr>
          <w:p>
            <w:pPr>
              <w:jc w:val="right"/>
              <w:ind w:right="1539"/>
              <w:spacing w:after="0"/>
              <w:rPr>
                <w:sz w:val="20"/>
                <w:szCs w:val="20"/>
                <w:color w:val="auto"/>
              </w:rPr>
            </w:pPr>
            <w:r>
              <w:rPr>
                <w:rFonts w:ascii="Arial" w:cs="Arial" w:eastAsia="Arial" w:hAnsi="Arial"/>
                <w:sz w:val="16"/>
                <w:szCs w:val="16"/>
                <w:b w:val="1"/>
                <w:bCs w:val="1"/>
                <w:color w:val="auto"/>
              </w:rPr>
              <w:t>158,110,697</w:t>
            </w:r>
          </w:p>
        </w:tc>
      </w:tr>
      <w:tr>
        <w:trPr>
          <w:trHeight w:val="223"/>
        </w:trPr>
        <w:tc>
          <w:tcPr>
            <w:tcW w:w="3140" w:type="dxa"/>
            <w:vAlign w:val="bottom"/>
          </w:tcPr>
          <w:p>
            <w:pPr>
              <w:jc w:val="center"/>
              <w:ind w:left="879"/>
              <w:spacing w:after="0"/>
              <w:rPr>
                <w:sz w:val="20"/>
                <w:szCs w:val="20"/>
                <w:color w:val="auto"/>
              </w:rPr>
            </w:pPr>
            <w:r>
              <w:rPr>
                <w:rFonts w:ascii="Arial" w:cs="Arial" w:eastAsia="Arial" w:hAnsi="Arial"/>
                <w:sz w:val="16"/>
                <w:szCs w:val="16"/>
                <w:b w:val="1"/>
                <w:bCs w:val="1"/>
                <w:color w:val="auto"/>
              </w:rPr>
              <w:t>(Registrant)</w:t>
            </w:r>
          </w:p>
        </w:tc>
        <w:tc>
          <w:tcPr>
            <w:tcW w:w="4280" w:type="dxa"/>
            <w:vAlign w:val="bottom"/>
          </w:tcPr>
          <w:p>
            <w:pPr>
              <w:jc w:val="center"/>
              <w:ind w:left="99"/>
              <w:spacing w:after="0"/>
              <w:rPr>
                <w:sz w:val="20"/>
                <w:szCs w:val="20"/>
                <w:color w:val="auto"/>
              </w:rPr>
            </w:pPr>
            <w:r>
              <w:rPr>
                <w:rFonts w:ascii="Arial" w:cs="Arial" w:eastAsia="Arial" w:hAnsi="Arial"/>
                <w:sz w:val="16"/>
                <w:szCs w:val="16"/>
                <w:b w:val="1"/>
                <w:bCs w:val="1"/>
                <w:color w:val="auto"/>
              </w:rPr>
              <w:t>(Class)</w:t>
            </w:r>
          </w:p>
        </w:tc>
        <w:tc>
          <w:tcPr>
            <w:tcW w:w="3820" w:type="dxa"/>
            <w:vAlign w:val="bottom"/>
          </w:tcPr>
          <w:p>
            <w:pPr>
              <w:jc w:val="center"/>
              <w:ind w:right="219"/>
              <w:spacing w:after="0"/>
              <w:rPr>
                <w:sz w:val="20"/>
                <w:szCs w:val="20"/>
                <w:color w:val="auto"/>
              </w:rPr>
            </w:pPr>
            <w:r>
              <w:rPr>
                <w:rFonts w:ascii="Arial" w:cs="Arial" w:eastAsia="Arial" w:hAnsi="Arial"/>
                <w:sz w:val="16"/>
                <w:szCs w:val="16"/>
                <w:b w:val="1"/>
                <w:bCs w:val="1"/>
                <w:color w:val="auto"/>
              </w:rPr>
              <w:t>(Outstanding on October 31, 2024)</w:t>
            </w:r>
          </w:p>
        </w:tc>
      </w:tr>
      <w:tr>
        <w:trPr>
          <w:trHeight w:val="156"/>
        </w:trPr>
        <w:tc>
          <w:tcPr>
            <w:tcW w:w="3140" w:type="dxa"/>
            <w:vAlign w:val="bottom"/>
            <w:tcBorders>
              <w:bottom w:val="single" w:sz="8" w:color="auto"/>
            </w:tcBorders>
          </w:tcPr>
          <w:p>
            <w:pPr>
              <w:spacing w:after="0"/>
              <w:rPr>
                <w:sz w:val="13"/>
                <w:szCs w:val="13"/>
                <w:color w:val="auto"/>
              </w:rPr>
            </w:pPr>
          </w:p>
        </w:tc>
        <w:tc>
          <w:tcPr>
            <w:tcW w:w="428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r>
      <w:tr>
        <w:trPr>
          <w:trHeight w:val="34"/>
        </w:trPr>
        <w:tc>
          <w:tcPr>
            <w:tcW w:w="31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851"/>
        </w:trPr>
        <w:tc>
          <w:tcPr>
            <w:tcW w:w="31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79"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This report combines the Quarterly Reports on Form 10-Q for the period ended September 30, 2024 of BXP, Inc. and Boston Properties Limited Partnership. Unless stated otherwise or the context otherwise requires, references to “BXP” mean BXP, Inc. (formerly known as Boston Properties, Inc.), a Delaware corporation and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refer collectively to BXP, BPLP and those subsidiaries consolidated by BXP.</w:t>
      </w:r>
    </w:p>
    <w:p>
      <w:pPr>
        <w:spacing w:after="0" w:line="131"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As of September 30, 2024, BXP owned an approximate 89.6% ownership interest in BPLP. The remaining approximate 10.4% interest was owned by limited partners. The other limited partners of BPLP (1) contributed their direct or indirect interests in properties to BPLP in exchange for common units of limited partnership interest in BPLP or (2) received long-term incentive plan units of BPLP pursuant to BXP’s Stock Option and Incentive Plans, or both. Under the limited partnership agreement of BPLP, unitholders may present their common units of BPLP for redemption at any time (subject to restrictions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 number of common units of BPLP that equals the number of shares of BXP common stock so issued. This structure is commonly referred to as an umbrella partnership REIT, or UPREIT.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believes that combining the Quarterly Reports on Form 10-Q of BXP and BPLP into this single report:</w:t>
      </w:r>
    </w:p>
    <w:p>
      <w:pPr>
        <w:spacing w:after="0" w:line="158" w:lineRule="exact"/>
        <w:rPr>
          <w:sz w:val="20"/>
          <w:szCs w:val="20"/>
          <w:color w:val="auto"/>
        </w:rPr>
      </w:pPr>
    </w:p>
    <w:p>
      <w:pPr>
        <w:ind w:left="1040" w:right="60" w:hanging="228"/>
        <w:spacing w:after="0" w:line="287" w:lineRule="auto"/>
        <w:tabs>
          <w:tab w:leader="none" w:pos="1032"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investors’ understanding of BXP and BPLP by enabling them to view the business as a whole in the same manner as management views and operates the business;</w:t>
      </w:r>
    </w:p>
    <w:p>
      <w:pPr>
        <w:spacing w:after="0" w:line="71" w:lineRule="exact"/>
        <w:rPr>
          <w:rFonts w:ascii="Arial" w:cs="Arial" w:eastAsia="Arial" w:hAnsi="Arial"/>
          <w:sz w:val="18"/>
          <w:szCs w:val="18"/>
          <w:color w:val="auto"/>
        </w:rPr>
      </w:pPr>
    </w:p>
    <w:p>
      <w:pPr>
        <w:ind w:left="1040" w:right="240" w:hanging="228"/>
        <w:spacing w:after="0" w:line="287" w:lineRule="auto"/>
        <w:tabs>
          <w:tab w:leader="none" w:pos="1032"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duplicative disclosure and provides a more concise and readable presentation because a substantial portion of the disclosure applies to both BXP and BPLP; and</w:t>
      </w:r>
    </w:p>
    <w:p>
      <w:pPr>
        <w:spacing w:after="0" w:line="85" w:lineRule="exact"/>
        <w:rPr>
          <w:rFonts w:ascii="Arial" w:cs="Arial" w:eastAsia="Arial" w:hAnsi="Arial"/>
          <w:sz w:val="18"/>
          <w:szCs w:val="18"/>
          <w:color w:val="auto"/>
        </w:rPr>
      </w:pPr>
    </w:p>
    <w:p>
      <w:pPr>
        <w:ind w:left="1040" w:hanging="228"/>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subsidiaries and joint ventures. BPLP conducts the operations of the business and is structured as a partnership with no publicly traded equity. Except for the net proceeds from equity issuances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w:t>
      </w:r>
    </w:p>
    <w:p>
      <w:pPr>
        <w:spacing w:after="0" w:line="131" w:lineRule="exact"/>
        <w:rPr>
          <w:sz w:val="20"/>
          <w:szCs w:val="20"/>
          <w:color w:val="auto"/>
        </w:rPr>
      </w:pPr>
    </w:p>
    <w:p>
      <w:pPr>
        <w:ind w:right="140" w:firstLine="445"/>
        <w:spacing w:after="0" w:line="282" w:lineRule="auto"/>
        <w:rPr>
          <w:sz w:val="20"/>
          <w:szCs w:val="20"/>
          <w:color w:val="auto"/>
        </w:rPr>
      </w:pPr>
      <w:r>
        <w:rPr>
          <w:rFonts w:ascii="Arial" w:cs="Arial" w:eastAsia="Arial" w:hAnsi="Arial"/>
          <w:sz w:val="17"/>
          <w:szCs w:val="17"/>
          <w:color w:val="auto"/>
        </w:rPr>
        <w:t>Shareholders’ 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noncontrolling interests in BPLP and limited partners of BPLP. The differences between shareholders’ equity and partners’ capital result from differences in the equity issued by each of BXP and BPLP.</w:t>
      </w:r>
    </w:p>
    <w:p>
      <w:pPr>
        <w:spacing w:after="0" w:line="99" w:lineRule="exact"/>
        <w:rPr>
          <w:sz w:val="20"/>
          <w:szCs w:val="20"/>
          <w:color w:val="auto"/>
        </w:rPr>
      </w:pPr>
    </w:p>
    <w:p>
      <w:pPr>
        <w:ind w:firstLine="445"/>
        <w:spacing w:after="0" w:line="274" w:lineRule="auto"/>
        <w:rPr>
          <w:sz w:val="20"/>
          <w:szCs w:val="20"/>
          <w:color w:val="auto"/>
        </w:rPr>
      </w:pPr>
      <w:r>
        <w:rPr>
          <w:rFonts w:ascii="Arial" w:cs="Arial" w:eastAsia="Arial" w:hAnsi="Arial"/>
          <w:sz w:val="17"/>
          <w:szCs w:val="17"/>
          <w:color w:val="auto"/>
        </w:rPr>
        <w:t>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resulting in a difference between the net real estate of BXP as compared to BPLP of approximately $237.8 million, or 1.2% at September 30, 2024, and a corresponding difference in depreciation expense, impairment losses and gains on sales of real estate upon the sale of these properties having an allocation of the real estate step-up. The acquisition accounting was nullified on a prospective basis beginning in 2009 as a result of the Company’s adoption of a new accounting standard requiring any subsequent redemptions to be accounted for solely as an equity transaction.</w:t>
      </w:r>
    </w:p>
    <w:p>
      <w:pPr>
        <w:spacing w:after="0" w:line="112" w:lineRule="exact"/>
        <w:rPr>
          <w:sz w:val="20"/>
          <w:szCs w:val="20"/>
          <w:color w:val="auto"/>
        </w:rPr>
      </w:pPr>
    </w:p>
    <w:p>
      <w:pPr>
        <w:ind w:right="220" w:firstLine="445"/>
        <w:spacing w:after="0" w:line="287" w:lineRule="auto"/>
        <w:rPr>
          <w:sz w:val="20"/>
          <w:szCs w:val="20"/>
          <w:color w:val="auto"/>
        </w:rPr>
      </w:pPr>
      <w:r>
        <w:rPr>
          <w:rFonts w:ascii="Arial" w:cs="Arial" w:eastAsia="Arial" w:hAnsi="Arial"/>
          <w:sz w:val="18"/>
          <w:szCs w:val="18"/>
          <w:color w:val="auto"/>
        </w:rPr>
        <w:t>To help investors better understand the key differences between BXP and BPLP, the following items in this report present information separately for BXP and BPLP:</w:t>
      </w:r>
    </w:p>
    <w:p>
      <w:pPr>
        <w:spacing w:after="0" w:line="99" w:lineRule="exact"/>
        <w:rPr>
          <w:sz w:val="20"/>
          <w:szCs w:val="20"/>
          <w:color w:val="auto"/>
        </w:rPr>
      </w:pPr>
    </w:p>
    <w:p>
      <w:pPr>
        <w:ind w:left="1040" w:hanging="22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1. Financial Statements (unaudited), which includes the following specific disclosures for BXP and BPLP:</w:t>
      </w:r>
    </w:p>
    <w:p>
      <w:pPr>
        <w:spacing w:after="0" w:line="171" w:lineRule="exact"/>
        <w:rPr>
          <w:rFonts w:ascii="Arial" w:cs="Arial" w:eastAsia="Arial" w:hAnsi="Arial"/>
          <w:sz w:val="18"/>
          <w:szCs w:val="18"/>
          <w:color w:val="auto"/>
        </w:rPr>
      </w:pPr>
    </w:p>
    <w:p>
      <w:pPr>
        <w:ind w:left="1040" w:hanging="22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Note 3. Real Estate;</w:t>
      </w:r>
    </w:p>
    <w:p>
      <w:pPr>
        <w:spacing w:after="0" w:line="171" w:lineRule="exact"/>
        <w:rPr>
          <w:rFonts w:ascii="Arial" w:cs="Arial" w:eastAsia="Arial" w:hAnsi="Arial"/>
          <w:sz w:val="18"/>
          <w:szCs w:val="18"/>
          <w:color w:val="auto"/>
        </w:rPr>
      </w:pPr>
    </w:p>
    <w:p>
      <w:pPr>
        <w:ind w:left="1040" w:hanging="22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Note 10. Stockholders’ Equity / Partners’ Capital;</w:t>
      </w:r>
    </w:p>
    <w:p>
      <w:pPr>
        <w:spacing w:after="0" w:line="171" w:lineRule="exact"/>
        <w:rPr>
          <w:rFonts w:ascii="Arial" w:cs="Arial" w:eastAsia="Arial" w:hAnsi="Arial"/>
          <w:sz w:val="18"/>
          <w:szCs w:val="18"/>
          <w:color w:val="auto"/>
        </w:rPr>
      </w:pPr>
    </w:p>
    <w:p>
      <w:pPr>
        <w:ind w:left="1040" w:hanging="22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Note 11. Segment Information;</w:t>
      </w:r>
    </w:p>
    <w:p>
      <w:pPr>
        <w:spacing w:after="0" w:line="171" w:lineRule="exact"/>
        <w:rPr>
          <w:rFonts w:ascii="Arial" w:cs="Arial" w:eastAsia="Arial" w:hAnsi="Arial"/>
          <w:sz w:val="18"/>
          <w:szCs w:val="18"/>
          <w:color w:val="auto"/>
        </w:rPr>
      </w:pPr>
    </w:p>
    <w:p>
      <w:pPr>
        <w:ind w:left="1040" w:hanging="22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Note 12. Earnings Per Share / Common Unit; and</w:t>
      </w:r>
    </w:p>
    <w:p>
      <w:pPr>
        <w:spacing w:after="0" w:line="171" w:lineRule="exact"/>
        <w:rPr>
          <w:rFonts w:ascii="Arial" w:cs="Arial" w:eastAsia="Arial" w:hAnsi="Arial"/>
          <w:sz w:val="18"/>
          <w:szCs w:val="18"/>
          <w:color w:val="auto"/>
        </w:rPr>
      </w:pPr>
    </w:p>
    <w:p>
      <w:pPr>
        <w:ind w:left="1040" w:right="480" w:hanging="228"/>
        <w:spacing w:after="0" w:line="287" w:lineRule="auto"/>
        <w:tabs>
          <w:tab w:leader="none" w:pos="10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2. Management’s Discussion and Analysis of Financial Condition and Results of Operations and Liquidity and Capital Resources, includes information specific to each entity, where applicable.</w:t>
      </w:r>
    </w:p>
    <w:p>
      <w:pPr>
        <w:spacing w:after="0" w:line="99" w:lineRule="exact"/>
        <w:rPr>
          <w:sz w:val="20"/>
          <w:szCs w:val="20"/>
          <w:color w:val="auto"/>
        </w:rPr>
      </w:pPr>
    </w:p>
    <w:p>
      <w:pPr>
        <w:ind w:right="80" w:firstLine="445"/>
        <w:spacing w:after="0" w:line="318" w:lineRule="auto"/>
        <w:rPr>
          <w:sz w:val="20"/>
          <w:szCs w:val="20"/>
          <w:color w:val="auto"/>
        </w:rPr>
      </w:pPr>
      <w:r>
        <w:rPr>
          <w:rFonts w:ascii="Arial" w:cs="Arial" w:eastAsia="Arial" w:hAnsi="Arial"/>
          <w:sz w:val="17"/>
          <w:szCs w:val="17"/>
          <w:color w:val="auto"/>
        </w:rPr>
        <w:t>This report also includes separate Part I - Item 4. Controls and Procedures and Part II - Item 2. Unregistered Sales of Equity Securities and Use of Proceeds sections for each of BXP and BPLP, as well as separate Exhibits 31 and 32 certifications for each of BXP and BPLP.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460" w:type="dxa"/>
            <w:vAlign w:val="bottom"/>
            <w:gridSpan w:val="26"/>
          </w:tcPr>
          <w:p>
            <w:pPr>
              <w:spacing w:after="0"/>
              <w:rPr>
                <w:sz w:val="20"/>
                <w:szCs w:val="20"/>
                <w:color w:val="auto"/>
              </w:rPr>
            </w:pPr>
            <w:r>
              <w:rPr>
                <w:rFonts w:ascii="Arial" w:cs="Arial" w:eastAsia="Arial" w:hAnsi="Arial"/>
                <w:sz w:val="18"/>
                <w:szCs w:val="18"/>
                <w:color w:val="0000FF"/>
              </w:rPr>
              <w:t>Table of Contents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1"/>
        </w:trPr>
        <w:tc>
          <w:tcPr>
            <w:tcW w:w="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60" w:type="dxa"/>
            <w:vAlign w:val="bottom"/>
            <w:gridSpan w:val="16"/>
          </w:tcPr>
          <w:p>
            <w:pPr>
              <w:jc w:val="center"/>
              <w:ind w:right="2120"/>
              <w:spacing w:after="0"/>
              <w:rPr>
                <w:sz w:val="20"/>
                <w:szCs w:val="20"/>
                <w:color w:val="auto"/>
              </w:rPr>
            </w:pPr>
            <w:r>
              <w:rPr>
                <w:rFonts w:ascii="Arial" w:cs="Arial" w:eastAsia="Arial" w:hAnsi="Arial"/>
                <w:sz w:val="18"/>
                <w:szCs w:val="18"/>
                <w:b w:val="1"/>
                <w:bCs w:val="1"/>
                <w:color w:val="auto"/>
                <w:w w:val="99"/>
              </w:rPr>
              <w:t>BXP, INC. AND BOSTON PROPERTIES LIMITED PARTNERSHIP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gridSpan w:val="10"/>
          </w:tcPr>
          <w:p>
            <w:pPr>
              <w:jc w:val="center"/>
              <w:ind w:right="4160"/>
              <w:spacing w:after="0"/>
              <w:rPr>
                <w:sz w:val="20"/>
                <w:szCs w:val="20"/>
                <w:color w:val="auto"/>
              </w:rPr>
            </w:pPr>
            <w:r>
              <w:rPr>
                <w:rFonts w:ascii="Arial" w:cs="Arial" w:eastAsia="Arial" w:hAnsi="Arial"/>
                <w:sz w:val="18"/>
                <w:szCs w:val="18"/>
                <w:b w:val="1"/>
                <w:bCs w:val="1"/>
                <w:color w:val="auto"/>
                <w:w w:val="99"/>
              </w:rPr>
              <w:t>FORM 10-Q</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60" w:type="dxa"/>
            <w:vAlign w:val="bottom"/>
            <w:gridSpan w:val="11"/>
          </w:tcPr>
          <w:p>
            <w:pPr>
              <w:jc w:val="center"/>
              <w:ind w:right="3000"/>
              <w:spacing w:after="0"/>
              <w:rPr>
                <w:sz w:val="20"/>
                <w:szCs w:val="20"/>
                <w:color w:val="auto"/>
              </w:rPr>
            </w:pPr>
            <w:r>
              <w:rPr>
                <w:rFonts w:ascii="Arial" w:cs="Arial" w:eastAsia="Arial" w:hAnsi="Arial"/>
                <w:sz w:val="18"/>
                <w:szCs w:val="18"/>
                <w:b w:val="1"/>
                <w:bCs w:val="1"/>
                <w:color w:val="auto"/>
                <w:w w:val="99"/>
              </w:rPr>
              <w:t>for the quarter ended September 30, 2024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60" w:type="dxa"/>
            <w:vAlign w:val="bottom"/>
            <w:gridSpan w:val="11"/>
          </w:tcPr>
          <w:p>
            <w:pPr>
              <w:jc w:val="center"/>
              <w:ind w:right="302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9"/>
        </w:trPr>
        <w:tc>
          <w:tcPr>
            <w:tcW w:w="20" w:type="dxa"/>
            <w:vAlign w:val="bottom"/>
          </w:tcPr>
          <w:p>
            <w:pPr>
              <w:spacing w:after="0"/>
              <w:rPr>
                <w:sz w:val="24"/>
                <w:szCs w:val="24"/>
                <w:color w:val="auto"/>
              </w:rPr>
            </w:pPr>
          </w:p>
        </w:tc>
        <w:tc>
          <w:tcPr>
            <w:tcW w:w="2960" w:type="dxa"/>
            <w:vAlign w:val="bottom"/>
            <w:gridSpan w:val="10"/>
            <w:vMerge w:val="restart"/>
          </w:tcPr>
          <w:p>
            <w:pPr>
              <w:spacing w:after="0"/>
              <w:rPr>
                <w:sz w:val="20"/>
                <w:szCs w:val="20"/>
                <w:color w:val="auto"/>
              </w:rPr>
            </w:pPr>
            <w:r>
              <w:rPr>
                <w:rFonts w:ascii="Arial" w:cs="Arial" w:eastAsia="Arial" w:hAnsi="Arial"/>
                <w:sz w:val="18"/>
                <w:szCs w:val="18"/>
                <w:b w:val="1"/>
                <w:bCs w:val="1"/>
                <w:color w:val="0000FF"/>
                <w:w w:val="98"/>
              </w:rPr>
              <w:t>PART I. FINANCIAL INFORMATION</w:t>
            </w:r>
          </w:p>
        </w:tc>
        <w:tc>
          <w:tcPr>
            <w:tcW w:w="7480" w:type="dxa"/>
            <w:vAlign w:val="bottom"/>
            <w:gridSpan w:val="15"/>
            <w:vMerge w:val="restart"/>
          </w:tcPr>
          <w:p>
            <w:pPr>
              <w:spacing w:after="0"/>
              <w:rPr>
                <w:sz w:val="24"/>
                <w:szCs w:val="24"/>
                <w:color w:val="auto"/>
              </w:rPr>
            </w:pPr>
          </w:p>
        </w:tc>
        <w:tc>
          <w:tcPr>
            <w:tcW w:w="7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60" w:type="dxa"/>
            <w:vAlign w:val="bottom"/>
            <w:tcBorders>
              <w:bottom w:val="single" w:sz="8" w:color="0000FF"/>
            </w:tcBorders>
            <w:gridSpan w:val="10"/>
            <w:vMerge w:val="continue"/>
          </w:tcPr>
          <w:p>
            <w:pPr>
              <w:spacing w:after="0"/>
              <w:rPr>
                <w:sz w:val="14"/>
                <w:szCs w:val="14"/>
                <w:color w:val="auto"/>
              </w:rPr>
            </w:pPr>
          </w:p>
        </w:tc>
        <w:tc>
          <w:tcPr>
            <w:tcW w:w="7480" w:type="dxa"/>
            <w:vAlign w:val="bottom"/>
            <w:gridSpan w:val="15"/>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4"/>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auto"/>
              </w:rPr>
              <w:t>BXP, Inc.</w:t>
            </w: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6680" w:type="dxa"/>
            <w:vAlign w:val="bottom"/>
            <w:gridSpan w:val="17"/>
            <w:vMerge w:val="restart"/>
          </w:tcPr>
          <w:p>
            <w:pPr>
              <w:spacing w:after="0"/>
              <w:rPr>
                <w:sz w:val="20"/>
                <w:szCs w:val="20"/>
                <w:color w:val="auto"/>
              </w:rPr>
            </w:pPr>
            <w:r>
              <w:rPr>
                <w:rFonts w:ascii="Arial" w:cs="Arial" w:eastAsia="Arial" w:hAnsi="Arial"/>
                <w:sz w:val="18"/>
                <w:szCs w:val="18"/>
                <w:color w:val="0000FF"/>
                <w:w w:val="99"/>
              </w:rPr>
              <w:t>a) Consolidated Balance Sheets as of September 30, 2024 and December 31, 2023</w:t>
            </w:r>
          </w:p>
        </w:tc>
        <w:tc>
          <w:tcPr>
            <w:tcW w:w="2620" w:type="dxa"/>
            <w:vAlign w:val="bottom"/>
            <w:gridSpan w:val="7"/>
            <w:vMerge w:val="restart"/>
          </w:tcPr>
          <w:p>
            <w:pPr>
              <w:spacing w:after="0"/>
              <w:rPr>
                <w:sz w:val="24"/>
                <w:szCs w:val="24"/>
                <w:color w:val="auto"/>
              </w:rPr>
            </w:pPr>
          </w:p>
        </w:tc>
        <w:tc>
          <w:tcPr>
            <w:tcW w:w="660" w:type="dxa"/>
            <w:vAlign w:val="bottom"/>
            <w:gridSpan w:val="3"/>
            <w:vMerge w:val="restart"/>
          </w:tcPr>
          <w:p>
            <w:pPr>
              <w:spacing w:after="0"/>
              <w:rPr>
                <w:sz w:val="24"/>
                <w:szCs w:val="24"/>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80" w:type="dxa"/>
            <w:vAlign w:val="bottom"/>
            <w:gridSpan w:val="17"/>
            <w:vMerge w:val="continue"/>
          </w:tcPr>
          <w:p>
            <w:pPr>
              <w:spacing w:after="0"/>
              <w:rPr>
                <w:sz w:val="16"/>
                <w:szCs w:val="16"/>
                <w:color w:val="auto"/>
              </w:rPr>
            </w:pPr>
          </w:p>
        </w:tc>
        <w:tc>
          <w:tcPr>
            <w:tcW w:w="2620" w:type="dxa"/>
            <w:vAlign w:val="bottom"/>
            <w:gridSpan w:val="7"/>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300" w:type="dxa"/>
            <w:vAlign w:val="bottom"/>
            <w:gridSpan w:val="24"/>
          </w:tcPr>
          <w:p>
            <w:pPr>
              <w:spacing w:after="0"/>
              <w:rPr>
                <w:sz w:val="20"/>
                <w:szCs w:val="20"/>
                <w:color w:val="auto"/>
              </w:rPr>
            </w:pPr>
            <w:r>
              <w:rPr>
                <w:rFonts w:ascii="Arial" w:cs="Arial" w:eastAsia="Arial" w:hAnsi="Arial"/>
                <w:sz w:val="18"/>
                <w:szCs w:val="18"/>
                <w:color w:val="0000FF"/>
              </w:rPr>
              <w:t>b) Consolidated Statements of Operations for the three and nine months ended September 30, 2024 and 2023</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300" w:type="dxa"/>
            <w:vAlign w:val="bottom"/>
            <w:gridSpan w:val="24"/>
          </w:tcPr>
          <w:p>
            <w:pPr>
              <w:spacing w:after="0"/>
              <w:rPr>
                <w:sz w:val="20"/>
                <w:szCs w:val="20"/>
                <w:color w:val="auto"/>
              </w:rPr>
            </w:pPr>
            <w:r>
              <w:rPr>
                <w:rFonts w:ascii="Arial" w:cs="Arial" w:eastAsia="Arial" w:hAnsi="Arial"/>
                <w:sz w:val="18"/>
                <w:szCs w:val="18"/>
                <w:color w:val="0000FF"/>
              </w:rPr>
              <w:t>c) Consolidated Statements of Comprehensive Income for the three and nine months ended September 30, 2024</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8"/>
              </w:rPr>
              <w:t>and 2023</w:t>
            </w:r>
          </w:p>
        </w:tc>
        <w:tc>
          <w:tcPr>
            <w:tcW w:w="8000" w:type="dxa"/>
            <w:vAlign w:val="bottom"/>
            <w:tcBorders>
              <w:top w:val="single" w:sz="8" w:color="0000FF"/>
            </w:tcBorders>
            <w:gridSpan w:val="18"/>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300" w:type="dxa"/>
            <w:vAlign w:val="bottom"/>
            <w:gridSpan w:val="24"/>
          </w:tcPr>
          <w:p>
            <w:pPr>
              <w:spacing w:after="0"/>
              <w:rPr>
                <w:sz w:val="20"/>
                <w:szCs w:val="20"/>
                <w:color w:val="auto"/>
              </w:rPr>
            </w:pPr>
            <w:r>
              <w:rPr>
                <w:rFonts w:ascii="Arial" w:cs="Arial" w:eastAsia="Arial" w:hAnsi="Arial"/>
                <w:sz w:val="18"/>
                <w:szCs w:val="18"/>
                <w:color w:val="0000FF"/>
              </w:rPr>
              <w:t>d) Consolidated Statements of Equity for the three and nine months ended September 30, 2024 and 2023</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40" w:type="dxa"/>
            <w:vAlign w:val="bottom"/>
            <w:gridSpan w:val="19"/>
          </w:tcPr>
          <w:p>
            <w:pPr>
              <w:spacing w:after="0"/>
              <w:rPr>
                <w:sz w:val="20"/>
                <w:szCs w:val="20"/>
                <w:color w:val="auto"/>
              </w:rPr>
            </w:pPr>
            <w:r>
              <w:rPr>
                <w:rFonts w:ascii="Arial" w:cs="Arial" w:eastAsia="Arial" w:hAnsi="Arial"/>
                <w:sz w:val="18"/>
                <w:szCs w:val="18"/>
                <w:color w:val="0000FF"/>
                <w:w w:val="99"/>
              </w:rPr>
              <w:t>e) Consolidated Statements of Cash Flows for the nine months ended September 30, 2024 and 2023</w:t>
            </w:r>
          </w:p>
        </w:tc>
        <w:tc>
          <w:tcPr>
            <w:tcW w:w="360" w:type="dxa"/>
            <w:vAlign w:val="bottom"/>
          </w:tcPr>
          <w:p>
            <w:pPr>
              <w:spacing w:after="0"/>
              <w:rPr>
                <w:sz w:val="18"/>
                <w:szCs w:val="18"/>
                <w:color w:val="auto"/>
              </w:rPr>
            </w:pPr>
          </w:p>
        </w:tc>
        <w:tc>
          <w:tcPr>
            <w:tcW w:w="900" w:type="dxa"/>
            <w:vAlign w:val="bottom"/>
            <w:gridSpan w:val="4"/>
          </w:tcPr>
          <w:p>
            <w:pPr>
              <w:spacing w:after="0"/>
              <w:rPr>
                <w:sz w:val="18"/>
                <w:szCs w:val="18"/>
                <w:color w:val="auto"/>
              </w:rPr>
            </w:pPr>
          </w:p>
        </w:tc>
        <w:tc>
          <w:tcPr>
            <w:tcW w:w="660" w:type="dxa"/>
            <w:vAlign w:val="bottom"/>
            <w:gridSpan w:val="3"/>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0" w:type="dxa"/>
            <w:vAlign w:val="bottom"/>
          </w:tcPr>
          <w:p>
            <w:pPr>
              <w:spacing w:after="0"/>
              <w:rPr>
                <w:sz w:val="24"/>
                <w:szCs w:val="24"/>
                <w:color w:val="auto"/>
              </w:rPr>
            </w:pPr>
          </w:p>
        </w:tc>
        <w:tc>
          <w:tcPr>
            <w:tcW w:w="10440" w:type="dxa"/>
            <w:vAlign w:val="bottom"/>
            <w:gridSpan w:val="25"/>
          </w:tcPr>
          <w:p>
            <w:pPr>
              <w:spacing w:after="0"/>
              <w:rPr>
                <w:sz w:val="20"/>
                <w:szCs w:val="20"/>
                <w:color w:val="auto"/>
              </w:rPr>
            </w:pPr>
            <w:r>
              <w:rPr>
                <w:rFonts w:ascii="Arial" w:cs="Arial" w:eastAsia="Arial" w:hAnsi="Arial"/>
                <w:sz w:val="18"/>
                <w:szCs w:val="18"/>
                <w:color w:val="auto"/>
              </w:rPr>
              <w:t>Boston Properties Limited Partnership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80" w:type="dxa"/>
            <w:vAlign w:val="bottom"/>
            <w:gridSpan w:val="17"/>
          </w:tcPr>
          <w:p>
            <w:pPr>
              <w:spacing w:after="0" w:line="195" w:lineRule="exact"/>
              <w:rPr>
                <w:sz w:val="20"/>
                <w:szCs w:val="20"/>
                <w:color w:val="auto"/>
              </w:rPr>
            </w:pPr>
            <w:r>
              <w:rPr>
                <w:rFonts w:ascii="Arial" w:cs="Arial" w:eastAsia="Arial" w:hAnsi="Arial"/>
                <w:sz w:val="18"/>
                <w:szCs w:val="18"/>
                <w:color w:val="0000FF"/>
                <w:w w:val="99"/>
              </w:rPr>
              <w:t>a) Consolidated Balance Sheets as of September 30, 2024 and December 31, 2023</w:t>
            </w:r>
          </w:p>
        </w:tc>
        <w:tc>
          <w:tcPr>
            <w:tcW w:w="2620" w:type="dxa"/>
            <w:vAlign w:val="bottom"/>
            <w:gridSpan w:val="7"/>
          </w:tcPr>
          <w:p>
            <w:pPr>
              <w:spacing w:after="0"/>
              <w:rPr>
                <w:sz w:val="16"/>
                <w:szCs w:val="16"/>
                <w:color w:val="auto"/>
              </w:rPr>
            </w:pPr>
          </w:p>
        </w:tc>
        <w:tc>
          <w:tcPr>
            <w:tcW w:w="560" w:type="dxa"/>
            <w:vAlign w:val="bottom"/>
            <w:gridSpan w:val="2"/>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300" w:type="dxa"/>
            <w:vAlign w:val="bottom"/>
            <w:gridSpan w:val="24"/>
          </w:tcPr>
          <w:p>
            <w:pPr>
              <w:spacing w:after="0"/>
              <w:rPr>
                <w:sz w:val="20"/>
                <w:szCs w:val="20"/>
                <w:color w:val="auto"/>
              </w:rPr>
            </w:pPr>
            <w:r>
              <w:rPr>
                <w:rFonts w:ascii="Arial" w:cs="Arial" w:eastAsia="Arial" w:hAnsi="Arial"/>
                <w:sz w:val="18"/>
                <w:szCs w:val="18"/>
                <w:color w:val="0000FF"/>
              </w:rPr>
              <w:t>b) Consolidated Statements of Operations for the three and nine months ended September 30, 2024 and 2023</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300" w:type="dxa"/>
            <w:vAlign w:val="bottom"/>
            <w:gridSpan w:val="24"/>
          </w:tcPr>
          <w:p>
            <w:pPr>
              <w:spacing w:after="0"/>
              <w:rPr>
                <w:sz w:val="20"/>
                <w:szCs w:val="20"/>
                <w:color w:val="auto"/>
              </w:rPr>
            </w:pPr>
            <w:r>
              <w:rPr>
                <w:rFonts w:ascii="Arial" w:cs="Arial" w:eastAsia="Arial" w:hAnsi="Arial"/>
                <w:sz w:val="18"/>
                <w:szCs w:val="18"/>
                <w:color w:val="0000FF"/>
              </w:rPr>
              <w:t>c) Consolidated Statements of Comprehensive Income for the three and nine months ended September 30, 2024</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8"/>
              </w:rPr>
              <w:t>and 2023</w:t>
            </w:r>
          </w:p>
        </w:tc>
        <w:tc>
          <w:tcPr>
            <w:tcW w:w="8000" w:type="dxa"/>
            <w:vAlign w:val="bottom"/>
            <w:tcBorders>
              <w:top w:val="single" w:sz="8" w:color="0000FF"/>
            </w:tcBorders>
            <w:gridSpan w:val="18"/>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300" w:type="dxa"/>
            <w:vAlign w:val="bottom"/>
            <w:gridSpan w:val="24"/>
          </w:tcPr>
          <w:p>
            <w:pPr>
              <w:spacing w:after="0"/>
              <w:rPr>
                <w:sz w:val="20"/>
                <w:szCs w:val="20"/>
                <w:color w:val="auto"/>
              </w:rPr>
            </w:pPr>
            <w:r>
              <w:rPr>
                <w:rFonts w:ascii="Arial" w:cs="Arial" w:eastAsia="Arial" w:hAnsi="Arial"/>
                <w:sz w:val="18"/>
                <w:szCs w:val="18"/>
                <w:color w:val="0000FF"/>
              </w:rPr>
              <w:t>d) Consolidated Statements of Capital and Noncontrolling Interests for the three and nine months ended September</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960" w:type="dxa"/>
            <w:vAlign w:val="bottom"/>
            <w:tcBorders>
              <w:top w:val="single" w:sz="8" w:color="0000FF"/>
            </w:tcBorders>
            <w:gridSpan w:val="22"/>
          </w:tcPr>
          <w:p>
            <w:pPr>
              <w:spacing w:after="0" w:line="156" w:lineRule="exact"/>
              <w:rPr>
                <w:sz w:val="20"/>
                <w:szCs w:val="20"/>
                <w:color w:val="auto"/>
              </w:rPr>
            </w:pPr>
            <w:r>
              <w:rPr>
                <w:rFonts w:ascii="Arial" w:cs="Arial" w:eastAsia="Arial" w:hAnsi="Arial"/>
                <w:sz w:val="18"/>
                <w:szCs w:val="18"/>
                <w:color w:val="0000FF"/>
              </w:rPr>
              <w:t>30, 2024 and 2023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40" w:type="dxa"/>
            <w:vAlign w:val="bottom"/>
            <w:gridSpan w:val="19"/>
          </w:tcPr>
          <w:p>
            <w:pPr>
              <w:spacing w:after="0"/>
              <w:rPr>
                <w:sz w:val="20"/>
                <w:szCs w:val="20"/>
                <w:color w:val="auto"/>
              </w:rPr>
            </w:pPr>
            <w:r>
              <w:rPr>
                <w:rFonts w:ascii="Arial" w:cs="Arial" w:eastAsia="Arial" w:hAnsi="Arial"/>
                <w:sz w:val="18"/>
                <w:szCs w:val="18"/>
                <w:color w:val="0000FF"/>
                <w:w w:val="99"/>
              </w:rPr>
              <w:t>e) Consolidated Statements of Cash Flows for the nine months ended September 30, 2024 and 2023</w:t>
            </w:r>
          </w:p>
        </w:tc>
        <w:tc>
          <w:tcPr>
            <w:tcW w:w="1260" w:type="dxa"/>
            <w:vAlign w:val="bottom"/>
            <w:gridSpan w:val="5"/>
          </w:tcPr>
          <w:p>
            <w:pPr>
              <w:spacing w:after="0"/>
              <w:rPr>
                <w:sz w:val="19"/>
                <w:szCs w:val="19"/>
                <w:color w:val="auto"/>
              </w:rPr>
            </w:pPr>
          </w:p>
        </w:tc>
        <w:tc>
          <w:tcPr>
            <w:tcW w:w="560" w:type="dxa"/>
            <w:vAlign w:val="bottom"/>
            <w:gridSpan w:val="2"/>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10440" w:type="dxa"/>
            <w:vAlign w:val="bottom"/>
            <w:gridSpan w:val="25"/>
          </w:tcPr>
          <w:p>
            <w:pPr>
              <w:spacing w:after="0"/>
              <w:rPr>
                <w:sz w:val="20"/>
                <w:szCs w:val="20"/>
                <w:color w:val="auto"/>
              </w:rPr>
            </w:pPr>
            <w:r>
              <w:rPr>
                <w:rFonts w:ascii="Arial" w:cs="Arial" w:eastAsia="Arial" w:hAnsi="Arial"/>
                <w:sz w:val="18"/>
                <w:szCs w:val="18"/>
                <w:color w:val="auto"/>
              </w:rPr>
              <w:t>BXP, Inc. and Boston Properties Limited Partnership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300" w:type="dxa"/>
            <w:vAlign w:val="bottom"/>
            <w:gridSpan w:val="24"/>
          </w:tcPr>
          <w:p>
            <w:pPr>
              <w:spacing w:after="0" w:line="195" w:lineRule="exact"/>
              <w:rPr>
                <w:sz w:val="20"/>
                <w:szCs w:val="20"/>
                <w:color w:val="auto"/>
              </w:rPr>
            </w:pPr>
            <w:r>
              <w:rPr>
                <w:rFonts w:ascii="Arial" w:cs="Arial" w:eastAsia="Arial" w:hAnsi="Arial"/>
                <w:sz w:val="18"/>
                <w:szCs w:val="18"/>
                <w:color w:val="0000FF"/>
              </w:rPr>
              <w:t>Notes to the Consolidated Financial Statements</w:t>
            </w:r>
          </w:p>
        </w:tc>
        <w:tc>
          <w:tcPr>
            <w:tcW w:w="780" w:type="dxa"/>
            <w:vAlign w:val="bottom"/>
            <w:gridSpan w:val="5"/>
          </w:tcPr>
          <w:p>
            <w:pPr>
              <w:jc w:val="right"/>
              <w:ind w:right="20"/>
              <w:spacing w:after="0" w:line="195" w:lineRule="exact"/>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8"/>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22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gridSpan w:val="3"/>
          </w:tcPr>
          <w:p>
            <w:pPr>
              <w:spacing w:after="0"/>
              <w:rPr>
                <w:sz w:val="18"/>
                <w:szCs w:val="18"/>
                <w:color w:val="auto"/>
              </w:rPr>
            </w:pPr>
          </w:p>
        </w:tc>
        <w:tc>
          <w:tcPr>
            <w:tcW w:w="222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Controls and Procedures</w:t>
            </w:r>
          </w:p>
        </w:tc>
        <w:tc>
          <w:tcPr>
            <w:tcW w:w="7300" w:type="dxa"/>
            <w:vAlign w:val="bottom"/>
            <w:gridSpan w:val="13"/>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40" w:type="dxa"/>
            <w:vAlign w:val="bottom"/>
            <w:gridSpan w:val="25"/>
          </w:tcPr>
          <w:p>
            <w:pPr>
              <w:spacing w:after="0"/>
              <w:rPr>
                <w:sz w:val="20"/>
                <w:szCs w:val="20"/>
                <w:color w:val="auto"/>
              </w:rPr>
            </w:pPr>
            <w:r>
              <w:rPr>
                <w:rFonts w:ascii="Arial" w:cs="Arial" w:eastAsia="Arial" w:hAnsi="Arial"/>
                <w:sz w:val="18"/>
                <w:szCs w:val="18"/>
                <w:b w:val="1"/>
                <w:bCs w:val="1"/>
                <w:color w:val="0000FF"/>
              </w:rPr>
              <w:t>PART II. OTHER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20" w:type="dxa"/>
            <w:vAlign w:val="bottom"/>
            <w:tcBorders>
              <w:top w:val="single" w:sz="8" w:color="0000FF"/>
            </w:tcBorders>
          </w:tcPr>
          <w:p>
            <w:pPr>
              <w:spacing w:after="0"/>
              <w:rPr>
                <w:sz w:val="18"/>
                <w:szCs w:val="18"/>
                <w:color w:val="auto"/>
              </w:rPr>
            </w:pPr>
          </w:p>
        </w:tc>
        <w:tc>
          <w:tcPr>
            <w:tcW w:w="7780" w:type="dxa"/>
            <w:vAlign w:val="bottom"/>
            <w:gridSpan w:val="17"/>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8300" w:type="dxa"/>
            <w:vAlign w:val="bottom"/>
            <w:gridSpan w:val="20"/>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440" w:type="dxa"/>
            <w:vAlign w:val="bottom"/>
            <w:gridSpan w:val="8"/>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Defaults Upon Senior Securities</w:t>
            </w:r>
          </w:p>
        </w:tc>
        <w:tc>
          <w:tcPr>
            <w:tcW w:w="674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4"/>
          </w:tcPr>
          <w:p>
            <w:pPr>
              <w:spacing w:after="0"/>
              <w:rPr>
                <w:sz w:val="20"/>
                <w:szCs w:val="20"/>
                <w:color w:val="auto"/>
              </w:rPr>
            </w:pPr>
            <w:r>
              <w:rPr>
                <w:rFonts w:ascii="Arial" w:cs="Arial" w:eastAsia="Arial" w:hAnsi="Arial"/>
                <w:sz w:val="18"/>
                <w:szCs w:val="18"/>
                <w:color w:val="0000FF"/>
              </w:rPr>
              <w:t>Mine Safety Disclosures</w:t>
            </w:r>
          </w:p>
        </w:tc>
        <w:tc>
          <w:tcPr>
            <w:tcW w:w="760" w:type="dxa"/>
            <w:vAlign w:val="bottom"/>
            <w:gridSpan w:val="4"/>
          </w:tcPr>
          <w:p>
            <w:pPr>
              <w:jc w:val="right"/>
              <w:spacing w:after="0"/>
              <w:rPr>
                <w:sz w:val="20"/>
                <w:szCs w:val="20"/>
                <w:color w:val="auto"/>
              </w:rPr>
            </w:pPr>
            <w:r>
              <w:rPr>
                <w:rFonts w:ascii="Arial" w:cs="Arial" w:eastAsia="Arial" w:hAnsi="Arial"/>
                <w:sz w:val="18"/>
                <w:szCs w:val="18"/>
                <w:color w:val="0000FF"/>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5"/>
          </w:tcPr>
          <w:p>
            <w:pPr>
              <w:spacing w:after="0"/>
              <w:rPr>
                <w:sz w:val="18"/>
                <w:szCs w:val="18"/>
                <w:color w:val="auto"/>
              </w:rPr>
            </w:pPr>
          </w:p>
        </w:tc>
        <w:tc>
          <w:tcPr>
            <w:tcW w:w="738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24"/>
          </w:tcPr>
          <w:p>
            <w:pPr>
              <w:spacing w:after="0"/>
              <w:rPr>
                <w:sz w:val="20"/>
                <w:szCs w:val="20"/>
                <w:color w:val="auto"/>
              </w:rPr>
            </w:pPr>
            <w:r>
              <w:rPr>
                <w:rFonts w:ascii="Arial" w:cs="Arial" w:eastAsia="Arial" w:hAnsi="Arial"/>
                <w:sz w:val="18"/>
                <w:szCs w:val="18"/>
                <w:color w:val="0000FF"/>
              </w:rPr>
              <w:t>Exhibits</w:t>
            </w:r>
          </w:p>
        </w:tc>
        <w:tc>
          <w:tcPr>
            <w:tcW w:w="760" w:type="dxa"/>
            <w:vAlign w:val="bottom"/>
            <w:gridSpan w:val="4"/>
          </w:tcPr>
          <w:p>
            <w:pPr>
              <w:jc w:val="right"/>
              <w:spacing w:after="0"/>
              <w:rPr>
                <w:sz w:val="20"/>
                <w:szCs w:val="20"/>
                <w:color w:val="auto"/>
              </w:rPr>
            </w:pPr>
            <w:r>
              <w:rPr>
                <w:rFonts w:ascii="Arial" w:cs="Arial" w:eastAsia="Arial" w:hAnsi="Arial"/>
                <w:sz w:val="18"/>
                <w:szCs w:val="18"/>
                <w:color w:val="0000FF"/>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8680" w:type="dxa"/>
            <w:vAlign w:val="bottom"/>
            <w:gridSpan w:val="2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440" w:type="dxa"/>
            <w:vAlign w:val="bottom"/>
            <w:gridSpan w:val="25"/>
          </w:tcPr>
          <w:p>
            <w:pPr>
              <w:spacing w:after="0"/>
              <w:rPr>
                <w:sz w:val="20"/>
                <w:szCs w:val="20"/>
                <w:color w:val="auto"/>
              </w:rPr>
            </w:pPr>
            <w:r>
              <w:rPr>
                <w:rFonts w:ascii="Arial" w:cs="Arial" w:eastAsia="Arial" w:hAnsi="Arial"/>
                <w:sz w:val="18"/>
                <w:szCs w:val="18"/>
                <w:b w:val="1"/>
                <w:bCs w:val="1"/>
                <w:color w:val="0000FF"/>
              </w:rPr>
              <w:t>SIGNATURES</w:t>
            </w:r>
          </w:p>
        </w:tc>
        <w:tc>
          <w:tcPr>
            <w:tcW w:w="760" w:type="dxa"/>
            <w:vAlign w:val="bottom"/>
            <w:gridSpan w:val="4"/>
          </w:tcPr>
          <w:p>
            <w:pPr>
              <w:jc w:val="right"/>
              <w:spacing w:after="0"/>
              <w:rPr>
                <w:sz w:val="20"/>
                <w:szCs w:val="20"/>
                <w:color w:val="auto"/>
              </w:rPr>
            </w:pPr>
            <w:r>
              <w:rPr>
                <w:rFonts w:ascii="Arial" w:cs="Arial" w:eastAsia="Arial" w:hAnsi="Arial"/>
                <w:sz w:val="18"/>
                <w:szCs w:val="18"/>
                <w:color w:val="0000FF"/>
              </w:rPr>
              <w:t>109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20" w:type="dxa"/>
            <w:vAlign w:val="bottom"/>
            <w:tcBorders>
              <w:bottom w:val="single" w:sz="8" w:color="9A9A9A"/>
            </w:tcBorders>
          </w:tcPr>
          <w:p>
            <w:pPr>
              <w:spacing w:after="0"/>
              <w:rPr>
                <w:sz w:val="24"/>
                <w:szCs w:val="24"/>
                <w:color w:val="auto"/>
              </w:rPr>
            </w:pPr>
          </w:p>
        </w:tc>
        <w:tc>
          <w:tcPr>
            <w:tcW w:w="114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BXP, INC.</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5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360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Real estate, at cost (amounts related to variable interest entities (“VIEs”) of $7,646,435 and $7,054,075 at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27,557,824</w:t>
            </w:r>
          </w:p>
        </w:tc>
        <w:tc>
          <w:tcPr>
            <w:tcW w:w="200" w:type="dxa"/>
            <w:vAlign w:val="bottom"/>
          </w:tcPr>
          <w:p>
            <w:pPr>
              <w:spacing w:after="0"/>
              <w:rPr>
                <w:sz w:val="14"/>
                <w:szCs w:val="14"/>
                <w:color w:val="auto"/>
              </w:rPr>
            </w:pPr>
          </w:p>
        </w:tc>
        <w:tc>
          <w:tcPr>
            <w:tcW w:w="3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26,749,209</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September 30, 2024 and December 31, 2023, respectively)</w:t>
            </w:r>
          </w:p>
        </w:tc>
        <w:tc>
          <w:tcPr>
            <w:tcW w:w="1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Right of use assets - finance leases (amounts related to VIEs of $21,000 and $21,000 at September 30,</w:t>
            </w: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372,896</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401,680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2024 and December 31, 2023, respectively)</w:t>
            </w:r>
          </w:p>
        </w:tc>
        <w:tc>
          <w:tcPr>
            <w:tcW w:w="1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Right of use assets - operating leases (amounts related to VIEs of $145,052 and $158,885 at September 30,</w:t>
            </w: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339,804</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324,298</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2024 and December 31, 2023, respectively)</w:t>
            </w: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Less: accumulated depreciation (amounts related to VIEs of $(1,601,919) and $(1,501,483) at</w:t>
            </w: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(7,369,545)</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(6,881,728)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September 30, 2024 and December 31, 2023, respectively)</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tcPr>
          <w:p>
            <w:pPr>
              <w:ind w:left="680"/>
              <w:spacing w:after="0"/>
              <w:rPr>
                <w:sz w:val="20"/>
                <w:szCs w:val="20"/>
                <w:color w:val="auto"/>
              </w:rPr>
            </w:pPr>
            <w:r>
              <w:rPr>
                <w:rFonts w:ascii="Arial" w:cs="Arial" w:eastAsia="Arial" w:hAnsi="Arial"/>
                <w:sz w:val="16"/>
                <w:szCs w:val="16"/>
                <w:color w:val="auto"/>
              </w:rPr>
              <w:t>Total real estate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20,900,979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20,593,459</w:t>
            </w: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Cash and cash equivalents (amounts related to VIEs of $322,604 and $245,317 at September 30, 2024 and</w:t>
            </w: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1,420,475</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1,531,477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2023, respectively)</w:t>
            </w:r>
          </w:p>
        </w:tc>
        <w:tc>
          <w:tcPr>
            <w:tcW w:w="1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Cash held in escrows (amounts related to VIEs of $5,032 and $22,160 at September 30, 2024 and</w:t>
            </w: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51,009</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81,090</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December 31, 2023, respectively)</w:t>
            </w: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39,186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36,337</w:t>
            </w: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Tenant and other receivables, net (amounts related to VIEs of $19,216 and $27,987 at September 30, 2024</w:t>
            </w: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99,706</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122,407</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and December 31, 2023, respectively)</w:t>
            </w: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 receivable, net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Related party notes receivable, net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88,788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88,779</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Sales-type lease receivable, net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13,704</w:t>
            </w: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Accrued rental income, net (amounts related to VIEs of $425,867 and $401,159 at September 30, 2024 and</w:t>
            </w: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1,438,492</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1,355,212</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December 31, 2023, respectively)</w:t>
            </w: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Deferred charges, net (amounts related to VIEs of $201,947 and $175,383 at September 30, 2024 and</w:t>
            </w: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794,571</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760,421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2023, respectively)</w:t>
            </w:r>
          </w:p>
        </w:tc>
        <w:tc>
          <w:tcPr>
            <w:tcW w:w="1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Prepaid expenses and other assets (amounts related to VIEs of $50,275 and $11,824 at September 30, 2024</w:t>
            </w: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132,078</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64,230</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and December 31, 2023, respectively)</w:t>
            </w: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1,421,886</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1,377,319</w:t>
            </w:r>
          </w:p>
        </w:tc>
        <w:tc>
          <w:tcPr>
            <w:tcW w:w="0" w:type="dxa"/>
            <w:vAlign w:val="bottom"/>
          </w:tcPr>
          <w:p>
            <w:pPr>
              <w:spacing w:after="0"/>
              <w:rPr>
                <w:sz w:val="1"/>
                <w:szCs w:val="1"/>
                <w:color w:val="auto"/>
              </w:rPr>
            </w:pPr>
          </w:p>
        </w:tc>
      </w:tr>
      <w:tr>
        <w:trPr>
          <w:trHeight w:val="209"/>
        </w:trPr>
        <w:tc>
          <w:tcPr>
            <w:tcW w:w="802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26,405,536</w:t>
            </w:r>
          </w:p>
        </w:tc>
        <w:tc>
          <w:tcPr>
            <w:tcW w:w="20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26,026,149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20" w:type="dxa"/>
            <w:vAlign w:val="bottom"/>
            <w:shd w:val="clear" w:color="auto" w:fill="CCEEFF"/>
          </w:tcPr>
          <w:p>
            <w:pPr>
              <w:ind w:left="294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Mortgage notes payable, net (amounts related to VIEs of $3,280,817 and $3,277,185 at September 30,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4,275,155</w:t>
            </w:r>
          </w:p>
        </w:tc>
        <w:tc>
          <w:tcPr>
            <w:tcW w:w="2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4,166,379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2024 and December 31, 2023, respectively)</w:t>
            </w: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Unsecured senior notes, net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10,642,033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10,491,617</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Unsecured line of credit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Unsecured term loans, net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798,058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1,198,301</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Unsecured commercial paper</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020" w:type="dxa"/>
            <w:vAlign w:val="bottom"/>
          </w:tcPr>
          <w:p>
            <w:pPr>
              <w:ind w:left="360"/>
              <w:spacing w:after="0" w:line="162" w:lineRule="exact"/>
              <w:rPr>
                <w:sz w:val="20"/>
                <w:szCs w:val="20"/>
                <w:color w:val="auto"/>
              </w:rPr>
            </w:pPr>
            <w:r>
              <w:rPr>
                <w:rFonts w:ascii="Arial" w:cs="Arial" w:eastAsia="Arial" w:hAnsi="Arial"/>
                <w:sz w:val="16"/>
                <w:szCs w:val="16"/>
                <w:color w:val="auto"/>
              </w:rPr>
              <w:t>Lease liabilities - finance leases (amounts related to VIEs of $20,897 and $20,794 at September 30,</w:t>
            </w: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373,260</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417,961</w:t>
            </w:r>
          </w:p>
        </w:tc>
        <w:tc>
          <w:tcPr>
            <w:tcW w:w="0" w:type="dxa"/>
            <w:vAlign w:val="bottom"/>
          </w:tcPr>
          <w:p>
            <w:pPr>
              <w:spacing w:after="0"/>
              <w:rPr>
                <w:sz w:val="1"/>
                <w:szCs w:val="1"/>
                <w:color w:val="auto"/>
              </w:rPr>
            </w:pPr>
          </w:p>
        </w:tc>
      </w:tr>
      <w:tr>
        <w:trPr>
          <w:trHeight w:val="215"/>
        </w:trPr>
        <w:tc>
          <w:tcPr>
            <w:tcW w:w="8020" w:type="dxa"/>
            <w:vAlign w:val="bottom"/>
          </w:tcPr>
          <w:p>
            <w:pPr>
              <w:ind w:left="680"/>
              <w:spacing w:after="0"/>
              <w:rPr>
                <w:sz w:val="20"/>
                <w:szCs w:val="20"/>
                <w:color w:val="auto"/>
              </w:rPr>
            </w:pPr>
            <w:r>
              <w:rPr>
                <w:rFonts w:ascii="Arial" w:cs="Arial" w:eastAsia="Arial" w:hAnsi="Arial"/>
                <w:sz w:val="16"/>
                <w:szCs w:val="16"/>
                <w:color w:val="auto"/>
              </w:rPr>
              <w:t>2024 and December 31, 2023, respectively)</w:t>
            </w: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Lease liabilities - operating leases (amounts related to VIEs of $154,637 and $145,826 at September 30,</w:t>
            </w: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389,444</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350,391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2024 and December 31, 2023, respectively)</w:t>
            </w:r>
          </w:p>
        </w:tc>
        <w:tc>
          <w:tcPr>
            <w:tcW w:w="1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360"/>
              <w:spacing w:after="0" w:line="162" w:lineRule="exact"/>
              <w:rPr>
                <w:sz w:val="20"/>
                <w:szCs w:val="20"/>
                <w:color w:val="auto"/>
              </w:rPr>
            </w:pPr>
            <w:r>
              <w:rPr>
                <w:rFonts w:ascii="Arial" w:cs="Arial" w:eastAsia="Arial" w:hAnsi="Arial"/>
                <w:sz w:val="16"/>
                <w:szCs w:val="16"/>
                <w:color w:val="auto"/>
              </w:rPr>
              <w:t>Accounts payable and accrued expenses (amounts related to VIEs of $120,092 and $59,667 at</w:t>
            </w: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444,288</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458,329</w:t>
            </w:r>
          </w:p>
        </w:tc>
        <w:tc>
          <w:tcPr>
            <w:tcW w:w="0" w:type="dxa"/>
            <w:vAlign w:val="bottom"/>
          </w:tcPr>
          <w:p>
            <w:pPr>
              <w:spacing w:after="0"/>
              <w:rPr>
                <w:sz w:val="1"/>
                <w:szCs w:val="1"/>
                <w:color w:val="auto"/>
              </w:rPr>
            </w:pPr>
          </w:p>
        </w:tc>
      </w:tr>
      <w:tr>
        <w:trPr>
          <w:trHeight w:val="215"/>
        </w:trPr>
        <w:tc>
          <w:tcPr>
            <w:tcW w:w="8020" w:type="dxa"/>
            <w:vAlign w:val="bottom"/>
          </w:tcPr>
          <w:p>
            <w:pPr>
              <w:ind w:left="680"/>
              <w:spacing w:after="0"/>
              <w:rPr>
                <w:sz w:val="20"/>
                <w:szCs w:val="20"/>
                <w:color w:val="auto"/>
              </w:rPr>
            </w:pPr>
            <w:r>
              <w:rPr>
                <w:rFonts w:ascii="Arial" w:cs="Arial" w:eastAsia="Arial" w:hAnsi="Arial"/>
                <w:sz w:val="16"/>
                <w:szCs w:val="16"/>
                <w:color w:val="auto"/>
              </w:rPr>
              <w:t>September 30, 2024 and December 31, 2023, respectively)</w:t>
            </w: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and distributions payable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172,191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171,176</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Accrued interest payable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121,360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133,684</w:t>
            </w: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Other liabilities (amounts related to VIEs of $89,876 and $115,275 at September 30, 2024 and</w:t>
            </w: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407,441</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445,947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December 31, 2023, respectively)</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18,123,230</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17,833,785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83" w:right="359" w:bottom="144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BXP, INC.</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5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8)</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Redeemable deferred stock units— 132,930 and 119,471 units outstanding at redemption value at</w:t>
            </w: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10,696</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8,383</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September 30, 2024 and December 31, 2023, respectively</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Stockholders’ equity attributable to BXP, Inc.:</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Excess stock, $0.01 par value, 150,000,000 shares authorized, none issued or outstanding</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Preferred stock, $0.01 par value, 50,000,000 shares authorized, none issued or outstanding</w:t>
            </w:r>
          </w:p>
        </w:tc>
        <w:tc>
          <w:tcPr>
            <w:tcW w:w="1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Common stock, $0.01 par value, 250,000,000 shares authorized, 158,058,798 and 157,019,766 issued</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680"/>
              <w:spacing w:after="0" w:line="162" w:lineRule="exact"/>
              <w:rPr>
                <w:sz w:val="20"/>
                <w:szCs w:val="20"/>
                <w:color w:val="auto"/>
              </w:rPr>
            </w:pPr>
            <w:r>
              <w:rPr>
                <w:rFonts w:ascii="Arial" w:cs="Arial" w:eastAsia="Arial" w:hAnsi="Arial"/>
                <w:sz w:val="16"/>
                <w:szCs w:val="16"/>
                <w:color w:val="auto"/>
              </w:rPr>
              <w:t>and 157,979,898 and 156,940,866 outstanding at September 30, 2024 and December 31, 2023,</w:t>
            </w: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respectively</w:t>
            </w:r>
          </w:p>
        </w:tc>
        <w:tc>
          <w:tcPr>
            <w:tcW w:w="1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6,822,489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6,715,149</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in excess of earnings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(1,035,710)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(816,152)</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Treasury common stock at cost, 78,900 shares at September 30, 2024 and December 31, 2023</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(2,722)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(26,428)</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(21,147)</w:t>
            </w:r>
          </w:p>
        </w:tc>
        <w:tc>
          <w:tcPr>
            <w:tcW w:w="0" w:type="dxa"/>
            <w:vAlign w:val="bottom"/>
          </w:tcPr>
          <w:p>
            <w:pPr>
              <w:spacing w:after="0"/>
              <w:rPr>
                <w:sz w:val="1"/>
                <w:szCs w:val="1"/>
                <w:color w:val="auto"/>
              </w:rPr>
            </w:pPr>
          </w:p>
        </w:tc>
      </w:tr>
      <w:tr>
        <w:trPr>
          <w:trHeight w:val="209"/>
        </w:trPr>
        <w:tc>
          <w:tcPr>
            <w:tcW w:w="8020" w:type="dxa"/>
            <w:vAlign w:val="bottom"/>
          </w:tcPr>
          <w:p>
            <w:pPr>
              <w:ind w:left="680"/>
              <w:spacing w:after="0"/>
              <w:rPr>
                <w:sz w:val="20"/>
                <w:szCs w:val="20"/>
                <w:color w:val="auto"/>
              </w:rPr>
            </w:pPr>
            <w:r>
              <w:rPr>
                <w:rFonts w:ascii="Arial" w:cs="Arial" w:eastAsia="Arial" w:hAnsi="Arial"/>
                <w:sz w:val="16"/>
                <w:szCs w:val="16"/>
                <w:color w:val="auto"/>
              </w:rPr>
              <w:t>Total stockholders’ equity attributable to BXP, Inc.</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5,759,209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5,876,697</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Common units of Boston Properties Limited Partnership</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638,129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666,580</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partnerships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1,874,272</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1,640,704</w:t>
            </w:r>
          </w:p>
        </w:tc>
        <w:tc>
          <w:tcPr>
            <w:tcW w:w="0" w:type="dxa"/>
            <w:vAlign w:val="bottom"/>
          </w:tcPr>
          <w:p>
            <w:pPr>
              <w:spacing w:after="0"/>
              <w:rPr>
                <w:sz w:val="1"/>
                <w:szCs w:val="1"/>
                <w:color w:val="auto"/>
              </w:rPr>
            </w:pPr>
          </w:p>
        </w:tc>
      </w:tr>
      <w:tr>
        <w:trPr>
          <w:trHeight w:val="209"/>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8,271,610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8,183,981</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26,405,536</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26,026,149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BXP,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and in thousands, except for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21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21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Lease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799,471</w:t>
            </w:r>
          </w:p>
        </w:tc>
        <w:tc>
          <w:tcPr>
            <w:tcW w:w="2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767,181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2,378,616</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2,285,789</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Parking and other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81,421</w:t>
            </w: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38,080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35,554</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management services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28,122</w:t>
            </w:r>
          </w:p>
        </w:tc>
        <w:tc>
          <w:tcPr>
            <w:tcW w:w="0" w:type="dxa"/>
            <w:vAlign w:val="bottom"/>
          </w:tcPr>
          <w:p>
            <w:pPr>
              <w:spacing w:after="0"/>
              <w:rPr>
                <w:sz w:val="1"/>
                <w:szCs w:val="1"/>
                <w:color w:val="auto"/>
              </w:rPr>
            </w:pPr>
          </w:p>
        </w:tc>
      </w:tr>
      <w:tr>
        <w:trPr>
          <w:trHeight w:val="162"/>
        </w:trPr>
        <w:tc>
          <w:tcPr>
            <w:tcW w:w="6320" w:type="dxa"/>
            <w:vAlign w:val="bottom"/>
          </w:tcPr>
          <w:p>
            <w:pPr>
              <w:ind w:left="360"/>
              <w:spacing w:after="0" w:line="162"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3,649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3,906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12,090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13,750</w:t>
            </w:r>
          </w:p>
        </w:tc>
        <w:tc>
          <w:tcPr>
            <w:tcW w:w="0" w:type="dxa"/>
            <w:vAlign w:val="bottom"/>
          </w:tcPr>
          <w:p>
            <w:pPr>
              <w:spacing w:after="0"/>
              <w:rPr>
                <w:sz w:val="1"/>
                <w:szCs w:val="1"/>
                <w:color w:val="auto"/>
              </w:rPr>
            </w:pPr>
          </w:p>
        </w:tc>
      </w:tr>
      <w:tr>
        <w:trPr>
          <w:trHeight w:val="215"/>
        </w:trPr>
        <w:tc>
          <w:tcPr>
            <w:tcW w:w="63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contracts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859,227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824,283</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2,549,148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2,444,636</w:t>
            </w:r>
          </w:p>
        </w:tc>
        <w:tc>
          <w:tcPr>
            <w:tcW w:w="0" w:type="dxa"/>
            <w:vAlign w:val="bottom"/>
          </w:tcPr>
          <w:p>
            <w:pPr>
              <w:spacing w:after="0"/>
              <w:rPr>
                <w:sz w:val="1"/>
                <w:szCs w:val="1"/>
                <w:color w:val="auto"/>
              </w:rPr>
            </w:pPr>
          </w:p>
        </w:tc>
      </w:tr>
      <w:tr>
        <w:trPr>
          <w:trHeight w:val="195"/>
        </w:trPr>
        <w:tc>
          <w:tcPr>
            <w:tcW w:w="6320" w:type="dxa"/>
            <w:vAlign w:val="bottom"/>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680"/>
              <w:spacing w:after="0"/>
              <w:rPr>
                <w:sz w:val="20"/>
                <w:szCs w:val="20"/>
                <w:color w:val="auto"/>
              </w:rPr>
            </w:pPr>
            <w:r>
              <w:rPr>
                <w:rFonts w:ascii="Arial" w:cs="Arial" w:eastAsia="Arial" w:hAnsi="Arial"/>
                <w:sz w:val="16"/>
                <w:szCs w:val="16"/>
                <w:color w:val="auto"/>
              </w:rPr>
              <w:t>Rental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327,897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300,192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963,480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882,536</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Hotel</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23,852</w:t>
            </w: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33,352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31,410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127,479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131,387</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13,750</w:t>
            </w: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1,970</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222,890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207,435</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661,148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618,746</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597,809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552,714</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1,790,774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1,672,241</w:t>
            </w:r>
          </w:p>
        </w:tc>
        <w:tc>
          <w:tcPr>
            <w:tcW w:w="0" w:type="dxa"/>
            <w:vAlign w:val="bottom"/>
          </w:tcPr>
          <w:p>
            <w:pPr>
              <w:spacing w:after="0"/>
              <w:rPr>
                <w:sz w:val="1"/>
                <w:szCs w:val="1"/>
                <w:color w:val="auto"/>
              </w:rPr>
            </w:pPr>
          </w:p>
        </w:tc>
      </w:tr>
      <w:tr>
        <w:trPr>
          <w:trHeight w:val="19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Income (loss) from unconsolidated joint ventures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(247,556)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(261,793)</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on sales of real estate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Interest and other income (loss)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39,747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48,999</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(losses) from investments in securities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Unrealized gain (loss) on non-real estate investment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loss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(163,194)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(147,812)</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(474,727)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(424,492)</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138,269</w:t>
            </w: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(59,337)</w:t>
            </w:r>
          </w:p>
        </w:tc>
        <w:tc>
          <w:tcPr>
            <w:tcW w:w="0" w:type="dxa"/>
            <w:vAlign w:val="bottom"/>
          </w:tcPr>
          <w:p>
            <w:pPr>
              <w:spacing w:after="0"/>
              <w:rPr>
                <w:sz w:val="1"/>
                <w:szCs w:val="1"/>
                <w:color w:val="auto"/>
              </w:rPr>
            </w:pPr>
          </w:p>
        </w:tc>
      </w:tr>
      <w:tr>
        <w:trPr>
          <w:trHeight w:val="215"/>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12,626</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(8,642)</w:t>
            </w:r>
          </w:p>
        </w:tc>
        <w:tc>
          <w:tcPr>
            <w:tcW w:w="0" w:type="dxa"/>
            <w:vAlign w:val="bottom"/>
          </w:tcPr>
          <w:p>
            <w:pPr>
              <w:spacing w:after="0"/>
              <w:rPr>
                <w:sz w:val="1"/>
                <w:szCs w:val="1"/>
                <w:color w:val="auto"/>
              </w:rPr>
            </w:pPr>
          </w:p>
        </w:tc>
      </w:tr>
      <w:tr>
        <w:trPr>
          <w:trHeight w:val="23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BXP, Inc.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83,628</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(111,826)</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243,126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70,290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earnings per common share attributable to BXP, Inc.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Weighted average number of common shares outstanding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157,725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156,880</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157,250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156,837</w:t>
            </w:r>
          </w:p>
        </w:tc>
        <w:tc>
          <w:tcPr>
            <w:tcW w:w="0" w:type="dxa"/>
            <w:vAlign w:val="bottom"/>
          </w:tcPr>
          <w:p>
            <w:pPr>
              <w:spacing w:after="0"/>
              <w:rPr>
                <w:sz w:val="1"/>
                <w:szCs w:val="1"/>
                <w:color w:val="auto"/>
              </w:rPr>
            </w:pPr>
          </w:p>
        </w:tc>
      </w:tr>
      <w:tr>
        <w:trPr>
          <w:trHeight w:val="19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 attributable to BXP, Inc.</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 average number of common and common equivalent shares outstanding</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158,213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156,880</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157,547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BXP,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and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6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ind w:left="40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216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2023</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(103,543)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322,005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138,269</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portion of interest rate contracts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(32,263)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w:t>
            </w:r>
          </w:p>
        </w:tc>
      </w:tr>
      <w:tr>
        <w:trPr>
          <w:trHeight w:val="229"/>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interest rate contracts (1)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w:t>
            </w:r>
          </w:p>
        </w:tc>
      </w:tr>
      <w:tr>
        <w:trPr>
          <w:trHeight w:val="223"/>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(29,186)</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18,912</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79,266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(96,407)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316,547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157,181</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(24,824)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(67,979)</w:t>
            </w:r>
          </w:p>
        </w:tc>
      </w:tr>
      <w:tr>
        <w:trPr>
          <w:trHeight w:val="22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BXP,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(105,554)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237,845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7" w:lineRule="exact"/>
        <w:rPr>
          <w:sz w:val="20"/>
          <w:szCs w:val="20"/>
          <w:color w:val="auto"/>
        </w:rPr>
      </w:pPr>
    </w:p>
    <w:p>
      <w:pPr>
        <w:ind w:left="340" w:right="960" w:hanging="332"/>
        <w:spacing w:after="0" w:line="266"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BXP, Inc.’s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BXP,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EQUITY</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 and in thousands)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3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Common Stock</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Dividends in</w:t>
            </w: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Noncontrolling</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rPr>
              <w:t>Other</w:t>
            </w:r>
          </w:p>
        </w:tc>
        <w:tc>
          <w:tcPr>
            <w:tcW w:w="11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Interests -</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8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5"/>
                <w:szCs w:val="5"/>
                <w:color w:val="auto"/>
              </w:rPr>
            </w:pPr>
          </w:p>
        </w:tc>
        <w:tc>
          <w:tcPr>
            <w:tcW w:w="9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5"/>
                <w:szCs w:val="5"/>
                <w:color w:val="auto"/>
              </w:rPr>
            </w:pPr>
          </w:p>
        </w:tc>
        <w:tc>
          <w:tcPr>
            <w:tcW w:w="6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Stock,</w:t>
            </w:r>
          </w:p>
        </w:tc>
        <w:tc>
          <w:tcPr>
            <w:tcW w:w="1200" w:type="dxa"/>
            <w:vAlign w:val="bottom"/>
            <w:gridSpan w:val="3"/>
            <w:vMerge w:val="restart"/>
          </w:tcPr>
          <w:p>
            <w:pPr>
              <w:ind w:left="2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5"/>
                <w:szCs w:val="5"/>
                <w:color w:val="auto"/>
              </w:rPr>
            </w:pPr>
          </w:p>
        </w:tc>
        <w:tc>
          <w:tcPr>
            <w:tcW w:w="100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Interests -</w:t>
            </w:r>
          </w:p>
        </w:tc>
        <w:tc>
          <w:tcPr>
            <w:tcW w:w="140" w:type="dxa"/>
            <w:vAlign w:val="bottom"/>
          </w:tcPr>
          <w:p>
            <w:pPr>
              <w:spacing w:after="0"/>
              <w:rPr>
                <w:sz w:val="5"/>
                <w:szCs w:val="5"/>
                <w:color w:val="auto"/>
              </w:rPr>
            </w:pPr>
          </w:p>
        </w:tc>
        <w:tc>
          <w:tcPr>
            <w:tcW w:w="10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Property</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880" w:type="dxa"/>
            <w:vAlign w:val="bottom"/>
          </w:tcPr>
          <w:p>
            <w:pPr>
              <w:spacing w:after="0"/>
              <w:rPr>
                <w:sz w:val="4"/>
                <w:szCs w:val="4"/>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88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at cost</w:t>
            </w: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 Units</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Partnerships</w:t>
            </w: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June 30, 2024</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157,098</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$ 1,571</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$ 6,768,686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(964,518)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677,789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1,801,676</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$ 8,282,327</w:t>
            </w:r>
          </w:p>
        </w:tc>
        <w:tc>
          <w:tcPr>
            <w:tcW w:w="0" w:type="dxa"/>
            <w:vAlign w:val="bottom"/>
          </w:tcPr>
          <w:p>
            <w:pPr>
              <w:spacing w:after="0"/>
              <w:rPr>
                <w:sz w:val="1"/>
                <w:szCs w:val="1"/>
                <w:color w:val="auto"/>
              </w:rPr>
            </w:pPr>
          </w:p>
        </w:tc>
      </w:tr>
      <w:tr>
        <w:trPr>
          <w:trHeight w:val="149"/>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Redemption of operating partnership units to</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875</w:t>
            </w:r>
          </w:p>
        </w:tc>
        <w:tc>
          <w:tcPr>
            <w:tcW w:w="8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30,983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(30,992)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83,628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9,587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108,452</w:t>
            </w: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(154,820)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(17,986)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(172,806)</w:t>
            </w: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pursuant to stock purchase</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3,225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sale of interest in property</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8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partnerships and contributions from</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 interests in property</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23,615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72,109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95,724</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partnerships</w:t>
            </w:r>
          </w:p>
        </w:tc>
        <w:tc>
          <w:tcPr>
            <w:tcW w:w="6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Distributions to noncontrolling interests in</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(14,894)</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(14,894)</w:t>
            </w:r>
          </w:p>
        </w:tc>
        <w:tc>
          <w:tcPr>
            <w:tcW w:w="0" w:type="dxa"/>
            <w:vAlign w:val="bottom"/>
          </w:tcPr>
          <w:p>
            <w:pPr>
              <w:spacing w:after="0"/>
              <w:rPr>
                <w:sz w:val="1"/>
                <w:szCs w:val="1"/>
                <w:color w:val="auto"/>
              </w:rPr>
            </w:pPr>
          </w:p>
        </w:tc>
      </w:tr>
      <w:tr>
        <w:trPr>
          <w:trHeight w:val="189"/>
        </w:trPr>
        <w:tc>
          <w:tcPr>
            <w:tcW w:w="2880" w:type="dxa"/>
            <w:vAlign w:val="bottom"/>
          </w:tcPr>
          <w:p>
            <w:pPr>
              <w:ind w:left="100"/>
              <w:spacing w:after="0"/>
              <w:rPr>
                <w:sz w:val="20"/>
                <w:szCs w:val="20"/>
                <w:color w:val="auto"/>
              </w:rPr>
            </w:pPr>
            <w:r>
              <w:rPr>
                <w:rFonts w:ascii="Arial" w:cs="Arial" w:eastAsia="Arial" w:hAnsi="Arial"/>
                <w:sz w:val="14"/>
                <w:szCs w:val="14"/>
                <w:color w:val="auto"/>
              </w:rPr>
              <w:t>property partnerships</w:t>
            </w: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(32,263)</w:t>
            </w: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3,077</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880" w:type="dxa"/>
            <w:vAlign w:val="bottom"/>
          </w:tcPr>
          <w:p>
            <w:pPr>
              <w:ind w:left="20"/>
              <w:spacing w:after="0"/>
              <w:rPr>
                <w:sz w:val="20"/>
                <w:szCs w:val="20"/>
                <w:color w:val="auto"/>
              </w:rPr>
            </w:pPr>
            <w:r>
              <w:rPr>
                <w:rFonts w:ascii="Arial" w:cs="Arial" w:eastAsia="Arial" w:hAnsi="Arial"/>
                <w:sz w:val="14"/>
                <w:szCs w:val="14"/>
                <w:color w:val="auto"/>
              </w:rPr>
              <w:t>Equity, September 30, 2024</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157,980</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$ 1,580</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$ 6,822,489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(1,035,710)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(26,428)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638,129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1,874,272</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$ 8,271,610</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Equity, June 30, 2023</w:t>
            </w:r>
          </w:p>
        </w:tc>
        <w:tc>
          <w:tcPr>
            <w:tcW w:w="600" w:type="dxa"/>
            <w:vAlign w:val="bottom"/>
          </w:tcPr>
          <w:p>
            <w:pPr>
              <w:jc w:val="right"/>
              <w:spacing w:after="0"/>
              <w:rPr>
                <w:sz w:val="20"/>
                <w:szCs w:val="20"/>
                <w:color w:val="auto"/>
              </w:rPr>
            </w:pPr>
            <w:r>
              <w:rPr>
                <w:rFonts w:ascii="Arial" w:cs="Arial" w:eastAsia="Arial" w:hAnsi="Arial"/>
                <w:sz w:val="14"/>
                <w:szCs w:val="14"/>
                <w:color w:val="auto"/>
              </w:rPr>
              <w:t>156,854</w:t>
            </w:r>
          </w:p>
        </w:tc>
        <w:tc>
          <w:tcPr>
            <w:tcW w:w="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$ 1,569</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$ 6,561,161</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(516,550)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(3,406)</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689,123</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1,557,368</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$ 8,286,543</w:t>
            </w: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Redemption of operating partnership units to</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Allocated net income (loss) for the period</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(111,925)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20,909</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(103,543)</w:t>
            </w:r>
          </w:p>
        </w:tc>
        <w:tc>
          <w:tcPr>
            <w:tcW w:w="0" w:type="dxa"/>
            <w:vAlign w:val="bottom"/>
          </w:tcPr>
          <w:p>
            <w:pPr>
              <w:spacing w:after="0"/>
              <w:rPr>
                <w:sz w:val="1"/>
                <w:szCs w:val="1"/>
                <w:color w:val="auto"/>
              </w:rPr>
            </w:pPr>
          </w:p>
        </w:tc>
      </w:tr>
      <w:tr>
        <w:trPr>
          <w:trHeight w:val="207"/>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Dividends/distributions declared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(172,101)</w:t>
            </w:r>
          </w:p>
        </w:tc>
        <w:tc>
          <w:tcPr>
            <w:tcW w:w="0" w:type="dxa"/>
            <w:vAlign w:val="bottom"/>
          </w:tcPr>
          <w:p>
            <w:pPr>
              <w:spacing w:after="0"/>
              <w:rPr>
                <w:sz w:val="1"/>
                <w:szCs w:val="1"/>
                <w:color w:val="auto"/>
              </w:rPr>
            </w:pPr>
          </w:p>
        </w:tc>
      </w:tr>
      <w:tr>
        <w:trPr>
          <w:trHeight w:val="148"/>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Shares issued pursuant to stock purchase</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4,065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4,486</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Proceeds from sale of interest in property</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80" w:type="dxa"/>
            <w:vAlign w:val="bottom"/>
          </w:tcPr>
          <w:p>
            <w:pPr>
              <w:ind w:left="180"/>
              <w:spacing w:after="0" w:line="139" w:lineRule="exact"/>
              <w:rPr>
                <w:sz w:val="20"/>
                <w:szCs w:val="20"/>
                <w:color w:val="auto"/>
              </w:rPr>
            </w:pPr>
            <w:r>
              <w:rPr>
                <w:rFonts w:ascii="Arial" w:cs="Arial" w:eastAsia="Arial" w:hAnsi="Arial"/>
                <w:sz w:val="14"/>
                <w:szCs w:val="14"/>
                <w:color w:val="auto"/>
              </w:rPr>
              <w:t>partnerships and contributions from</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noncontrolling interests in property</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22,635</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22,635</w:t>
            </w:r>
          </w:p>
        </w:tc>
        <w:tc>
          <w:tcPr>
            <w:tcW w:w="0" w:type="dxa"/>
            <w:vAlign w:val="bottom"/>
          </w:tcPr>
          <w:p>
            <w:pPr>
              <w:spacing w:after="0"/>
              <w:rPr>
                <w:sz w:val="1"/>
                <w:szCs w:val="1"/>
                <w:color w:val="auto"/>
              </w:rPr>
            </w:pPr>
          </w:p>
        </w:tc>
      </w:tr>
      <w:tr>
        <w:trPr>
          <w:trHeight w:val="194"/>
        </w:trPr>
        <w:tc>
          <w:tcPr>
            <w:tcW w:w="2880" w:type="dxa"/>
            <w:vAlign w:val="bottom"/>
          </w:tcPr>
          <w:p>
            <w:pPr>
              <w:ind w:left="180"/>
              <w:spacing w:after="0"/>
              <w:rPr>
                <w:sz w:val="20"/>
                <w:szCs w:val="20"/>
                <w:color w:val="auto"/>
              </w:rPr>
            </w:pPr>
            <w:r>
              <w:rPr>
                <w:rFonts w:ascii="Arial" w:cs="Arial" w:eastAsia="Arial" w:hAnsi="Arial"/>
                <w:sz w:val="14"/>
                <w:szCs w:val="14"/>
                <w:color w:val="auto"/>
              </w:rPr>
              <w:t>partnerships</w:t>
            </w: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to noncontrolling interests in</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(12,150)</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(12,150)</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partnerships</w:t>
            </w:r>
          </w:p>
        </w:tc>
        <w:tc>
          <w:tcPr>
            <w:tcW w:w="6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207"/>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(3,573)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September 30, 2023</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$ 1,569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$ 6,568,645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(782,275)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656,587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1,588,906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$ 8,033,576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BXP,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3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Dividends in</w:t>
            </w:r>
          </w:p>
        </w:tc>
        <w:tc>
          <w:tcPr>
            <w:tcW w:w="7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Noncontrolling</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Interests -</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8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jc w:val="center"/>
              <w:ind w:right="80"/>
              <w:spacing w:after="0" w:line="144"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5"/>
                <w:szCs w:val="5"/>
                <w:color w:val="auto"/>
              </w:rPr>
            </w:pPr>
          </w:p>
        </w:tc>
        <w:tc>
          <w:tcPr>
            <w:tcW w:w="880" w:type="dxa"/>
            <w:vAlign w:val="bottom"/>
            <w:gridSpan w:val="2"/>
            <w:vMerge w:val="restart"/>
          </w:tcPr>
          <w:p>
            <w:pPr>
              <w:jc w:val="center"/>
              <w:ind w:right="180"/>
              <w:spacing w:after="0" w:line="144" w:lineRule="exact"/>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5"/>
                <w:szCs w:val="5"/>
                <w:color w:val="auto"/>
              </w:rPr>
            </w:pPr>
          </w:p>
        </w:tc>
        <w:tc>
          <w:tcPr>
            <w:tcW w:w="660" w:type="dxa"/>
            <w:vAlign w:val="bottom"/>
            <w:gridSpan w:val="2"/>
            <w:vMerge w:val="restart"/>
          </w:tcPr>
          <w:p>
            <w:pPr>
              <w:jc w:val="center"/>
              <w:ind w:right="200"/>
              <w:spacing w:after="0" w:line="144" w:lineRule="exact"/>
              <w:rPr>
                <w:sz w:val="20"/>
                <w:szCs w:val="20"/>
                <w:color w:val="auto"/>
              </w:rPr>
            </w:pPr>
            <w:r>
              <w:rPr>
                <w:rFonts w:ascii="Arial" w:cs="Arial" w:eastAsia="Arial" w:hAnsi="Arial"/>
                <w:sz w:val="14"/>
                <w:szCs w:val="14"/>
                <w:b w:val="1"/>
                <w:bCs w:val="1"/>
                <w:color w:val="auto"/>
                <w:w w:val="99"/>
              </w:rPr>
              <w:t>Stock,</w:t>
            </w:r>
          </w:p>
        </w:tc>
        <w:tc>
          <w:tcPr>
            <w:tcW w:w="1200" w:type="dxa"/>
            <w:vAlign w:val="bottom"/>
            <w:gridSpan w:val="3"/>
            <w:vMerge w:val="restart"/>
          </w:tcPr>
          <w:p>
            <w:pPr>
              <w:ind w:left="20"/>
              <w:spacing w:after="0" w:line="144"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5"/>
                <w:szCs w:val="5"/>
                <w:color w:val="auto"/>
              </w:rPr>
            </w:pPr>
          </w:p>
        </w:tc>
        <w:tc>
          <w:tcPr>
            <w:tcW w:w="1000" w:type="dxa"/>
            <w:vAlign w:val="bottom"/>
            <w:gridSpan w:val="2"/>
            <w:vMerge w:val="restart"/>
          </w:tcPr>
          <w:p>
            <w:pPr>
              <w:ind w:left="60"/>
              <w:spacing w:after="0" w:line="144" w:lineRule="exact"/>
              <w:rPr>
                <w:sz w:val="20"/>
                <w:szCs w:val="20"/>
                <w:color w:val="auto"/>
              </w:rPr>
            </w:pPr>
            <w:r>
              <w:rPr>
                <w:rFonts w:ascii="Arial" w:cs="Arial" w:eastAsia="Arial" w:hAnsi="Arial"/>
                <w:sz w:val="14"/>
                <w:szCs w:val="14"/>
                <w:b w:val="1"/>
                <w:bCs w:val="1"/>
                <w:color w:val="auto"/>
              </w:rPr>
              <w:t>Interests -</w:t>
            </w:r>
          </w:p>
        </w:tc>
        <w:tc>
          <w:tcPr>
            <w:tcW w:w="160" w:type="dxa"/>
            <w:vAlign w:val="bottom"/>
          </w:tcPr>
          <w:p>
            <w:pPr>
              <w:spacing w:after="0"/>
              <w:rPr>
                <w:sz w:val="5"/>
                <w:szCs w:val="5"/>
                <w:color w:val="auto"/>
              </w:rPr>
            </w:pPr>
          </w:p>
        </w:tc>
        <w:tc>
          <w:tcPr>
            <w:tcW w:w="1000" w:type="dxa"/>
            <w:vAlign w:val="bottom"/>
            <w:gridSpan w:val="2"/>
            <w:vMerge w:val="restart"/>
          </w:tcPr>
          <w:p>
            <w:pPr>
              <w:jc w:val="center"/>
              <w:ind w:right="240"/>
              <w:spacing w:after="0" w:line="144" w:lineRule="exact"/>
              <w:rPr>
                <w:sz w:val="20"/>
                <w:szCs w:val="20"/>
                <w:color w:val="auto"/>
              </w:rPr>
            </w:pPr>
            <w:r>
              <w:rPr>
                <w:rFonts w:ascii="Arial" w:cs="Arial" w:eastAsia="Arial" w:hAnsi="Arial"/>
                <w:sz w:val="14"/>
                <w:szCs w:val="14"/>
                <w:b w:val="1"/>
                <w:bCs w:val="1"/>
                <w:color w:val="auto"/>
              </w:rPr>
              <w:t>Property</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820" w:type="dxa"/>
            <w:vAlign w:val="bottom"/>
          </w:tcPr>
          <w:p>
            <w:pPr>
              <w:spacing w:after="0"/>
              <w:rPr>
                <w:sz w:val="5"/>
                <w:szCs w:val="5"/>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at cost</w:t>
            </w: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Loss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 Units</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Partnerships</w:t>
            </w: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December 31, 2023</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156,941</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$ 1,569</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$ 6,715,149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(816,152)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(21,147)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666,580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1,640,704</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$ 8,183,981</w:t>
            </w: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Redemption of operating partnership units</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952</w:t>
            </w: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33,735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(33,746)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820" w:type="dxa"/>
            <w:vAlign w:val="bottom"/>
          </w:tcPr>
          <w:p>
            <w:pPr>
              <w:ind w:left="100"/>
              <w:spacing w:after="0"/>
              <w:rPr>
                <w:sz w:val="20"/>
                <w:szCs w:val="20"/>
                <w:color w:val="auto"/>
              </w:rPr>
            </w:pPr>
            <w:r>
              <w:rPr>
                <w:rFonts w:ascii="Arial" w:cs="Arial" w:eastAsia="Arial" w:hAnsi="Arial"/>
                <w:sz w:val="14"/>
                <w:szCs w:val="14"/>
                <w:color w:val="auto"/>
              </w:rPr>
              <w:t>to common stock</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243,126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28,596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50,283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322,005</w:t>
            </w:r>
          </w:p>
        </w:tc>
        <w:tc>
          <w:tcPr>
            <w:tcW w:w="0" w:type="dxa"/>
            <w:vAlign w:val="bottom"/>
          </w:tcPr>
          <w:p>
            <w:pPr>
              <w:spacing w:after="0"/>
              <w:rPr>
                <w:sz w:val="1"/>
                <w:szCs w:val="1"/>
                <w:color w:val="auto"/>
              </w:rPr>
            </w:pPr>
          </w:p>
        </w:tc>
      </w:tr>
      <w:tr>
        <w:trPr>
          <w:trHeight w:val="199"/>
        </w:trPr>
        <w:tc>
          <w:tcPr>
            <w:tcW w:w="282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(462,684)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(55,692)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(518,376)</w:t>
            </w: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Shares issued pursuant to stock purchase</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0" w:type="dxa"/>
            <w:vAlign w:val="bottom"/>
          </w:tcPr>
          <w:p>
            <w:pPr>
              <w:spacing w:after="0"/>
              <w:rPr>
                <w:sz w:val="1"/>
                <w:szCs w:val="1"/>
                <w:color w:val="auto"/>
              </w:rPr>
            </w:pPr>
          </w:p>
        </w:tc>
      </w:tr>
      <w:tr>
        <w:trPr>
          <w:trHeight w:val="185"/>
        </w:trPr>
        <w:tc>
          <w:tcPr>
            <w:tcW w:w="2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plan</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2,988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31,535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34,523</w:t>
            </w:r>
          </w:p>
        </w:tc>
        <w:tc>
          <w:tcPr>
            <w:tcW w:w="0" w:type="dxa"/>
            <w:vAlign w:val="bottom"/>
          </w:tcPr>
          <w:p>
            <w:pPr>
              <w:spacing w:after="0"/>
              <w:rPr>
                <w:sz w:val="1"/>
                <w:szCs w:val="1"/>
                <w:color w:val="auto"/>
              </w:rPr>
            </w:pPr>
          </w:p>
        </w:tc>
      </w:tr>
      <w:tr>
        <w:trPr>
          <w:trHeight w:val="185"/>
        </w:trPr>
        <w:tc>
          <w:tcPr>
            <w:tcW w:w="2820" w:type="dxa"/>
            <w:vAlign w:val="bottom"/>
          </w:tcPr>
          <w:p>
            <w:pPr>
              <w:ind w:left="100"/>
              <w:spacing w:after="0"/>
              <w:rPr>
                <w:sz w:val="20"/>
                <w:szCs w:val="20"/>
                <w:color w:val="auto"/>
              </w:rPr>
            </w:pPr>
            <w:r>
              <w:rPr>
                <w:rFonts w:ascii="Arial" w:cs="Arial" w:eastAsia="Arial" w:hAnsi="Arial"/>
                <w:sz w:val="14"/>
                <w:szCs w:val="14"/>
                <w:color w:val="auto"/>
              </w:rPr>
              <w:t>plan</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Proceeds from sale of interest in property</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2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partnerships and contributions from</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2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rPr>
              <w:t>noncontrolling interests in property</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70,941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235,206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306,147</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partnerships</w:t>
            </w:r>
          </w:p>
        </w:tc>
        <w:tc>
          <w:tcPr>
            <w:tcW w:w="6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Distributions to noncontrolling interests in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(52,353)</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(52,353)</w:t>
            </w:r>
          </w:p>
        </w:tc>
        <w:tc>
          <w:tcPr>
            <w:tcW w:w="0" w:type="dxa"/>
            <w:vAlign w:val="bottom"/>
          </w:tcPr>
          <w:p>
            <w:pPr>
              <w:spacing w:after="0"/>
              <w:rPr>
                <w:sz w:val="1"/>
                <w:szCs w:val="1"/>
                <w:color w:val="auto"/>
              </w:rPr>
            </w:pPr>
          </w:p>
        </w:tc>
      </w:tr>
      <w:tr>
        <w:trPr>
          <w:trHeight w:val="185"/>
        </w:trPr>
        <w:tc>
          <w:tcPr>
            <w:tcW w:w="2820" w:type="dxa"/>
            <w:vAlign w:val="bottom"/>
          </w:tcPr>
          <w:p>
            <w:pPr>
              <w:ind w:left="100"/>
              <w:spacing w:after="0"/>
              <w:rPr>
                <w:sz w:val="20"/>
                <w:szCs w:val="20"/>
                <w:color w:val="auto"/>
              </w:rPr>
            </w:pPr>
            <w:r>
              <w:rPr>
                <w:rFonts w:ascii="Arial" w:cs="Arial" w:eastAsia="Arial" w:hAnsi="Arial"/>
                <w:sz w:val="14"/>
                <w:szCs w:val="14"/>
                <w:color w:val="auto"/>
              </w:rPr>
              <w:t>property partnerships</w:t>
            </w: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(14,976)</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9,518</w:t>
            </w:r>
          </w:p>
        </w:tc>
        <w:tc>
          <w:tcPr>
            <w:tcW w:w="0" w:type="dxa"/>
            <w:vAlign w:val="bottom"/>
          </w:tcPr>
          <w:p>
            <w:pPr>
              <w:spacing w:after="0"/>
              <w:rPr>
                <w:sz w:val="1"/>
                <w:szCs w:val="1"/>
                <w:color w:val="auto"/>
              </w:rPr>
            </w:pPr>
          </w:p>
        </w:tc>
      </w:tr>
      <w:tr>
        <w:trPr>
          <w:trHeight w:val="23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820" w:type="dxa"/>
            <w:vAlign w:val="bottom"/>
          </w:tcPr>
          <w:p>
            <w:pPr>
              <w:ind w:left="20"/>
              <w:spacing w:after="0"/>
              <w:rPr>
                <w:sz w:val="20"/>
                <w:szCs w:val="20"/>
                <w:color w:val="auto"/>
              </w:rPr>
            </w:pPr>
            <w:r>
              <w:rPr>
                <w:rFonts w:ascii="Arial" w:cs="Arial" w:eastAsia="Arial" w:hAnsi="Arial"/>
                <w:sz w:val="14"/>
                <w:szCs w:val="14"/>
                <w:color w:val="auto"/>
              </w:rPr>
              <w:t>Equity, September 30, 2024</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157,980</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$ 1,580</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$ 6,822,489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(1,035,710)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(26,428)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638,129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1,874,272</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$ 8,271,610</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Equity, December 31, 2022</w:t>
            </w:r>
          </w:p>
        </w:tc>
        <w:tc>
          <w:tcPr>
            <w:tcW w:w="600" w:type="dxa"/>
            <w:vAlign w:val="bottom"/>
          </w:tcPr>
          <w:p>
            <w:pPr>
              <w:jc w:val="right"/>
              <w:spacing w:after="0"/>
              <w:rPr>
                <w:sz w:val="20"/>
                <w:szCs w:val="20"/>
                <w:color w:val="auto"/>
              </w:rPr>
            </w:pPr>
            <w:r>
              <w:rPr>
                <w:rFonts w:ascii="Arial" w:cs="Arial" w:eastAsia="Arial" w:hAnsi="Arial"/>
                <w:sz w:val="14"/>
                <w:szCs w:val="14"/>
                <w:color w:val="auto"/>
              </w:rPr>
              <w:t>156,758</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$ 1,568</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$ 6,539,147</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(391,356)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(13,718)</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683,583</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1,547,317</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$ 8,363,819</w:t>
            </w: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Redemption of operating partnership units</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common stock</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Allocated net income for the period</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70,290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59,337</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138,269</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Dividends/distributions declared</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(516,247)</w:t>
            </w: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Shares issued pursuant to stock purchase</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42,088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45,847</w:t>
            </w:r>
          </w:p>
        </w:tc>
        <w:tc>
          <w:tcPr>
            <w:tcW w:w="0" w:type="dxa"/>
            <w:vAlign w:val="bottom"/>
          </w:tcPr>
          <w:p>
            <w:pPr>
              <w:spacing w:after="0"/>
              <w:rPr>
                <w:sz w:val="1"/>
                <w:szCs w:val="1"/>
                <w:color w:val="auto"/>
              </w:rPr>
            </w:pPr>
          </w:p>
        </w:tc>
      </w:tr>
      <w:tr>
        <w:trPr>
          <w:trHeight w:val="185"/>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Proceeds from sale of interest in property</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20" w:type="dxa"/>
            <w:vAlign w:val="bottom"/>
          </w:tcPr>
          <w:p>
            <w:pPr>
              <w:ind w:left="100"/>
              <w:spacing w:after="0" w:line="145" w:lineRule="exact"/>
              <w:rPr>
                <w:sz w:val="20"/>
                <w:szCs w:val="20"/>
                <w:color w:val="auto"/>
              </w:rPr>
            </w:pPr>
            <w:r>
              <w:rPr>
                <w:rFonts w:ascii="Arial" w:cs="Arial" w:eastAsia="Arial" w:hAnsi="Arial"/>
                <w:sz w:val="14"/>
                <w:szCs w:val="14"/>
                <w:color w:val="auto"/>
              </w:rPr>
              <w:t>partnerships and contributions from</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20" w:type="dxa"/>
            <w:vAlign w:val="bottom"/>
          </w:tcPr>
          <w:p>
            <w:pPr>
              <w:ind w:left="100"/>
              <w:spacing w:after="0" w:line="139" w:lineRule="exact"/>
              <w:rPr>
                <w:sz w:val="20"/>
                <w:szCs w:val="20"/>
                <w:color w:val="auto"/>
              </w:rPr>
            </w:pPr>
            <w:r>
              <w:rPr>
                <w:rFonts w:ascii="Arial" w:cs="Arial" w:eastAsia="Arial" w:hAnsi="Arial"/>
                <w:sz w:val="14"/>
                <w:szCs w:val="14"/>
                <w:color w:val="auto"/>
              </w:rPr>
              <w:t>noncontrolling interests in property</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4"/>
                <w:szCs w:val="14"/>
                <w:color w:val="auto"/>
              </w:rPr>
              <w:t>30,190</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30,190</w:t>
            </w:r>
          </w:p>
        </w:tc>
        <w:tc>
          <w:tcPr>
            <w:tcW w:w="0" w:type="dxa"/>
            <w:vAlign w:val="bottom"/>
          </w:tcPr>
          <w:p>
            <w:pPr>
              <w:spacing w:after="0"/>
              <w:rPr>
                <w:sz w:val="1"/>
                <w:szCs w:val="1"/>
                <w:color w:val="auto"/>
              </w:rPr>
            </w:pPr>
          </w:p>
        </w:tc>
      </w:tr>
      <w:tr>
        <w:trPr>
          <w:trHeight w:val="194"/>
        </w:trPr>
        <w:tc>
          <w:tcPr>
            <w:tcW w:w="2820" w:type="dxa"/>
            <w:vAlign w:val="bottom"/>
          </w:tcPr>
          <w:p>
            <w:pPr>
              <w:ind w:left="100"/>
              <w:spacing w:after="0"/>
              <w:rPr>
                <w:sz w:val="20"/>
                <w:szCs w:val="20"/>
                <w:color w:val="auto"/>
              </w:rPr>
            </w:pPr>
            <w:r>
              <w:rPr>
                <w:rFonts w:ascii="Arial" w:cs="Arial" w:eastAsia="Arial" w:hAnsi="Arial"/>
                <w:sz w:val="14"/>
                <w:szCs w:val="14"/>
                <w:color w:val="auto"/>
              </w:rPr>
              <w:t>partnerships</w:t>
            </w: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Distributions to noncontrolling interests in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(48,370)</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(48,370)</w:t>
            </w:r>
          </w:p>
        </w:tc>
        <w:tc>
          <w:tcPr>
            <w:tcW w:w="0" w:type="dxa"/>
            <w:vAlign w:val="bottom"/>
          </w:tcPr>
          <w:p>
            <w:pPr>
              <w:spacing w:after="0"/>
              <w:rPr>
                <w:sz w:val="1"/>
                <w:szCs w:val="1"/>
                <w:color w:val="auto"/>
              </w:rPr>
            </w:pPr>
          </w:p>
        </w:tc>
      </w:tr>
      <w:tr>
        <w:trPr>
          <w:trHeight w:val="185"/>
        </w:trPr>
        <w:tc>
          <w:tcPr>
            <w:tcW w:w="2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partnerships</w:t>
            </w:r>
          </w:p>
        </w:tc>
        <w:tc>
          <w:tcPr>
            <w:tcW w:w="6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13,886</w:t>
            </w:r>
          </w:p>
        </w:tc>
        <w:tc>
          <w:tcPr>
            <w:tcW w:w="0" w:type="dxa"/>
            <w:vAlign w:val="bottom"/>
          </w:tcPr>
          <w:p>
            <w:pPr>
              <w:spacing w:after="0"/>
              <w:rPr>
                <w:sz w:val="1"/>
                <w:szCs w:val="1"/>
                <w:color w:val="auto"/>
              </w:rPr>
            </w:pPr>
          </w:p>
        </w:tc>
      </w:tr>
      <w:tr>
        <w:trPr>
          <w:trHeight w:val="206"/>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5,026</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20,870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(20,870)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September 30, 2023</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$ 1,569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$ 6,568,645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(782,275)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656,587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1,588,906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$ 8,033,576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BXP,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7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322,005</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138,269</w:t>
            </w:r>
          </w:p>
        </w:tc>
      </w:tr>
      <w:tr>
        <w:trPr>
          <w:trHeight w:val="217"/>
        </w:trPr>
        <w:tc>
          <w:tcPr>
            <w:tcW w:w="7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661,148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618,746</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loss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Amortization of right of use assets - operating leases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1,719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1,502</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sales type lease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Amortization of above and below market leases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(4,245)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compensation expense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46,699</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(Income) loss from unconsolidated joint ventures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(6,376)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261,793</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27,332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21,871</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Gains from investments in securities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(4,785)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(2,311)</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Allowance for current expected credit losses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Non-cash portion of interest expense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25,575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22,541</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Gains on sales of real estate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Unrealized gain on non-real estate investment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assets and liabilities: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Tenant and other receivables,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23,932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(13,467)</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rental income, net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(78,576)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(72,190)</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(73,215)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(76,621)</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Right of use assets - operating lease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(25,640)</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Lease liabilities - operating leases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40,914</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Accrued interest payable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(12,383)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24,648</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w:t>
            </w:r>
          </w:p>
        </w:tc>
      </w:tr>
      <w:tr>
        <w:trPr>
          <w:trHeight w:val="215"/>
        </w:trPr>
        <w:tc>
          <w:tcPr>
            <w:tcW w:w="79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Tenant leasing costs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(61,661)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(65,863)</w:t>
            </w: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adjustments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528,750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776,103</w:t>
            </w:r>
          </w:p>
        </w:tc>
      </w:tr>
      <w:tr>
        <w:trPr>
          <w:trHeight w:val="209"/>
        </w:trPr>
        <w:tc>
          <w:tcPr>
            <w:tcW w:w="79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850,755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914,372</w:t>
            </w:r>
          </w:p>
        </w:tc>
      </w:tr>
      <w:tr>
        <w:trPr>
          <w:trHeight w:val="19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Construction in progress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(469,948)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(361,625)</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Building and other capital improvements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(117,393)</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Tenant improvements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(178,835)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(244,841)</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sales of real estate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Acquisition of real estate (net of cash received upon consolidation)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contributions to unconsolidated joint ventures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(87,498)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(148,875)</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Capital distributions from unconsolidated joint ventures</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7,350</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in non-real estate investments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Issuance of note receivables (including related party)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(10,500)</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 in securities, net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w:t>
            </w:r>
          </w:p>
        </w:tc>
      </w:tr>
      <w:tr>
        <w:trPr>
          <w:trHeight w:val="209"/>
        </w:trPr>
        <w:tc>
          <w:tcPr>
            <w:tcW w:w="7960" w:type="dxa"/>
            <w:vAlign w:val="bottom"/>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(850,787)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(875,578)</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BXP,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Repayments of mortgage notes payable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(3,461)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unsecured senior notes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849,671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747,727</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Repayment / redemption of unsecured senior notes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(700,000)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Borrowings on unsecured term loans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1,200,000</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Payments on finance lease obligations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unsecured term loans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Borrowings on commercial paper program</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3,554,932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on commercial paper program</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(3,054,932)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Deferred financing costs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(10,892)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(12,639)</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activity from equity transactions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Dividends and distributions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(517,361)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(514,974)</w:t>
            </w:r>
          </w:p>
        </w:tc>
        <w:tc>
          <w:tcPr>
            <w:tcW w:w="0" w:type="dxa"/>
            <w:vAlign w:val="bottom"/>
          </w:tcPr>
          <w:p>
            <w:pPr>
              <w:spacing w:after="0"/>
              <w:rPr>
                <w:sz w:val="1"/>
                <w:szCs w:val="1"/>
                <w:color w:val="auto"/>
              </w:rPr>
            </w:pPr>
          </w:p>
        </w:tc>
      </w:tr>
      <w:tr>
        <w:trPr>
          <w:trHeight w:val="163"/>
        </w:trPr>
        <w:tc>
          <w:tcPr>
            <w:tcW w:w="796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Proceeds from sale of interest in property partnerships and contributions from noncontrolling interests in</w:t>
            </w: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304,323</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12,671</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partnerships</w:t>
            </w:r>
          </w:p>
        </w:tc>
        <w:tc>
          <w:tcPr>
            <w:tcW w:w="2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(52,353)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(48,370)</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(141,051)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154,782</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 and cash held in escrows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(141,083)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193,576</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1,612,567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736,812</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1,471,484</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930,388</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960" w:type="dxa"/>
            <w:vAlign w:val="bottom"/>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1,531,477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690,333</w:t>
            </w: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held in escrows, beginning of period</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81,090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46,479</w:t>
            </w: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1,612,567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736,812</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1,420,475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882,647</w:t>
            </w: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held in escrows, end of period</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51,009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47,741</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1,471,484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930,388</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paid for interest (net of amounts capitalized)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505,746</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404,016</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capitalized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31,342</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33,426</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Write-off of fully depreciated real estate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(76,653)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(111,154)</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29,435</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Right of use assets obtained in exchange for lease liabilities - operating lease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30,631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134,509</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liability - finance lease reversal for re-assessment event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(38,491)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Right of use asset - finance lease reversal for re-assessment event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(28,962)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contributions from noncontrolling interests in property partnerships,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86,860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17,519</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Capitalized operating lease costs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5,031</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 in progress from prepaid expenses and other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25,577</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Investment in unconsolidated joint ventures eliminated upon consolidation</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Mortgage note payable recorded upon consolidation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207,093</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BXP,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7960" w:type="dxa"/>
            <w:vAlign w:val="bottom"/>
            <w:vMerge w:val="restart"/>
          </w:tcPr>
          <w:p>
            <w:pPr>
              <w:ind w:left="360"/>
              <w:spacing w:after="0"/>
              <w:rPr>
                <w:sz w:val="20"/>
                <w:szCs w:val="20"/>
                <w:color w:val="auto"/>
              </w:rPr>
            </w:pPr>
            <w:r>
              <w:rPr>
                <w:rFonts w:ascii="Arial" w:cs="Arial" w:eastAsia="Arial" w:hAnsi="Arial"/>
                <w:sz w:val="16"/>
                <w:szCs w:val="16"/>
                <w:color w:val="auto"/>
              </w:rPr>
              <w:t>Mortgage note payable converted to unsecured term loan</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 estate and intangibles recorded upon consolidation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(220,015)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Dividends and distributions declared but not paid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172,191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171,916</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Conversions of noncontrolling interests to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33,746</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0" w:type="dxa"/>
            <w:vAlign w:val="bottom"/>
          </w:tcPr>
          <w:p>
            <w:pPr>
              <w:spacing w:after="0"/>
              <w:rPr>
                <w:sz w:val="1"/>
                <w:szCs w:val="1"/>
                <w:color w:val="auto"/>
              </w:rPr>
            </w:pPr>
          </w:p>
        </w:tc>
      </w:tr>
      <w:tr>
        <w:trPr>
          <w:trHeight w:val="209"/>
        </w:trPr>
        <w:tc>
          <w:tcPr>
            <w:tcW w:w="7960" w:type="dxa"/>
            <w:vAlign w:val="bottom"/>
          </w:tcPr>
          <w:p>
            <w:pPr>
              <w:ind w:left="36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43,360</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3" w:right="339" w:bottom="999"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999"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8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2024</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56"/>
        </w:trPr>
        <w:tc>
          <w:tcPr>
            <w:tcW w:w="2800" w:type="dxa"/>
            <w:vAlign w:val="bottom"/>
            <w:tcBorders>
              <w:top w:val="single" w:sz="8" w:color="CCEEFF"/>
            </w:tcBorders>
            <w:shd w:val="clear" w:color="auto" w:fill="CCEEFF"/>
          </w:tcPr>
          <w:p>
            <w:pPr>
              <w:spacing w:after="0"/>
              <w:rPr>
                <w:sz w:val="13"/>
                <w:szCs w:val="13"/>
                <w:color w:val="auto"/>
              </w:rPr>
            </w:pPr>
          </w:p>
        </w:tc>
        <w:tc>
          <w:tcPr>
            <w:tcW w:w="5020" w:type="dxa"/>
            <w:vAlign w:val="bottom"/>
            <w:tcBorders>
              <w:top w:val="single" w:sz="8" w:color="CCEEFF"/>
            </w:tcBorders>
            <w:gridSpan w:val="4"/>
            <w:shd w:val="clear" w:color="auto" w:fill="CCEEFF"/>
          </w:tcPr>
          <w:p>
            <w:pPr>
              <w:jc w:val="center"/>
              <w:ind w:right="2940"/>
              <w:spacing w:after="0" w:line="155" w:lineRule="exact"/>
              <w:rPr>
                <w:sz w:val="20"/>
                <w:szCs w:val="20"/>
                <w:color w:val="auto"/>
              </w:rPr>
            </w:pPr>
            <w:r>
              <w:rPr>
                <w:rFonts w:ascii="Arial" w:cs="Arial" w:eastAsia="Arial" w:hAnsi="Arial"/>
                <w:sz w:val="16"/>
                <w:szCs w:val="16"/>
                <w:b w:val="1"/>
                <w:bCs w:val="1"/>
                <w:color w:val="auto"/>
                <w:w w:val="99"/>
              </w:rPr>
              <w:t>ASSETS</w:t>
            </w:r>
          </w:p>
        </w:tc>
        <w:tc>
          <w:tcPr>
            <w:tcW w:w="4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Real estate, at cost (amounts related to variable interest entities (“VIEs”) of $7,646,435 and $7,054,075 at</w:t>
            </w: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27,191,559</w:t>
            </w:r>
          </w:p>
        </w:tc>
        <w:tc>
          <w:tcPr>
            <w:tcW w:w="20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26,382,944</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September 30, 2024 and December 31, 2023, respectively)</w:t>
            </w:r>
          </w:p>
        </w:tc>
        <w:tc>
          <w:tcPr>
            <w:tcW w:w="42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Right of use assets - finance leases (amounts related to VIEs of $21,000 and $21,000 at September 30,</w:t>
            </w:r>
          </w:p>
        </w:tc>
        <w:tc>
          <w:tcPr>
            <w:tcW w:w="4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372,896</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401,680</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2024 and December 31, 2023, respectively)</w:t>
            </w:r>
          </w:p>
        </w:tc>
        <w:tc>
          <w:tcPr>
            <w:tcW w:w="4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Right of use assets - operating leases (amounts related to VIEs of $145,052 and $158,885 at September</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339,804</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324,298</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30, 2024 and December 31, 2023, respectively)</w:t>
            </w:r>
          </w:p>
        </w:tc>
        <w:tc>
          <w:tcPr>
            <w:tcW w:w="4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Less: accumulated depreciation (amounts related to VIEs of $(1,601,919) and $(1,501,483) at</w:t>
            </w:r>
          </w:p>
        </w:tc>
        <w:tc>
          <w:tcPr>
            <w:tcW w:w="4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(7,241,074)</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(6,758,361)</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September 30, 2024 and December 31, 2023, respectively)</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Total real estate</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20,663,185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20,350,561</w:t>
            </w: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Cash and cash equivalents (amounts related to VIEs of $322,604 and $245,317 at September 30, 2024</w:t>
            </w:r>
          </w:p>
        </w:tc>
        <w:tc>
          <w:tcPr>
            <w:tcW w:w="4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1,420,475</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1,531,477</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and December 31, 2023, respectively)</w:t>
            </w:r>
          </w:p>
        </w:tc>
        <w:tc>
          <w:tcPr>
            <w:tcW w:w="4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Cash held in escrows (amounts related to VIEs of $5,032 and $22,160 at September 30, 2024 and</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51,009</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81,090</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December 31, 2023, respectively)</w:t>
            </w:r>
          </w:p>
        </w:tc>
        <w:tc>
          <w:tcPr>
            <w:tcW w:w="4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39,186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36,337</w:t>
            </w: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Tenant and other receivables, net (amounts related to VIEs of $19,216 and $27,987 at September 30,</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99,706</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122,407</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2024 and December 31, 2023, respectively)</w:t>
            </w:r>
          </w:p>
        </w:tc>
        <w:tc>
          <w:tcPr>
            <w:tcW w:w="4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Note receivable, net</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15"/>
        </w:trPr>
        <w:tc>
          <w:tcPr>
            <w:tcW w:w="7820" w:type="dxa"/>
            <w:vAlign w:val="bottom"/>
            <w:gridSpan w:val="5"/>
          </w:tcPr>
          <w:p>
            <w:pPr>
              <w:ind w:left="20"/>
              <w:spacing w:after="0"/>
              <w:rPr>
                <w:sz w:val="20"/>
                <w:szCs w:val="20"/>
                <w:color w:val="auto"/>
              </w:rPr>
            </w:pPr>
            <w:r>
              <w:rPr>
                <w:rFonts w:ascii="Arial" w:cs="Arial" w:eastAsia="Arial" w:hAnsi="Arial"/>
                <w:sz w:val="16"/>
                <w:szCs w:val="16"/>
                <w:color w:val="auto"/>
              </w:rPr>
              <w:t>Related party notes receivables, net</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88,788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88,779</w:t>
            </w: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Sales-type lease receivable, net</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13,704</w:t>
            </w: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Accrued rental income, net (amounts related to VIEs of $425,867 and $401,159 at September 30, 2024</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1,438,492</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1,355,212</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and December 31, 2023, respectively)</w:t>
            </w:r>
          </w:p>
        </w:tc>
        <w:tc>
          <w:tcPr>
            <w:tcW w:w="4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Deferred charges, net (amounts related to VIEs of $201,947 and $175,383 at September 30, 2024 and</w:t>
            </w:r>
          </w:p>
        </w:tc>
        <w:tc>
          <w:tcPr>
            <w:tcW w:w="4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794,571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760,421</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December 31, 2023, respectively)</w:t>
            </w:r>
          </w:p>
        </w:tc>
        <w:tc>
          <w:tcPr>
            <w:tcW w:w="4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Prepaid expenses and other assets (amounts related to VIEs of $50,275 and $11,824 at September 30,</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132,078</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64,230</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2024 and December 31, 2023, respectively)</w:t>
            </w:r>
          </w:p>
        </w:tc>
        <w:tc>
          <w:tcPr>
            <w:tcW w:w="4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1,421,886</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1,377,319</w:t>
            </w:r>
          </w:p>
        </w:tc>
        <w:tc>
          <w:tcPr>
            <w:tcW w:w="0" w:type="dxa"/>
            <w:vAlign w:val="bottom"/>
          </w:tcPr>
          <w:p>
            <w:pPr>
              <w:spacing w:after="0"/>
              <w:rPr>
                <w:sz w:val="1"/>
                <w:szCs w:val="1"/>
                <w:color w:val="auto"/>
              </w:rPr>
            </w:pPr>
          </w:p>
        </w:tc>
      </w:tr>
      <w:tr>
        <w:trPr>
          <w:trHeight w:val="209"/>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26,167,742</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25,783,251</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800" w:type="dxa"/>
            <w:vAlign w:val="bottom"/>
            <w:shd w:val="clear" w:color="auto" w:fill="CCEEFF"/>
          </w:tcPr>
          <w:p>
            <w:pPr>
              <w:spacing w:after="0"/>
              <w:rPr>
                <w:sz w:val="14"/>
                <w:szCs w:val="14"/>
                <w:color w:val="auto"/>
              </w:rPr>
            </w:pPr>
          </w:p>
        </w:tc>
        <w:tc>
          <w:tcPr>
            <w:tcW w:w="5020" w:type="dxa"/>
            <w:vAlign w:val="bottom"/>
            <w:gridSpan w:val="4"/>
            <w:shd w:val="clear" w:color="auto" w:fill="CCEEFF"/>
          </w:tcPr>
          <w:p>
            <w:pPr>
              <w:jc w:val="center"/>
              <w:ind w:right="2960"/>
              <w:spacing w:after="0" w:line="143" w:lineRule="exact"/>
              <w:rPr>
                <w:sz w:val="20"/>
                <w:szCs w:val="20"/>
                <w:color w:val="auto"/>
              </w:rPr>
            </w:pPr>
            <w:r>
              <w:rPr>
                <w:rFonts w:ascii="Arial" w:cs="Arial" w:eastAsia="Arial" w:hAnsi="Arial"/>
                <w:sz w:val="16"/>
                <w:szCs w:val="16"/>
                <w:b w:val="1"/>
                <w:bCs w:val="1"/>
                <w:color w:val="auto"/>
              </w:rPr>
              <w:t>LIABILITIES AND CAPITAL</w:t>
            </w:r>
          </w:p>
        </w:tc>
        <w:tc>
          <w:tcPr>
            <w:tcW w:w="4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Liabilities:</w:t>
            </w:r>
          </w:p>
        </w:tc>
        <w:tc>
          <w:tcPr>
            <w:tcW w:w="2060" w:type="dxa"/>
            <w:vAlign w:val="bottom"/>
            <w:tcBorders>
              <w:top w:val="single" w:sz="8" w:color="auto"/>
            </w:tcBorders>
            <w:gridSpan w:val="3"/>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Mortgage notes payable, net (amounts related to VIEs of $3,280,817 and $3,277,185 at September</w:t>
            </w:r>
          </w:p>
        </w:tc>
        <w:tc>
          <w:tcPr>
            <w:tcW w:w="4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4,275,155</w:t>
            </w: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4,166,379</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30, 2024 and December 31, 2023, respectively)</w:t>
            </w:r>
          </w:p>
        </w:tc>
        <w:tc>
          <w:tcPr>
            <w:tcW w:w="4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Unsecured senior notes, net</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10,642,033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10,491,617</w:t>
            </w: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Unsecured line of credit</w:t>
            </w: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Unsecured term loans, net</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798,058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1,198,301</w:t>
            </w:r>
          </w:p>
        </w:tc>
        <w:tc>
          <w:tcPr>
            <w:tcW w:w="0" w:type="dxa"/>
            <w:vAlign w:val="bottom"/>
          </w:tcPr>
          <w:p>
            <w:pPr>
              <w:spacing w:after="0"/>
              <w:rPr>
                <w:sz w:val="1"/>
                <w:szCs w:val="1"/>
                <w:color w:val="auto"/>
              </w:rPr>
            </w:pPr>
          </w:p>
        </w:tc>
      </w:tr>
      <w:tr>
        <w:trPr>
          <w:trHeight w:val="230"/>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Unsecured commercial paper</w:t>
            </w:r>
          </w:p>
        </w:tc>
        <w:tc>
          <w:tcPr>
            <w:tcW w:w="4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820" w:type="dxa"/>
            <w:vAlign w:val="bottom"/>
            <w:gridSpan w:val="5"/>
          </w:tcPr>
          <w:p>
            <w:pPr>
              <w:ind w:left="360"/>
              <w:spacing w:after="0" w:line="162" w:lineRule="exact"/>
              <w:rPr>
                <w:sz w:val="20"/>
                <w:szCs w:val="20"/>
                <w:color w:val="auto"/>
              </w:rPr>
            </w:pPr>
            <w:r>
              <w:rPr>
                <w:rFonts w:ascii="Arial" w:cs="Arial" w:eastAsia="Arial" w:hAnsi="Arial"/>
                <w:sz w:val="16"/>
                <w:szCs w:val="16"/>
                <w:color w:val="auto"/>
              </w:rPr>
              <w:t>Lease liabilities - finance leases (amounts related to VIEs of $20,897 and $20,794 at September 30,</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373,260</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417,961</w:t>
            </w:r>
          </w:p>
        </w:tc>
        <w:tc>
          <w:tcPr>
            <w:tcW w:w="0" w:type="dxa"/>
            <w:vAlign w:val="bottom"/>
          </w:tcPr>
          <w:p>
            <w:pPr>
              <w:spacing w:after="0"/>
              <w:rPr>
                <w:sz w:val="1"/>
                <w:szCs w:val="1"/>
                <w:color w:val="auto"/>
              </w:rPr>
            </w:pPr>
          </w:p>
        </w:tc>
      </w:tr>
      <w:tr>
        <w:trPr>
          <w:trHeight w:val="215"/>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2024 and December 31, 2023, respectively)</w:t>
            </w:r>
          </w:p>
        </w:tc>
        <w:tc>
          <w:tcPr>
            <w:tcW w:w="4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Lease liabilities - operating leases (amounts related to VIEs of $154,637 and $145,826 at September</w:t>
            </w:r>
          </w:p>
        </w:tc>
        <w:tc>
          <w:tcPr>
            <w:tcW w:w="4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389,444</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350,391</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30, 2024 and December 31, 2023, respectively)</w:t>
            </w:r>
          </w:p>
        </w:tc>
        <w:tc>
          <w:tcPr>
            <w:tcW w:w="4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360"/>
              <w:spacing w:after="0" w:line="162" w:lineRule="exact"/>
              <w:rPr>
                <w:sz w:val="20"/>
                <w:szCs w:val="20"/>
                <w:color w:val="auto"/>
              </w:rPr>
            </w:pPr>
            <w:r>
              <w:rPr>
                <w:rFonts w:ascii="Arial" w:cs="Arial" w:eastAsia="Arial" w:hAnsi="Arial"/>
                <w:sz w:val="16"/>
                <w:szCs w:val="16"/>
                <w:color w:val="auto"/>
              </w:rPr>
              <w:t>Accounts payable and accrued expenses (amounts related to VIEs of $120,092 and $59,667 at</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444,288</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458,329</w:t>
            </w:r>
          </w:p>
        </w:tc>
        <w:tc>
          <w:tcPr>
            <w:tcW w:w="0" w:type="dxa"/>
            <w:vAlign w:val="bottom"/>
          </w:tcPr>
          <w:p>
            <w:pPr>
              <w:spacing w:after="0"/>
              <w:rPr>
                <w:sz w:val="1"/>
                <w:szCs w:val="1"/>
                <w:color w:val="auto"/>
              </w:rPr>
            </w:pPr>
          </w:p>
        </w:tc>
      </w:tr>
      <w:tr>
        <w:trPr>
          <w:trHeight w:val="215"/>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September 30, 2024 and December 31, 2023, respectively)</w:t>
            </w:r>
          </w:p>
        </w:tc>
        <w:tc>
          <w:tcPr>
            <w:tcW w:w="4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Dividends and distributions payable</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172,191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171,176</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Accrued interest payable</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121,360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133,684</w:t>
            </w: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Other liabilities (amounts related to VIEs of $89,876 and $115,275 at September 30, 2024 and</w:t>
            </w:r>
          </w:p>
        </w:tc>
        <w:tc>
          <w:tcPr>
            <w:tcW w:w="4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407,441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445,947</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December 31, 2023, respectively)</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18,123,230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17,833,785</w:t>
            </w:r>
          </w:p>
        </w:tc>
        <w:tc>
          <w:tcPr>
            <w:tcW w:w="0" w:type="dxa"/>
            <w:vAlign w:val="bottom"/>
          </w:tcPr>
          <w:p>
            <w:pPr>
              <w:spacing w:after="0"/>
              <w:rPr>
                <w:sz w:val="1"/>
                <w:szCs w:val="1"/>
                <w:color w:val="auto"/>
              </w:rPr>
            </w:pPr>
          </w:p>
        </w:tc>
      </w:tr>
      <w:tr>
        <w:trPr>
          <w:trHeight w:val="903"/>
        </w:trPr>
        <w:tc>
          <w:tcPr>
            <w:tcW w:w="7820" w:type="dxa"/>
            <w:vAlign w:val="bottom"/>
            <w:gridSpan w:val="5"/>
          </w:tcPr>
          <w:p>
            <w:pPr>
              <w:ind w:left="552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8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18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2024</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96"/>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8)</w:t>
            </w:r>
          </w:p>
        </w:tc>
        <w:tc>
          <w:tcPr>
            <w:tcW w:w="4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0"/>
              <w:spacing w:after="0" w:line="162" w:lineRule="exact"/>
              <w:rPr>
                <w:sz w:val="20"/>
                <w:szCs w:val="20"/>
                <w:color w:val="auto"/>
              </w:rPr>
            </w:pPr>
            <w:r>
              <w:rPr>
                <w:rFonts w:ascii="Arial" w:cs="Arial" w:eastAsia="Arial" w:hAnsi="Arial"/>
                <w:sz w:val="16"/>
                <w:szCs w:val="16"/>
                <w:color w:val="auto"/>
              </w:rPr>
              <w:t>Redeemable deferred stock units— 132,930 and 119,471 units outstanding at redemption value at</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10,696</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8,383</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September 30, 2024 and December 31, 2023, respectively</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360"/>
              <w:spacing w:after="0" w:line="162" w:lineRule="exact"/>
              <w:rPr>
                <w:sz w:val="20"/>
                <w:szCs w:val="20"/>
                <w:color w:val="auto"/>
              </w:rPr>
            </w:pPr>
            <w:r>
              <w:rPr>
                <w:rFonts w:ascii="Arial" w:cs="Arial" w:eastAsia="Arial" w:hAnsi="Arial"/>
                <w:sz w:val="16"/>
                <w:szCs w:val="16"/>
                <w:color w:val="auto"/>
              </w:rPr>
              <w:t>Redeemable partnership units— 15,926,014 and 16,508,277 common units and 2,336,797 and</w:t>
            </w: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680"/>
              <w:spacing w:after="0" w:line="162" w:lineRule="exact"/>
              <w:rPr>
                <w:sz w:val="20"/>
                <w:szCs w:val="20"/>
                <w:color w:val="auto"/>
              </w:rPr>
            </w:pPr>
            <w:r>
              <w:rPr>
                <w:rFonts w:ascii="Arial" w:cs="Arial" w:eastAsia="Arial" w:hAnsi="Arial"/>
                <w:sz w:val="16"/>
                <w:szCs w:val="16"/>
                <w:color w:val="auto"/>
              </w:rPr>
              <w:t>2,065,861 long term incentive units outstanding at redemption value at September 30, 2024 and</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1,500,501</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1,347,575</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December 31, 2023, respectively</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360"/>
              <w:spacing w:after="0" w:line="162" w:lineRule="exact"/>
              <w:rPr>
                <w:sz w:val="20"/>
                <w:szCs w:val="20"/>
                <w:color w:val="auto"/>
              </w:rPr>
            </w:pPr>
            <w:r>
              <w:rPr>
                <w:rFonts w:ascii="Arial" w:cs="Arial" w:eastAsia="Arial" w:hAnsi="Arial"/>
                <w:sz w:val="16"/>
                <w:szCs w:val="16"/>
                <w:color w:val="auto"/>
              </w:rPr>
              <w:t>Boston Properties Limited Partnership partners’ capital— 1,762,427 and 1,755,150 general partner</w:t>
            </w: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680"/>
              <w:spacing w:after="0" w:line="162" w:lineRule="exact"/>
              <w:rPr>
                <w:sz w:val="20"/>
                <w:szCs w:val="20"/>
                <w:color w:val="auto"/>
              </w:rPr>
            </w:pPr>
            <w:r>
              <w:rPr>
                <w:rFonts w:ascii="Arial" w:cs="Arial" w:eastAsia="Arial" w:hAnsi="Arial"/>
                <w:sz w:val="16"/>
                <w:szCs w:val="16"/>
                <w:color w:val="auto"/>
              </w:rPr>
              <w:t>units and 156,217,471 and 155,185,716 limited partner units outstanding at September 30, 2024</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4,685,471</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4,973,951</w:t>
            </w:r>
          </w:p>
        </w:tc>
        <w:tc>
          <w:tcPr>
            <w:tcW w:w="0" w:type="dxa"/>
            <w:vAlign w:val="bottom"/>
          </w:tcPr>
          <w:p>
            <w:pPr>
              <w:spacing w:after="0"/>
              <w:rPr>
                <w:sz w:val="1"/>
                <w:szCs w:val="1"/>
                <w:color w:val="auto"/>
              </w:rPr>
            </w:pPr>
          </w:p>
        </w:tc>
      </w:tr>
      <w:tr>
        <w:trPr>
          <w:trHeight w:val="215"/>
        </w:trPr>
        <w:tc>
          <w:tcPr>
            <w:tcW w:w="7820" w:type="dxa"/>
            <w:vAlign w:val="bottom"/>
          </w:tcPr>
          <w:p>
            <w:pPr>
              <w:ind w:left="680"/>
              <w:spacing w:after="0"/>
              <w:rPr>
                <w:sz w:val="20"/>
                <w:szCs w:val="20"/>
                <w:color w:val="auto"/>
              </w:rPr>
            </w:pPr>
            <w:r>
              <w:rPr>
                <w:rFonts w:ascii="Arial" w:cs="Arial" w:eastAsia="Arial" w:hAnsi="Arial"/>
                <w:sz w:val="16"/>
                <w:szCs w:val="16"/>
                <w:color w:val="auto"/>
              </w:rPr>
              <w:t>and December 31, 2023, respectively</w:t>
            </w:r>
          </w:p>
        </w:tc>
        <w:tc>
          <w:tcPr>
            <w:tcW w:w="4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(26,428)</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(21,147)</w:t>
            </w:r>
          </w:p>
        </w:tc>
        <w:tc>
          <w:tcPr>
            <w:tcW w:w="0" w:type="dxa"/>
            <w:vAlign w:val="bottom"/>
          </w:tcPr>
          <w:p>
            <w:pPr>
              <w:spacing w:after="0"/>
              <w:rPr>
                <w:sz w:val="1"/>
                <w:szCs w:val="1"/>
                <w:color w:val="auto"/>
              </w:rPr>
            </w:pPr>
          </w:p>
        </w:tc>
      </w:tr>
      <w:tr>
        <w:trPr>
          <w:trHeight w:val="209"/>
        </w:trPr>
        <w:tc>
          <w:tcPr>
            <w:tcW w:w="7820" w:type="dxa"/>
            <w:vAlign w:val="bottom"/>
          </w:tcPr>
          <w:p>
            <w:pPr>
              <w:ind w:left="680"/>
              <w:spacing w:after="0"/>
              <w:rPr>
                <w:sz w:val="20"/>
                <w:szCs w:val="20"/>
                <w:color w:val="auto"/>
              </w:rPr>
            </w:pPr>
            <w:r>
              <w:rPr>
                <w:rFonts w:ascii="Arial" w:cs="Arial" w:eastAsia="Arial" w:hAnsi="Arial"/>
                <w:sz w:val="16"/>
                <w:szCs w:val="16"/>
                <w:color w:val="auto"/>
              </w:rPr>
              <w:t>Total partners’ capital</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4,659,043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4,952,804</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1,874,272</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1,640,704</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capital</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6,533,315</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6,593,508</w:t>
            </w:r>
          </w:p>
        </w:tc>
        <w:tc>
          <w:tcPr>
            <w:tcW w:w="0" w:type="dxa"/>
            <w:vAlign w:val="bottom"/>
          </w:tcPr>
          <w:p>
            <w:pPr>
              <w:spacing w:after="0"/>
              <w:rPr>
                <w:sz w:val="1"/>
                <w:szCs w:val="1"/>
                <w:color w:val="auto"/>
              </w:rPr>
            </w:pPr>
          </w:p>
        </w:tc>
      </w:tr>
      <w:tr>
        <w:trPr>
          <w:trHeight w:val="235"/>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capital</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26,167,742</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25,783,251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per unit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21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21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Lease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799,471</w:t>
            </w:r>
          </w:p>
        </w:tc>
        <w:tc>
          <w:tcPr>
            <w:tcW w:w="2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767,181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2,378,616</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2,285,789</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Parking and other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81,421</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38,080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35,554</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management services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28,122</w:t>
            </w:r>
          </w:p>
        </w:tc>
        <w:tc>
          <w:tcPr>
            <w:tcW w:w="0" w:type="dxa"/>
            <w:vAlign w:val="bottom"/>
          </w:tcPr>
          <w:p>
            <w:pPr>
              <w:spacing w:after="0"/>
              <w:rPr>
                <w:sz w:val="1"/>
                <w:szCs w:val="1"/>
                <w:color w:val="auto"/>
              </w:rPr>
            </w:pPr>
          </w:p>
        </w:tc>
      </w:tr>
      <w:tr>
        <w:trPr>
          <w:trHeight w:val="162"/>
        </w:trPr>
        <w:tc>
          <w:tcPr>
            <w:tcW w:w="6400" w:type="dxa"/>
            <w:vAlign w:val="bottom"/>
          </w:tcPr>
          <w:p>
            <w:pPr>
              <w:ind w:left="360"/>
              <w:spacing w:after="0" w:line="162"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3,649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3,906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12,090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13,750</w:t>
            </w:r>
          </w:p>
        </w:tc>
        <w:tc>
          <w:tcPr>
            <w:tcW w:w="0" w:type="dxa"/>
            <w:vAlign w:val="bottom"/>
          </w:tcPr>
          <w:p>
            <w:pPr>
              <w:spacing w:after="0"/>
              <w:rPr>
                <w:sz w:val="1"/>
                <w:szCs w:val="1"/>
                <w:color w:val="auto"/>
              </w:rPr>
            </w:pPr>
          </w:p>
        </w:tc>
      </w:tr>
      <w:tr>
        <w:trPr>
          <w:trHeight w:val="215"/>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contracts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859,227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824,283</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2,549,148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2,444,636</w:t>
            </w:r>
          </w:p>
        </w:tc>
        <w:tc>
          <w:tcPr>
            <w:tcW w:w="0" w:type="dxa"/>
            <w:vAlign w:val="bottom"/>
          </w:tcPr>
          <w:p>
            <w:pPr>
              <w:spacing w:after="0"/>
              <w:rPr>
                <w:sz w:val="1"/>
                <w:szCs w:val="1"/>
                <w:color w:val="auto"/>
              </w:rPr>
            </w:pPr>
          </w:p>
        </w:tc>
      </w:tr>
      <w:tr>
        <w:trPr>
          <w:trHeight w:val="195"/>
        </w:trPr>
        <w:tc>
          <w:tcPr>
            <w:tcW w:w="6400" w:type="dxa"/>
            <w:vAlign w:val="bottom"/>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680"/>
              <w:spacing w:after="0"/>
              <w:rPr>
                <w:sz w:val="20"/>
                <w:szCs w:val="20"/>
                <w:color w:val="auto"/>
              </w:rPr>
            </w:pPr>
            <w:r>
              <w:rPr>
                <w:rFonts w:ascii="Arial" w:cs="Arial" w:eastAsia="Arial" w:hAnsi="Arial"/>
                <w:sz w:val="16"/>
                <w:szCs w:val="16"/>
                <w:color w:val="auto"/>
              </w:rPr>
              <w:t>Rental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327,897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300,192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963,480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882,536</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Hotel</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23,852</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33,352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31,410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127,479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131,387</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13,750</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1,970</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221,186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205,679</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656,044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613,446</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596,105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550,958</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1,785,670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1,666,941</w:t>
            </w: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Income (loss) from unconsolidated joint ventures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(247,556)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(261,793)</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on sales of real estate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Interest and other income (loss)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39,747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48,999</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(losses) from investments in securities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Unrealized gain (loss) on non-real estate investment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loss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(163,194)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(147,812)</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(474,727)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(424,492)</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143,569</w:t>
            </w:r>
          </w:p>
        </w:tc>
        <w:tc>
          <w:tcPr>
            <w:tcW w:w="0" w:type="dxa"/>
            <w:vAlign w:val="bottom"/>
          </w:tcPr>
          <w:p>
            <w:pPr>
              <w:spacing w:after="0"/>
              <w:rPr>
                <w:sz w:val="1"/>
                <w:szCs w:val="1"/>
                <w:color w:val="auto"/>
              </w:rPr>
            </w:pP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(20,909)</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(50,283)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(59,337)</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Net income (loss) attributable to Boston Properties Limited Partnership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94,919</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(122,696)</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276,826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84,232</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common unit attributable to Boston Properties Limited Partnership</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 average number of common units outstanding</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175,446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174,882</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175,369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174,765</w:t>
            </w:r>
          </w:p>
        </w:tc>
        <w:tc>
          <w:tcPr>
            <w:tcW w:w="0" w:type="dxa"/>
            <w:vAlign w:val="bottom"/>
          </w:tcPr>
          <w:p>
            <w:pPr>
              <w:spacing w:after="0"/>
              <w:rPr>
                <w:sz w:val="1"/>
                <w:szCs w:val="1"/>
                <w:color w:val="auto"/>
              </w:rPr>
            </w:pPr>
          </w:p>
        </w:tc>
      </w:tr>
      <w:tr>
        <w:trPr>
          <w:trHeight w:val="195"/>
        </w:trPr>
        <w:tc>
          <w:tcPr>
            <w:tcW w:w="6400" w:type="dxa"/>
            <w:vAlign w:val="bottom"/>
          </w:tcPr>
          <w:p>
            <w:pPr>
              <w:ind w:left="20"/>
              <w:spacing w:after="0"/>
              <w:rPr>
                <w:sz w:val="20"/>
                <w:szCs w:val="20"/>
                <w:color w:val="auto"/>
              </w:rPr>
            </w:pPr>
            <w:r>
              <w:rPr>
                <w:rFonts w:ascii="Arial" w:cs="Arial" w:eastAsia="Arial" w:hAnsi="Arial"/>
                <w:sz w:val="16"/>
                <w:szCs w:val="16"/>
                <w:color w:val="auto"/>
              </w:rPr>
              <w:t>Diluted earnings per common unit attributable to Boston Properties Limited Partnership</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09"/>
        </w:trPr>
        <w:tc>
          <w:tcPr>
            <w:tcW w:w="6400" w:type="dxa"/>
            <w:vAlign w:val="bottom"/>
          </w:tcPr>
          <w:p>
            <w:pPr>
              <w:ind w:left="360"/>
              <w:spacing w:after="0"/>
              <w:rPr>
                <w:sz w:val="20"/>
                <w:szCs w:val="20"/>
                <w:color w:val="auto"/>
              </w:rPr>
            </w:pPr>
            <w:r>
              <w:rPr>
                <w:rFonts w:ascii="Arial" w:cs="Arial" w:eastAsia="Arial" w:hAnsi="Arial"/>
                <w:sz w:val="16"/>
                <w:szCs w:val="16"/>
                <w:color w:val="auto"/>
              </w:rPr>
              <w:t>Weighted average number of common and common equivalent units outstanding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175,934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174,882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175,666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250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327,109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143,569</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portion of interest rate contracts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(32,263)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interest rate contracts (1)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(29,186)</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18,912</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80,970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(94,651)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321,651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162,481</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(15,381)</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(21,053)</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(50,715)</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(59,769)</w:t>
            </w:r>
          </w:p>
        </w:tc>
        <w:tc>
          <w:tcPr>
            <w:tcW w:w="0" w:type="dxa"/>
            <w:vAlign w:val="bottom"/>
          </w:tcPr>
          <w:p>
            <w:pPr>
              <w:spacing w:after="0"/>
              <w:rPr>
                <w:sz w:val="1"/>
                <w:szCs w:val="1"/>
                <w:color w:val="auto"/>
              </w:rPr>
            </w:pPr>
          </w:p>
        </w:tc>
      </w:tr>
      <w:tr>
        <w:trPr>
          <w:trHeight w:val="156"/>
        </w:trPr>
        <w:tc>
          <w:tcPr>
            <w:tcW w:w="6020" w:type="dxa"/>
            <w:vAlign w:val="bottom"/>
          </w:tcPr>
          <w:p>
            <w:pPr>
              <w:ind w:left="20"/>
              <w:spacing w:after="0" w:line="156" w:lineRule="exact"/>
              <w:rPr>
                <w:sz w:val="20"/>
                <w:szCs w:val="20"/>
                <w:color w:val="auto"/>
              </w:rPr>
            </w:pPr>
            <w:r>
              <w:rPr>
                <w:rFonts w:ascii="Arial" w:cs="Arial" w:eastAsia="Arial" w:hAnsi="Arial"/>
                <w:sz w:val="18"/>
                <w:szCs w:val="18"/>
                <w:color w:val="auto"/>
              </w:rPr>
              <w:t>Comprehensive income (loss) attributable to Boston Properties Limited</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65,589</w:t>
            </w:r>
          </w:p>
        </w:tc>
        <w:tc>
          <w:tcPr>
            <w:tcW w:w="2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(115,704)</w:t>
            </w:r>
          </w:p>
        </w:tc>
        <w:tc>
          <w:tcPr>
            <w:tcW w:w="220" w:type="dxa"/>
            <w:vAlign w:val="bottom"/>
          </w:tcPr>
          <w:p>
            <w:pPr>
              <w:spacing w:after="0"/>
              <w:rPr>
                <w:sz w:val="13"/>
                <w:szCs w:val="13"/>
                <w:color w:val="auto"/>
              </w:rPr>
            </w:pPr>
          </w:p>
        </w:tc>
        <w:tc>
          <w:tcPr>
            <w:tcW w:w="260" w:type="dxa"/>
            <w:vAlign w:val="bottom"/>
            <w:vMerge w:val="restart"/>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270,936</w:t>
            </w:r>
          </w:p>
        </w:tc>
        <w:tc>
          <w:tcPr>
            <w:tcW w:w="4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102,712</w:t>
            </w: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Partnership</w:t>
            </w: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7" w:lineRule="exact"/>
        <w:rPr>
          <w:sz w:val="20"/>
          <w:szCs w:val="20"/>
          <w:color w:val="auto"/>
        </w:rPr>
      </w:pPr>
    </w:p>
    <w:p>
      <w:pPr>
        <w:ind w:left="340" w:right="940" w:hanging="332"/>
        <w:spacing w:after="0" w:line="266"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Boston Properties Limited Partnership’s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340" w:right="2420"/>
        <w:spacing w:after="0" w:line="329"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(unaudited and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680" w:type="dxa"/>
            <w:vAlign w:val="bottom"/>
          </w:tcPr>
          <w:p>
            <w:pPr>
              <w:spacing w:after="0"/>
              <w:rPr>
                <w:sz w:val="17"/>
                <w:szCs w:val="17"/>
                <w:color w:val="auto"/>
              </w:rPr>
            </w:pPr>
          </w:p>
        </w:tc>
        <w:tc>
          <w:tcPr>
            <w:tcW w:w="1680" w:type="dxa"/>
            <w:vAlign w:val="bottom"/>
            <w:gridSpan w:val="4"/>
          </w:tcPr>
          <w:p>
            <w:pPr>
              <w:ind w:left="58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700"/>
              <w:spacing w:after="0"/>
              <w:rPr>
                <w:sz w:val="20"/>
                <w:szCs w:val="20"/>
                <w:color w:val="auto"/>
              </w:rPr>
            </w:pPr>
            <w:r>
              <w:rPr>
                <w:rFonts w:ascii="Arial" w:cs="Arial" w:eastAsia="Arial" w:hAnsi="Arial"/>
                <w:sz w:val="14"/>
                <w:szCs w:val="14"/>
                <w:b w:val="1"/>
                <w:bCs w:val="1"/>
                <w:color w:val="auto"/>
              </w:rPr>
              <w:t>Capital</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Partners’</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Interests -</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General</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Limited</w:t>
            </w: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(General and</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Interests -</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Limited</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Property</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Capital</w:t>
            </w:r>
          </w:p>
        </w:tc>
        <w:tc>
          <w:tcPr>
            <w:tcW w:w="12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rPr>
              <w:t>Partnership</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Partner</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Partners)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Partnerships</w:t>
            </w: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June 30, 2024</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155,336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5,010,460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1,801,676</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$ 6,811,981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1,230,848</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Net activity from contributions and unearned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(1,232)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(1,232)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3,225</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Allocated net income for the period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85,332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9,587</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(154,820)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(154,820)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(17,986)</w:t>
            </w: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redeemable partnership units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(30,992)</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Adjustment to reflect redeemable partnership units</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(308,876)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(308,876)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308,876</w:t>
            </w:r>
          </w:p>
        </w:tc>
        <w:tc>
          <w:tcPr>
            <w:tcW w:w="0" w:type="dxa"/>
            <w:vAlign w:val="bottom"/>
          </w:tcPr>
          <w:p>
            <w:pPr>
              <w:spacing w:after="0"/>
              <w:rPr>
                <w:sz w:val="1"/>
                <w:szCs w:val="1"/>
                <w:color w:val="auto"/>
              </w:rPr>
            </w:pPr>
          </w:p>
        </w:tc>
      </w:tr>
      <w:tr>
        <w:trPr>
          <w:trHeight w:val="215"/>
        </w:trPr>
        <w:tc>
          <w:tcPr>
            <w:tcW w:w="3680" w:type="dxa"/>
            <w:vAlign w:val="bottom"/>
          </w:tcPr>
          <w:p>
            <w:pPr>
              <w:ind w:left="100"/>
              <w:spacing w:after="0"/>
              <w:rPr>
                <w:sz w:val="20"/>
                <w:szCs w:val="20"/>
                <w:color w:val="auto"/>
              </w:rPr>
            </w:pPr>
            <w:r>
              <w:rPr>
                <w:rFonts w:ascii="Arial" w:cs="Arial" w:eastAsia="Arial" w:hAnsi="Arial"/>
                <w:sz w:val="16"/>
                <w:szCs w:val="16"/>
                <w:color w:val="auto"/>
              </w:rPr>
              <w:t>at redemption value</w:t>
            </w: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portion of interest rate contracts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Amortization of interest rate contracts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163"/>
        </w:trPr>
        <w:tc>
          <w:tcPr>
            <w:tcW w:w="36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Proceeds from sale of interest in property</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partnerships and contributions from</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23,615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72,109</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95,724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noncontrolling interests in property partnerships</w:t>
            </w: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Distributions to noncontrolling interests in property</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(14,894)</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(14,894)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partnerships</w:t>
            </w: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September 30,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156,217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4,685,471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1,874,272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6,533,315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1,500,501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June 30, 2023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5,351,166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1,557,368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$6,905,128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1,135,053</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Net activity from contributions and unearned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991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4,065</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Allocated net income (loss) for the period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(12,527)</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(153,800)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(153,800)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(18,301)</w:t>
            </w: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redeemable partnership units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Adjustment to reflect redeemable partnership units</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(54,663)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(54,663)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54,663</w:t>
            </w:r>
          </w:p>
        </w:tc>
        <w:tc>
          <w:tcPr>
            <w:tcW w:w="0" w:type="dxa"/>
            <w:vAlign w:val="bottom"/>
          </w:tcPr>
          <w:p>
            <w:pPr>
              <w:spacing w:after="0"/>
              <w:rPr>
                <w:sz w:val="1"/>
                <w:szCs w:val="1"/>
                <w:color w:val="auto"/>
              </w:rPr>
            </w:pPr>
          </w:p>
        </w:tc>
      </w:tr>
      <w:tr>
        <w:trPr>
          <w:trHeight w:val="215"/>
        </w:trPr>
        <w:tc>
          <w:tcPr>
            <w:tcW w:w="3680" w:type="dxa"/>
            <w:vAlign w:val="bottom"/>
          </w:tcPr>
          <w:p>
            <w:pPr>
              <w:ind w:left="100"/>
              <w:spacing w:after="0"/>
              <w:rPr>
                <w:sz w:val="20"/>
                <w:szCs w:val="20"/>
                <w:color w:val="auto"/>
              </w:rPr>
            </w:pPr>
            <w:r>
              <w:rPr>
                <w:rFonts w:ascii="Arial" w:cs="Arial" w:eastAsia="Arial" w:hAnsi="Arial"/>
                <w:sz w:val="16"/>
                <w:szCs w:val="16"/>
                <w:color w:val="auto"/>
              </w:rPr>
              <w:t>at redemption value</w:t>
            </w: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portion of interest rate contracts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Amortization of interest rate contracts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63"/>
        </w:trPr>
        <w:tc>
          <w:tcPr>
            <w:tcW w:w="36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Proceeds from sale of interest in property</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partnerships and contributions from</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22,635</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22,635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noncontrolling interests in property partnerships</w:t>
            </w: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Distributions to noncontrolling interests in property</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(12,150)</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(12,150)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partnerships</w:t>
            </w: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September 30,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155,184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5,036,445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1,588,906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6,628,217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1,160,753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380" w:right="2380"/>
        <w:spacing w:after="0" w:line="329"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(unaudited and in thousands)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1560" w:type="dxa"/>
            <w:vAlign w:val="bottom"/>
            <w:gridSpan w:val="4"/>
          </w:tcPr>
          <w:p>
            <w:pPr>
              <w:ind w:left="52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700"/>
              <w:spacing w:after="0"/>
              <w:rPr>
                <w:sz w:val="20"/>
                <w:szCs w:val="20"/>
                <w:color w:val="auto"/>
              </w:rPr>
            </w:pPr>
            <w:r>
              <w:rPr>
                <w:rFonts w:ascii="Arial" w:cs="Arial" w:eastAsia="Arial" w:hAnsi="Arial"/>
                <w:sz w:val="14"/>
                <w:szCs w:val="14"/>
                <w:b w:val="1"/>
                <w:bCs w:val="1"/>
                <w:color w:val="auto"/>
              </w:rPr>
              <w:t>Capital</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Partners’</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0"/>
              <w:spacing w:after="0" w:line="145" w:lineRule="exact"/>
              <w:rPr>
                <w:sz w:val="20"/>
                <w:szCs w:val="20"/>
                <w:color w:val="auto"/>
              </w:rPr>
            </w:pPr>
            <w:r>
              <w:rPr>
                <w:rFonts w:ascii="Arial" w:cs="Arial" w:eastAsia="Arial" w:hAnsi="Arial"/>
                <w:sz w:val="14"/>
                <w:szCs w:val="14"/>
                <w:b w:val="1"/>
                <w:bCs w:val="1"/>
                <w:color w:val="auto"/>
              </w:rPr>
              <w:t>Interests -</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General</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Limited</w:t>
            </w: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(General and</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Interests -</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Limited</w:t>
            </w:r>
          </w:p>
        </w:tc>
        <w:tc>
          <w:tcPr>
            <w:tcW w:w="12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Property</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Capital</w:t>
            </w:r>
          </w:p>
        </w:tc>
        <w:tc>
          <w:tcPr>
            <w:tcW w:w="120" w:type="dxa"/>
            <w:vAlign w:val="bottom"/>
          </w:tcPr>
          <w:p>
            <w:pPr>
              <w:spacing w:after="0"/>
              <w:rPr>
                <w:sz w:val="11"/>
                <w:szCs w:val="11"/>
                <w:color w:val="auto"/>
              </w:rPr>
            </w:pPr>
          </w:p>
        </w:tc>
        <w:tc>
          <w:tcPr>
            <w:tcW w:w="100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rPr>
              <w:t>Partnership</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Partner</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Partners)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Partnerships</w:t>
            </w: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December 31, 2023</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155,185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4,973,951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1,640,704</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$6,593,508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1,347,575</w:t>
            </w: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Arial" w:cs="Arial" w:eastAsia="Arial" w:hAnsi="Arial"/>
                <w:sz w:val="16"/>
                <w:szCs w:val="16"/>
                <w:color w:val="auto"/>
              </w:rPr>
              <w:t>Net activity from contributions and unearned</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4,129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4,129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31,535</w:t>
            </w:r>
          </w:p>
        </w:tc>
        <w:tc>
          <w:tcPr>
            <w:tcW w:w="0" w:type="dxa"/>
            <w:vAlign w:val="bottom"/>
          </w:tcPr>
          <w:p>
            <w:pPr>
              <w:spacing w:after="0"/>
              <w:rPr>
                <w:sz w:val="1"/>
                <w:szCs w:val="1"/>
                <w:color w:val="auto"/>
              </w:rPr>
            </w:pPr>
          </w:p>
        </w:tc>
      </w:tr>
      <w:tr>
        <w:trPr>
          <w:trHeight w:val="215"/>
        </w:trPr>
        <w:tc>
          <w:tcPr>
            <w:tcW w:w="3780" w:type="dxa"/>
            <w:vAlign w:val="bottom"/>
          </w:tcPr>
          <w:p>
            <w:pPr>
              <w:ind w:left="100"/>
              <w:spacing w:after="0"/>
              <w:rPr>
                <w:sz w:val="20"/>
                <w:szCs w:val="20"/>
                <w:color w:val="auto"/>
              </w:rPr>
            </w:pPr>
            <w:r>
              <w:rPr>
                <w:rFonts w:ascii="Arial" w:cs="Arial" w:eastAsia="Arial" w:hAnsi="Arial"/>
                <w:sz w:val="16"/>
                <w:szCs w:val="16"/>
                <w:color w:val="auto"/>
              </w:rPr>
              <w:t>compensation</w:t>
            </w: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Allocated net income for the period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50,283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28,596</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(462,684)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(462,684)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(55,692)</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redeemable partnership units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(33,746)</w:t>
            </w: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Arial" w:cs="Arial" w:eastAsia="Arial" w:hAnsi="Arial"/>
                <w:sz w:val="16"/>
                <w:szCs w:val="16"/>
                <w:color w:val="auto"/>
              </w:rPr>
              <w:t>Adjustment to reflect redeemable partnership units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(182,842)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(182,842)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182,842</w:t>
            </w:r>
          </w:p>
        </w:tc>
        <w:tc>
          <w:tcPr>
            <w:tcW w:w="0" w:type="dxa"/>
            <w:vAlign w:val="bottom"/>
          </w:tcPr>
          <w:p>
            <w:pPr>
              <w:spacing w:after="0"/>
              <w:rPr>
                <w:sz w:val="1"/>
                <w:szCs w:val="1"/>
                <w:color w:val="auto"/>
              </w:rPr>
            </w:pPr>
          </w:p>
        </w:tc>
      </w:tr>
      <w:tr>
        <w:trPr>
          <w:trHeight w:val="215"/>
        </w:trPr>
        <w:tc>
          <w:tcPr>
            <w:tcW w:w="3780" w:type="dxa"/>
            <w:vAlign w:val="bottom"/>
          </w:tcPr>
          <w:p>
            <w:pPr>
              <w:ind w:left="100"/>
              <w:spacing w:after="0"/>
              <w:rPr>
                <w:sz w:val="20"/>
                <w:szCs w:val="20"/>
                <w:color w:val="auto"/>
              </w:rPr>
            </w:pPr>
            <w:r>
              <w:rPr>
                <w:rFonts w:ascii="Arial" w:cs="Arial" w:eastAsia="Arial" w:hAnsi="Arial"/>
                <w:sz w:val="16"/>
                <w:szCs w:val="16"/>
                <w:color w:val="auto"/>
              </w:rPr>
              <w:t>at redemption value</w:t>
            </w: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portion of interest rate contracts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Amortization of interest rate contracts</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432</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Proceeds from sale of interest in property</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partnerships and contributions from noncontrolling</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70,941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235,206</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306,147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interests in property partnerships</w:t>
            </w:r>
          </w:p>
        </w:tc>
        <w:tc>
          <w:tcPr>
            <w:tcW w:w="7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Arial" w:cs="Arial" w:eastAsia="Arial" w:hAnsi="Arial"/>
                <w:sz w:val="16"/>
                <w:szCs w:val="16"/>
                <w:color w:val="auto"/>
              </w:rPr>
              <w:t>Distributions to noncontrolling interests in property</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(52,353)</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(52,353)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80" w:type="dxa"/>
            <w:vAlign w:val="bottom"/>
          </w:tcPr>
          <w:p>
            <w:pPr>
              <w:ind w:left="100"/>
              <w:spacing w:after="0"/>
              <w:rPr>
                <w:sz w:val="20"/>
                <w:szCs w:val="20"/>
                <w:color w:val="auto"/>
              </w:rPr>
            </w:pPr>
            <w:r>
              <w:rPr>
                <w:rFonts w:ascii="Arial" w:cs="Arial" w:eastAsia="Arial" w:hAnsi="Arial"/>
                <w:sz w:val="16"/>
                <w:szCs w:val="16"/>
                <w:color w:val="auto"/>
              </w:rPr>
              <w:t>partnerships</w:t>
            </w: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September 30, 2024</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156,217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4,685,471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1,874,272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6,533,315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1,500,501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December 31, 2022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5,299,428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1,547,317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$6,833,027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1,280,886</w:t>
            </w: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Arial" w:cs="Arial" w:eastAsia="Arial" w:hAnsi="Arial"/>
                <w:sz w:val="16"/>
                <w:szCs w:val="16"/>
                <w:color w:val="auto"/>
              </w:rPr>
              <w:t>Net activity from contributions and unearned</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4,913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4,913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42,090</w:t>
            </w:r>
          </w:p>
        </w:tc>
        <w:tc>
          <w:tcPr>
            <w:tcW w:w="0" w:type="dxa"/>
            <w:vAlign w:val="bottom"/>
          </w:tcPr>
          <w:p>
            <w:pPr>
              <w:spacing w:after="0"/>
              <w:rPr>
                <w:sz w:val="1"/>
                <w:szCs w:val="1"/>
                <w:color w:val="auto"/>
              </w:rPr>
            </w:pPr>
          </w:p>
        </w:tc>
      </w:tr>
      <w:tr>
        <w:trPr>
          <w:trHeight w:val="215"/>
        </w:trPr>
        <w:tc>
          <w:tcPr>
            <w:tcW w:w="3780" w:type="dxa"/>
            <w:vAlign w:val="bottom"/>
          </w:tcPr>
          <w:p>
            <w:pPr>
              <w:ind w:left="100"/>
              <w:spacing w:after="0"/>
              <w:rPr>
                <w:sz w:val="20"/>
                <w:szCs w:val="20"/>
                <w:color w:val="auto"/>
              </w:rPr>
            </w:pPr>
            <w:r>
              <w:rPr>
                <w:rFonts w:ascii="Arial" w:cs="Arial" w:eastAsia="Arial" w:hAnsi="Arial"/>
                <w:sz w:val="16"/>
                <w:szCs w:val="16"/>
                <w:color w:val="auto"/>
              </w:rPr>
              <w:t>compensation</w:t>
            </w: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Allocated net income for the period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75,590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59,337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8,642</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(461,209)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(461,209)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(55,038)</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redeemable partnership units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Arial" w:cs="Arial" w:eastAsia="Arial" w:hAnsi="Arial"/>
                <w:sz w:val="16"/>
                <w:szCs w:val="16"/>
                <w:color w:val="auto"/>
              </w:rPr>
              <w:t>Adjustment to reflect redeemable partnership units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114,009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114,009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(114,009)</w:t>
            </w:r>
          </w:p>
        </w:tc>
        <w:tc>
          <w:tcPr>
            <w:tcW w:w="0" w:type="dxa"/>
            <w:vAlign w:val="bottom"/>
          </w:tcPr>
          <w:p>
            <w:pPr>
              <w:spacing w:after="0"/>
              <w:rPr>
                <w:sz w:val="1"/>
                <w:szCs w:val="1"/>
                <w:color w:val="auto"/>
              </w:rPr>
            </w:pPr>
          </w:p>
        </w:tc>
      </w:tr>
      <w:tr>
        <w:trPr>
          <w:trHeight w:val="215"/>
        </w:trPr>
        <w:tc>
          <w:tcPr>
            <w:tcW w:w="3780" w:type="dxa"/>
            <w:vAlign w:val="bottom"/>
          </w:tcPr>
          <w:p>
            <w:pPr>
              <w:ind w:left="100"/>
              <w:spacing w:after="0"/>
              <w:rPr>
                <w:sz w:val="20"/>
                <w:szCs w:val="20"/>
                <w:color w:val="auto"/>
              </w:rPr>
            </w:pPr>
            <w:r>
              <w:rPr>
                <w:rFonts w:ascii="Arial" w:cs="Arial" w:eastAsia="Arial" w:hAnsi="Arial"/>
                <w:sz w:val="16"/>
                <w:szCs w:val="16"/>
                <w:color w:val="auto"/>
              </w:rPr>
              <w:t>at redemption value</w:t>
            </w: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portion of interest rate contracts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Amortization of interest rate contracts</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432</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Proceeds from sale of interest in property</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partnerships and contributions from noncontrolling</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30,190</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30,190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interests in property partnerships</w:t>
            </w:r>
          </w:p>
        </w:tc>
        <w:tc>
          <w:tcPr>
            <w:tcW w:w="7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Arial" w:cs="Arial" w:eastAsia="Arial" w:hAnsi="Arial"/>
                <w:sz w:val="16"/>
                <w:szCs w:val="16"/>
                <w:color w:val="auto"/>
              </w:rPr>
              <w:t>Distributions to noncontrolling interests in property</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(48,370)</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(48,370)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80" w:type="dxa"/>
            <w:vAlign w:val="bottom"/>
          </w:tcPr>
          <w:p>
            <w:pPr>
              <w:ind w:left="100"/>
              <w:spacing w:after="0"/>
              <w:rPr>
                <w:sz w:val="20"/>
                <w:szCs w:val="20"/>
                <w:color w:val="auto"/>
              </w:rPr>
            </w:pPr>
            <w:r>
              <w:rPr>
                <w:rFonts w:ascii="Arial" w:cs="Arial" w:eastAsia="Arial" w:hAnsi="Arial"/>
                <w:sz w:val="16"/>
                <w:szCs w:val="16"/>
                <w:color w:val="auto"/>
              </w:rPr>
              <w:t>partnerships</w:t>
            </w: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September 30, 2023</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155,184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5,036,445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1,588,906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6,628,217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1,160,753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7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327,109</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143,569</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656,044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613,446</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loss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Amortization of right of use assets - operating leases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1,719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1,502</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sales type lease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Amortization of above and below market leases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(4,245)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compensation expense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46,699</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(Income) loss from unconsolidated joint ventures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(6,376)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261,793</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27,332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21,871</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Gains from investments in securities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(4,785)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(2,311)</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Allowance for current expected credit losses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Non-cash portion of interest expense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25,575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22,541</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Gains on sales of real estate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Unrealized gain on non-real estate investment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assets and liabilities: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Tenant and other receivables,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23,932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(13,467)</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rental income, net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(78,576)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(72,190)</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(73,215)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(76,621)</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Right of use assets - operating lease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(25,640)</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Lease liabilities - operating leases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40,914</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Accrued interest payable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(12,383)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24,648</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w:t>
            </w:r>
          </w:p>
        </w:tc>
      </w:tr>
      <w:tr>
        <w:trPr>
          <w:trHeight w:val="215"/>
        </w:trPr>
        <w:tc>
          <w:tcPr>
            <w:tcW w:w="79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Tenant leasing costs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(61,661)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(65,863)</w:t>
            </w: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adjustments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523,646</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770,803</w:t>
            </w:r>
          </w:p>
        </w:tc>
      </w:tr>
      <w:tr>
        <w:trPr>
          <w:trHeight w:val="209"/>
        </w:trPr>
        <w:tc>
          <w:tcPr>
            <w:tcW w:w="79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850,755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914,372</w:t>
            </w:r>
          </w:p>
        </w:tc>
      </w:tr>
      <w:tr>
        <w:trPr>
          <w:trHeight w:val="19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Construction in progress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(469,948)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(361,625)</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Building and other capital improvements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(117,393)</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Tenant improvements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(178,835)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(244,841)</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sales of real estate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Acquisition of real estate (net of cash received upon consolidation)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contributions to unconsolidated joint ventures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(87,498)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(148,875)</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Capital distributions from unconsolidated joint ventures</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7,350</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in non-real estate investments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Issuance of note receivables (including related party)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(10,500)</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 in securities, net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w:t>
            </w:r>
          </w:p>
        </w:tc>
      </w:tr>
      <w:tr>
        <w:trPr>
          <w:trHeight w:val="209"/>
        </w:trPr>
        <w:tc>
          <w:tcPr>
            <w:tcW w:w="7960" w:type="dxa"/>
            <w:vAlign w:val="bottom"/>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(850,787)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(875,578)</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Repayments of mortgage notes payable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(3,461)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unsecured senior notes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849,671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747,727</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Repayment / redemption of unsecured senior notes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(700,000)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Borrowings on unsecured term loan</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1,200,000</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Payments on finance lease obligations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unsecured term loan</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Borrowings on commercial paper program</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3,554,932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on commercial paper program</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(3,054,932)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Deferred financing costs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(10,892)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(12,639)</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activity from equity transactions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Distributions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(517,361)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(514,974)</w:t>
            </w:r>
          </w:p>
        </w:tc>
        <w:tc>
          <w:tcPr>
            <w:tcW w:w="0" w:type="dxa"/>
            <w:vAlign w:val="bottom"/>
          </w:tcPr>
          <w:p>
            <w:pPr>
              <w:spacing w:after="0"/>
              <w:rPr>
                <w:sz w:val="1"/>
                <w:szCs w:val="1"/>
                <w:color w:val="auto"/>
              </w:rPr>
            </w:pPr>
          </w:p>
        </w:tc>
      </w:tr>
      <w:tr>
        <w:trPr>
          <w:trHeight w:val="163"/>
        </w:trPr>
        <w:tc>
          <w:tcPr>
            <w:tcW w:w="796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Proceeds from sale of interest in property partnerships and contributions from noncontrolling interests in</w:t>
            </w: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304,323</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12,671</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partnerships</w:t>
            </w:r>
          </w:p>
        </w:tc>
        <w:tc>
          <w:tcPr>
            <w:tcW w:w="2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(52,353)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(48,370)</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(141,051)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154,782</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 and cash held in escrows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(141,083)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193,576</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1,612,567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736,812</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1,471,484</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930,388</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60" w:type="dxa"/>
            <w:vAlign w:val="bottom"/>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1,531,477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690,333</w:t>
            </w: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held in escrows, beginning of period</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81,090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46,479</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1,612,567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736,812</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1,420,475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882,647</w:t>
            </w: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held in escrows, end of period</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51,009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47,741</w:t>
            </w: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1,471,484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930,388</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paid for interest (net of amounts capitalized)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505,746</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404,016</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capitalized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31,342</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33,426</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Write-off of fully depreciated real estate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(76,653)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(109,905)</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29,435</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Right of use assets obtained in exchange for lease liabilities - operating lease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30,631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134,509</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liability - finance lease reversal for re-assessment event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(38,491)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Right of use asset - finance lease reversal for re-assessment event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(28,962)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contributions from noncontrolling interests in property partnerships,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86,860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17,519</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Capitalized operating lease costs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5,031</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 in progress from prepaid expenses and other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25,577</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Investment in unconsolidated joint ventures eliminated upon consolidation</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Mortgage notes payable recorded upon consolidation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207,093</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7960" w:type="dxa"/>
            <w:vAlign w:val="bottom"/>
            <w:vMerge w:val="restart"/>
          </w:tcPr>
          <w:p>
            <w:pPr>
              <w:ind w:left="360"/>
              <w:spacing w:after="0"/>
              <w:rPr>
                <w:sz w:val="20"/>
                <w:szCs w:val="20"/>
                <w:color w:val="auto"/>
              </w:rPr>
            </w:pPr>
            <w:r>
              <w:rPr>
                <w:rFonts w:ascii="Arial" w:cs="Arial" w:eastAsia="Arial" w:hAnsi="Arial"/>
                <w:sz w:val="16"/>
                <w:szCs w:val="16"/>
                <w:color w:val="auto"/>
              </w:rPr>
              <w:t>Mortgage note payable converted to unsecured term loan</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 estate and intangibles recorded upon consolidation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(220,015)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Distributions declared but not paid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172,191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171,916</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Conversions of redeemable partnership units to partners’ capital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33,746</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0" w:type="dxa"/>
            <w:vAlign w:val="bottom"/>
          </w:tcPr>
          <w:p>
            <w:pPr>
              <w:spacing w:after="0"/>
              <w:rPr>
                <w:sz w:val="1"/>
                <w:szCs w:val="1"/>
                <w:color w:val="auto"/>
              </w:rPr>
            </w:pPr>
          </w:p>
        </w:tc>
      </w:tr>
      <w:tr>
        <w:trPr>
          <w:trHeight w:val="209"/>
        </w:trPr>
        <w:tc>
          <w:tcPr>
            <w:tcW w:w="7960" w:type="dxa"/>
            <w:vAlign w:val="bottom"/>
          </w:tcPr>
          <w:p>
            <w:pPr>
              <w:ind w:left="36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43,360</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BXP, INC. AND BOSTON PROPERTIES LIMITED PARTNERSHIP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04"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BXP is a fully integrated, self-administered and self-managed REIT. BXP is the sole general partner of BPLP, its operating partnership, and at September 30, 2024, owned an approximate 89.6% (89.4% at December 31, 2023) general and limited partnership interest in BPLP. Unless stated otherwise or the context requires, the “Company” refers to BXP and its subsidiaries, including BPLP and its consolidated subsidiaries. Partnership interests in BPLP include:</w:t>
      </w:r>
    </w:p>
    <w:p>
      <w:pPr>
        <w:spacing w:after="0" w:line="95" w:lineRule="exact"/>
        <w:rPr>
          <w:sz w:val="20"/>
          <w:szCs w:val="20"/>
          <w:color w:val="auto"/>
        </w:rPr>
      </w:pPr>
    </w:p>
    <w:p>
      <w:pPr>
        <w:ind w:left="1040" w:hanging="22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units of partnership interest (also referred to as “OP Units”) and</w:t>
      </w:r>
    </w:p>
    <w:p>
      <w:pPr>
        <w:spacing w:after="0" w:line="103" w:lineRule="exact"/>
        <w:rPr>
          <w:rFonts w:ascii="Arial" w:cs="Arial" w:eastAsia="Arial" w:hAnsi="Arial"/>
          <w:sz w:val="18"/>
          <w:szCs w:val="18"/>
          <w:color w:val="auto"/>
        </w:rPr>
      </w:pPr>
    </w:p>
    <w:p>
      <w:pPr>
        <w:ind w:left="1040" w:hanging="22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 term incentive units of partnership interest (also referred to as “LTIP Units”)</w:t>
      </w:r>
    </w:p>
    <w:p>
      <w:pPr>
        <w:spacing w:after="0" w:line="17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Unless specifically noted otherwise, all references to OP Units exclude units held by BXP. 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is obligated to redeem the OP Unit for cash equal to the value of a share of common stock of BXP (“Common Stock”). In lieu of such cash redemption, BXP may elect to acquire the OP Unit for one share of Common Stock. Because the number of shares of Common Stock outstanding at all times equals the number of OP Units that BXP owns, one share of Common Stock is generally the economic equivalent of one OP Unit, and the quarterly distribution that may be paid to the holder of an OP Unit equals the quarterly dividend that may be paid to the holder of a share of Common Stock.</w:t>
      </w:r>
    </w:p>
    <w:p>
      <w:pPr>
        <w:spacing w:after="0" w:line="131"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The Company uses LTIP Units as a form of time-based, restricted equity compensation and as a form of performance-based equity compensation for employees, and has previously granted LTIP Units in the form of (1) 2012 outperformance plan awards (“2012 OPP Units”) and (2) 2013 - 2024 multi-year, long-term incentive program awards (also referred to as “MYLTIP Units”), each of which, upon the satisfaction of certain performance-based and time-based vesting conditions, is convertible into one OP Unit. The three-year measurement periods for the 2012 OPP Units and the 2013 - 2021 MYLTIP Units have ended and BXP’s total stockholder return (“TSR”) was sufficient for employees to earn and therefore become eligible to vest in a portion of the awards. Unless and until they are earned, the rights, preferences and privileges of the 2022 - 2024 MYLTIP Units differ from other LTIP Units granted to employees (including the 2012 OPP Units and the 2013 - 2021 MYLTIP Units, which have been earned). Therefore, unless specifically noted otherwise, all references to LTIP Units exclude the 2022 - 2024 MYLTIP Units. LTIP Units (including the earned 2012 OPP Units and the earned 2013 - 2021 MYLTIP Units), whether vested or not, receive the same quarterly per unit distributions as OP Units, which equal per share dividends on Common Stock (See Notes 9 and 13).</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Properties</w:t>
      </w:r>
    </w:p>
    <w:p>
      <w:pPr>
        <w:spacing w:after="0" w:line="88" w:lineRule="exact"/>
        <w:rPr>
          <w:sz w:val="20"/>
          <w:szCs w:val="20"/>
          <w:color w:val="auto"/>
        </w:rPr>
      </w:pPr>
    </w:p>
    <w:p>
      <w:pPr>
        <w:ind w:right="160" w:firstLine="445"/>
        <w:spacing w:after="0" w:line="268" w:lineRule="auto"/>
        <w:rPr>
          <w:sz w:val="20"/>
          <w:szCs w:val="20"/>
          <w:color w:val="auto"/>
        </w:rPr>
      </w:pPr>
      <w:r>
        <w:rPr>
          <w:rFonts w:ascii="Arial" w:cs="Arial" w:eastAsia="Arial" w:hAnsi="Arial"/>
          <w:sz w:val="18"/>
          <w:szCs w:val="18"/>
          <w:color w:val="auto"/>
        </w:rPr>
        <w:t>At September 30, 2024, the Company owned or had joint venture interests in a portfolio of 184 commercial real estate properties (the “Properties”) aggregating approximately 53.0 million net rentable square feet of primarily office properties, including nine properties under construction/redevelopment totaling approximately 2.7 million net rentable square feet. At September 30, 2024, the Properties consisted of:</w:t>
      </w:r>
    </w:p>
    <w:p>
      <w:pPr>
        <w:spacing w:after="0" w:line="117" w:lineRule="exact"/>
        <w:rPr>
          <w:sz w:val="20"/>
          <w:szCs w:val="20"/>
          <w:color w:val="auto"/>
        </w:rPr>
      </w:pPr>
    </w:p>
    <w:p>
      <w:pPr>
        <w:ind w:left="1040" w:hanging="228"/>
        <w:spacing w:after="0"/>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162 office and life sciences properties (including six properties under construction/redevelopment);</w:t>
      </w:r>
    </w:p>
    <w:p>
      <w:pPr>
        <w:spacing w:after="0" w:line="49" w:lineRule="exact"/>
        <w:rPr>
          <w:rFonts w:ascii="Arial" w:cs="Arial" w:eastAsia="Arial" w:hAnsi="Arial"/>
          <w:sz w:val="18"/>
          <w:szCs w:val="18"/>
          <w:color w:val="auto"/>
        </w:rPr>
      </w:pPr>
    </w:p>
    <w:p>
      <w:pPr>
        <w:ind w:left="1040" w:hanging="228"/>
        <w:spacing w:after="0"/>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14 retail properties (including one property under construction);</w:t>
      </w:r>
    </w:p>
    <w:p>
      <w:pPr>
        <w:spacing w:after="0" w:line="27" w:lineRule="exact"/>
        <w:rPr>
          <w:rFonts w:ascii="Arial" w:cs="Arial" w:eastAsia="Arial" w:hAnsi="Arial"/>
          <w:sz w:val="18"/>
          <w:szCs w:val="18"/>
          <w:color w:val="auto"/>
        </w:rPr>
      </w:pPr>
    </w:p>
    <w:p>
      <w:pPr>
        <w:ind w:left="1040" w:hanging="228"/>
        <w:spacing w:after="0"/>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seven residential properties (including two properties under construction); and</w:t>
      </w:r>
    </w:p>
    <w:p>
      <w:pPr>
        <w:spacing w:after="0" w:line="9" w:lineRule="exact"/>
        <w:rPr>
          <w:rFonts w:ascii="Arial" w:cs="Arial" w:eastAsia="Arial" w:hAnsi="Arial"/>
          <w:sz w:val="18"/>
          <w:szCs w:val="18"/>
          <w:color w:val="auto"/>
        </w:rPr>
      </w:pPr>
    </w:p>
    <w:p>
      <w:pPr>
        <w:ind w:left="1040" w:hanging="228"/>
        <w:spacing w:after="0"/>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one hotel.</w:t>
      </w:r>
    </w:p>
    <w:p>
      <w:pPr>
        <w:spacing w:after="0" w:line="247" w:lineRule="exact"/>
        <w:rPr>
          <w:rFonts w:ascii="Arial" w:cs="Arial" w:eastAsia="Arial" w:hAnsi="Arial"/>
          <w:sz w:val="18"/>
          <w:szCs w:val="18"/>
          <w:color w:val="auto"/>
        </w:rPr>
      </w:pPr>
    </w:p>
    <w:p>
      <w:pPr>
        <w:ind w:left="200" w:hanging="192"/>
        <w:spacing w:after="0"/>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0"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BXP does not have any other significant assets, liabilities or operations, other than its investment in BPLP, nor does it have employees of its own. BPLP, not BXP, generally executes all significant business relationships other than transactions involving securities of BXP. All majority-owned subsidiaries and joint ventures over which the Company has financial and operating control and variable interest entities (“VIEs”) in which the Company has determined it is the primary beneficiary are included in the consolidated financial statements. All significant intercompany balances and transactions have been eliminated in consolidation. The Company accounts for all other unconsolidated joint ventures using the equity method of accounting. Accordingly, the Company’s share of the earnings of these joint ventures and companies is included in consolidated net income.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accompanying interim financial statements are unaudited; however, the financial statements have been prepared in accordance with generally accepted accounting principles (“GAAP”) for interim financial information and in conjunction with the rules and regulations of the Securities and Exchange Commission (the “SEC”). Accordingly, they do not include all of the disclosures required by GAAP for complete financial statements. In the opinion of management, all adjustments (consisting solely of normal recurring matters) necessary for a fair statement of the financial statements for these interim periods have been included. The results of operations for the interim periods are not necessarily indicative of the results to be obtained for other interim periods or for the full fiscal year. The year-end consolidated balance sheet data was derived from audited financial statements, but does not include all disclosure required by GAAP. These financial statements should be read in conjunction with the Company’s financial statements and notes thereto contained in the Company’s Annual Report in the Company’s Form 10-K for its fiscal year ended December 31, 2023.</w:t>
      </w:r>
    </w:p>
    <w:p>
      <w:pPr>
        <w:spacing w:after="0" w:line="127"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The Company bases its estimates on historical experience and on various other assumptions that it considers to be reasonable under the circumstances, including the impact of extraordinary events,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Variable Interest Entities (VIEs)</w:t>
      </w:r>
    </w:p>
    <w:p>
      <w:pPr>
        <w:spacing w:after="0" w:line="8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assets of each VIE are only available to satisfy such VIE's respective liabilities. The Company has identified nine entities that are VIEs as of September 30, 2024 and has determined that it is the primary beneficiary for all of these entities as of September 30, 2024.</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Consolidated Variable Interest Entities</w:t>
      </w:r>
    </w:p>
    <w:p>
      <w:pPr>
        <w:spacing w:after="0" w:line="171" w:lineRule="exact"/>
        <w:rPr>
          <w:sz w:val="20"/>
          <w:szCs w:val="20"/>
          <w:color w:val="auto"/>
        </w:rPr>
      </w:pPr>
    </w:p>
    <w:p>
      <w:pPr>
        <w:ind w:right="180" w:firstLine="445"/>
        <w:spacing w:after="0" w:line="282" w:lineRule="auto"/>
        <w:rPr>
          <w:sz w:val="20"/>
          <w:szCs w:val="20"/>
          <w:color w:val="auto"/>
        </w:rPr>
      </w:pPr>
      <w:r>
        <w:rPr>
          <w:rFonts w:ascii="Arial" w:cs="Arial" w:eastAsia="Arial" w:hAnsi="Arial"/>
          <w:sz w:val="17"/>
          <w:szCs w:val="17"/>
          <w:color w:val="auto"/>
        </w:rPr>
        <w:t>As of September 30, 2024, BXP has identified nine consolidated VIEs, including BPLP. Excluding BPLP, the consolidated VIEs consisted of (i) the following five in-service properties: 767 Fifth Avenue (the General Motors Building), Times Square Tower, 601 Lexington Avenue, Atlantic Wharf Office Building and 100 Federal Street, (ii) 343 Madison Avenue, which is categorized as land held for future development and (iii) 290 Binney Street and 300 Binney Street, which are currently under development / redevelopment (See Note 14).</w:t>
      </w:r>
    </w:p>
    <w:p>
      <w:pPr>
        <w:spacing w:after="0" w:line="107"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The Company consolidates these VIEs because it is the primary beneficiary. The third parties’ interests in these consolidated entities (excluding BPLP’s interest) are reflected as noncontrolling interests in property partnerships in the accompanying consolidated financial statements (See Note 9).</w:t>
      </w:r>
    </w:p>
    <w:p>
      <w:pPr>
        <w:spacing w:after="0" w:line="117" w:lineRule="exact"/>
        <w:rPr>
          <w:sz w:val="20"/>
          <w:szCs w:val="20"/>
          <w:color w:val="auto"/>
        </w:rPr>
      </w:pPr>
    </w:p>
    <w:p>
      <w:pPr>
        <w:ind w:right="100" w:firstLine="445"/>
        <w:spacing w:after="0" w:line="287" w:lineRule="auto"/>
        <w:rPr>
          <w:sz w:val="20"/>
          <w:szCs w:val="20"/>
          <w:color w:val="auto"/>
        </w:rPr>
      </w:pPr>
      <w:r>
        <w:rPr>
          <w:rFonts w:ascii="Arial" w:cs="Arial" w:eastAsia="Arial" w:hAnsi="Arial"/>
          <w:sz w:val="18"/>
          <w:szCs w:val="18"/>
          <w:color w:val="auto"/>
        </w:rPr>
        <w:t>In addition, BXP’s only significant asset is its investment in BPLP and, consequently, substantially all of BXP’s assets and liabilities are the assets and liabilities of BPLP.</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Variable Interest Entities Not Consolidated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2024, the Company does not have any unconsolidated joint ventures that are classified as VIEs.</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2" w:lineRule="exact"/>
        <w:rPr>
          <w:sz w:val="20"/>
          <w:szCs w:val="20"/>
          <w:color w:val="auto"/>
        </w:rPr>
      </w:pPr>
    </w:p>
    <w:p>
      <w:pPr>
        <w:ind w:right="260" w:firstLine="445"/>
        <w:spacing w:after="0" w:line="262" w:lineRule="auto"/>
        <w:rPr>
          <w:sz w:val="20"/>
          <w:szCs w:val="20"/>
          <w:color w:val="auto"/>
        </w:rPr>
      </w:pPr>
      <w:r>
        <w:rPr>
          <w:rFonts w:ascii="Arial" w:cs="Arial" w:eastAsia="Arial" w:hAnsi="Arial"/>
          <w:sz w:val="18"/>
          <w:szCs w:val="18"/>
          <w:color w:val="auto"/>
        </w:rPr>
        <w:t>The Company follows the authoritative guidance for fair value measurements when valuing its financial instruments for disclosure purposes. The table below presents for September 30, 2024 and December 31, 2023, the financial instruments that are being valued for disclosure purposes, as well as the Level at which they are categorized as defined in Accounting Standards Codification (“ASC”) 820 “Fair Value Measurements and Disclosures” (“ASC 820”).</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4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80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925"/>
        </w:trPr>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Financial Instrument</w:t>
            </w:r>
          </w:p>
        </w:tc>
        <w:tc>
          <w:tcPr>
            <w:tcW w:w="78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Level</w:t>
            </w:r>
          </w:p>
        </w:tc>
      </w:tr>
      <w:tr>
        <w:trPr>
          <w:trHeight w:val="22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3-Month United States Treasury Bills</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1</w:t>
            </w: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Unsecured commercial paper</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1</w:t>
            </w: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in securities</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1</w:t>
            </w: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Unsecured senior notes (1)</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1</w:t>
            </w: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Related party note receivable</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3</w:t>
            </w: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Notes receivable</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3</w:t>
            </w: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Sales-type lease receivable</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3</w:t>
            </w: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Mortgage notes payable</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3</w:t>
            </w: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line of credit</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3</w:t>
            </w:r>
          </w:p>
        </w:tc>
      </w:tr>
      <w:tr>
        <w:trPr>
          <w:trHeight w:val="23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Unsecured term loans</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3</w:t>
            </w:r>
          </w:p>
        </w:tc>
      </w:tr>
      <w:tr>
        <w:trPr>
          <w:trHeight w:val="290"/>
        </w:trPr>
        <w:tc>
          <w:tcPr>
            <w:tcW w:w="342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7800" w:type="dxa"/>
            <w:vAlign w:val="bottom"/>
          </w:tcPr>
          <w:p>
            <w:pPr>
              <w:spacing w:after="0"/>
              <w:rPr>
                <w:sz w:val="24"/>
                <w:szCs w:val="24"/>
                <w:color w:val="auto"/>
              </w:rPr>
            </w:pPr>
          </w:p>
        </w:tc>
      </w:tr>
    </w:tbl>
    <w:p>
      <w:pPr>
        <w:ind w:left="180"/>
        <w:spacing w:after="0"/>
        <w:rPr>
          <w:sz w:val="20"/>
          <w:szCs w:val="20"/>
          <w:color w:val="auto"/>
        </w:rPr>
      </w:pPr>
      <w:r>
        <w:rPr>
          <w:rFonts w:ascii="Arial" w:cs="Arial" w:eastAsia="Arial" w:hAnsi="Arial"/>
          <w:sz w:val="16"/>
          <w:szCs w:val="16"/>
          <w:color w:val="auto"/>
        </w:rPr>
        <w:t>(1)  If trading volume for the period is low, the valuation could be categorized as Level 2.</w:t>
      </w:r>
    </w:p>
    <w:p>
      <w:pPr>
        <w:spacing w:after="0" w:line="268"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Because the Company’s valuations of its financial instruments are based on the above Levels and involve the use of estimates, the actual fair values of its financial instruments may differ materially from those estimates. In addition, the Company’s estimated fair values for these instruments as of the end of the applicable reporting period are not projections of, nor necessarily indicative of, estimated or actual fair values in future reporting periods.</w:t>
      </w:r>
    </w:p>
    <w:p>
      <w:pPr>
        <w:spacing w:after="0" w:line="12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At September 30, 2024 and December 31, 2023, the Company had outstanding three-month United States Treasury Bills with a maturity date of November 21, 2024 and January 30, 2024, respectively, that were classified as held to maturity because the Company determined that it had the positive intent and ability to hold to maturity. Because these securities are considered short-term investments, they are reflected at amortized cost within Cash and Cash Equivalents on the Consolidated Balance Sheets. At September 30, 2024 and December 31, 2023, the amortized cost of these securities were approximately $175.9 million and $302.7 million, respectively.</w:t>
      </w:r>
    </w:p>
    <w:p>
      <w:pPr>
        <w:spacing w:after="0" w:line="125" w:lineRule="exact"/>
        <w:rPr>
          <w:sz w:val="20"/>
          <w:szCs w:val="20"/>
          <w:color w:val="auto"/>
        </w:rPr>
      </w:pPr>
    </w:p>
    <w:p>
      <w:pPr>
        <w:ind w:right="60" w:firstLine="445"/>
        <w:spacing w:after="0" w:line="268" w:lineRule="auto"/>
        <w:rPr>
          <w:sz w:val="20"/>
          <w:szCs w:val="20"/>
          <w:color w:val="auto"/>
        </w:rPr>
      </w:pPr>
      <w:r>
        <w:rPr>
          <w:rFonts w:ascii="Arial" w:cs="Arial" w:eastAsia="Arial" w:hAnsi="Arial"/>
          <w:sz w:val="18"/>
          <w:szCs w:val="18"/>
          <w:color w:val="auto"/>
        </w:rPr>
        <w:t>At September 30, 2024, the Company had $500.0 million outstanding under its unsecured commercial paper program (See Note 6). Due to their short-term maturity and stated interest rates at approximate current market rates, the fair value of outstanding commercial paper borrowings approximates the Company's carrying amount at September 30, 2024.</w:t>
      </w:r>
    </w:p>
    <w:p>
      <w:pPr>
        <w:spacing w:after="0" w:line="117" w:lineRule="exact"/>
        <w:rPr>
          <w:sz w:val="20"/>
          <w:szCs w:val="20"/>
          <w:color w:val="auto"/>
        </w:rPr>
      </w:pPr>
    </w:p>
    <w:p>
      <w:pPr>
        <w:jc w:val="both"/>
        <w:ind w:right="420" w:firstLine="445"/>
        <w:spacing w:after="0" w:line="268" w:lineRule="auto"/>
        <w:rPr>
          <w:sz w:val="20"/>
          <w:szCs w:val="20"/>
          <w:color w:val="auto"/>
        </w:rPr>
      </w:pPr>
      <w:r>
        <w:rPr>
          <w:rFonts w:ascii="Arial" w:cs="Arial" w:eastAsia="Arial" w:hAnsi="Arial"/>
          <w:sz w:val="18"/>
          <w:szCs w:val="18"/>
          <w:color w:val="auto"/>
        </w:rPr>
        <w:t>The Company’s investment in non-real estate investments is shown within Prepaid and Other Assets on the Consolidated Balance Sheets and was approximately $6.7 million and $4.6 million at September 30, 2024 and December 31, 2023, respectively. The non-real estate investments utilize net asset value as the practical expedient.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Non-Recurring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aggregate carrying value of the Company’s non-recurring fair value financial instruments and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Company’s corresponding estimate of fair value as of September 30, 2024 and December 31, 2023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 2024</w:t>
            </w:r>
          </w:p>
        </w:tc>
        <w:tc>
          <w:tcPr>
            <w:tcW w:w="260" w:type="dxa"/>
            <w:vAlign w:val="bottom"/>
          </w:tcPr>
          <w:p>
            <w:pPr>
              <w:spacing w:after="0"/>
              <w:rPr>
                <w:sz w:val="18"/>
                <w:szCs w:val="18"/>
                <w:color w:val="auto"/>
              </w:rPr>
            </w:pPr>
          </w:p>
        </w:tc>
        <w:tc>
          <w:tcPr>
            <w:tcW w:w="276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December 31, 2023</w:t>
            </w:r>
          </w:p>
        </w:tc>
      </w:tr>
      <w:tr>
        <w:trPr>
          <w:trHeight w:val="156"/>
        </w:trPr>
        <w:tc>
          <w:tcPr>
            <w:tcW w:w="49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6"/>
                <w:szCs w:val="16"/>
                <w:b w:val="1"/>
                <w:bCs w:val="1"/>
                <w:color w:val="auto"/>
              </w:rPr>
              <w:t>Estimated</w:t>
            </w:r>
          </w:p>
        </w:tc>
        <w:tc>
          <w:tcPr>
            <w:tcW w:w="3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1"/>
              <w:spacing w:after="0" w:line="155" w:lineRule="exact"/>
              <w:rPr>
                <w:sz w:val="20"/>
                <w:szCs w:val="20"/>
                <w:color w:val="auto"/>
              </w:rPr>
            </w:pPr>
            <w:r>
              <w:rPr>
                <w:rFonts w:ascii="Arial" w:cs="Arial" w:eastAsia="Arial" w:hAnsi="Arial"/>
                <w:sz w:val="16"/>
                <w:szCs w:val="16"/>
                <w:b w:val="1"/>
                <w:bCs w:val="1"/>
                <w:color w:val="auto"/>
              </w:rPr>
              <w:t>Estimated</w:t>
            </w:r>
          </w:p>
        </w:tc>
      </w:tr>
      <w:tr>
        <w:trPr>
          <w:trHeight w:val="216"/>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Fair Value</w:t>
            </w: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180" w:type="dxa"/>
            <w:vAlign w:val="bottom"/>
          </w:tcPr>
          <w:p>
            <w:pPr>
              <w:jc w:val="right"/>
              <w:ind w:right="231"/>
              <w:spacing w:after="0"/>
              <w:rPr>
                <w:sz w:val="20"/>
                <w:szCs w:val="20"/>
                <w:color w:val="auto"/>
              </w:rPr>
            </w:pPr>
            <w:r>
              <w:rPr>
                <w:rFonts w:ascii="Arial" w:cs="Arial" w:eastAsia="Arial" w:hAnsi="Arial"/>
                <w:sz w:val="16"/>
                <w:szCs w:val="16"/>
                <w:b w:val="1"/>
                <w:bCs w:val="1"/>
                <w:color w:val="auto"/>
              </w:rPr>
              <w:t>Fair Value</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3-Month United States Treasury Bills (1)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175,944</w:t>
            </w:r>
          </w:p>
        </w:tc>
        <w:tc>
          <w:tcPr>
            <w:tcW w:w="3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302,746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302,746</w:t>
            </w:r>
          </w:p>
        </w:tc>
      </w:tr>
      <w:tr>
        <w:trPr>
          <w:trHeight w:val="257"/>
        </w:trPr>
        <w:tc>
          <w:tcPr>
            <w:tcW w:w="4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note receivable,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90,138</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90,593</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Note receivable,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4,799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1,677</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Sales-type lease receivable, net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13,563</w:t>
            </w:r>
          </w:p>
        </w:tc>
        <w:tc>
          <w:tcPr>
            <w:tcW w:w="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w:t>
            </w:r>
          </w:p>
        </w:tc>
      </w:tr>
      <w:tr>
        <w:trPr>
          <w:trHeight w:val="223"/>
        </w:trPr>
        <w:tc>
          <w:tcPr>
            <w:tcW w:w="4900" w:type="dxa"/>
            <w:vAlign w:val="bottom"/>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108,500</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104,197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105,608</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Mortgage notes payable,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4,275,155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3,907,688</w:t>
            </w:r>
          </w:p>
        </w:tc>
        <w:tc>
          <w:tcPr>
            <w:tcW w:w="3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4,166,379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3,705,513</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senior notes,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10,191,058</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10,491,617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9,697,393</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Unsecured line of credit</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term loans,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800,303</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1,196,945</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Unsecured commercial paper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16,215,246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15,399,049</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15,856,297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14,599,851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420" w:right="100" w:hanging="331"/>
        <w:spacing w:after="0" w:line="283" w:lineRule="auto"/>
        <w:tabs>
          <w:tab w:leader="none" w:pos="339"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 the guidance in ASC 326 “Financial Instruments — Credit Losses” (“ASC 326”), the Company concluded that the risk of nonpayment is nonexistent because the U.S. Government has a long history with no credit losses and, therefore, no credit loss allowance was recorded.</w:t>
      </w:r>
    </w:p>
    <w:p>
      <w:pPr>
        <w:spacing w:after="0" w:line="193"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At March 31, 2024, the Company evaluated the expected hold period for a portion of its Shady Grove property, consisting of 2 Choke Cherry Road, 2094 Gaither Road and a land parcel, located in Rockville, Maryland. Based on a shorter-than-expected hold period, the Company reduced the carrying value of a portion of the property that the Company anticipates selling to a third-party developer to its estimated fair value at March 31, 2024. As a result, during the nine months ended September 30, 2024, each of BXP and BPLP recognized an impairment loss of approximately $13.6 million. The Company’s estimated fair value utilized Level 3 inputs and was based on a pending offer from a third party (See Note 3).</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Recurring Fair Value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Derivatives</w:t>
      </w:r>
    </w:p>
    <w:p>
      <w:pPr>
        <w:spacing w:after="0" w:line="102"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addition to the financial instruments noted above, the Company uses interest rate swap agreements to manage its interest rate risk (See Note 7).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To comply with the provisions of ASC 820, the Company incorporates credit valuation adjustments to appropriately reflect both its own nonperformance risk and the respective counterparty’s nonperformance risk in the fair value measurements. 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are classified in Level 2 of the fair value hierarchy.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aggregate fair value of the Company’s interest rate swaps as of September 30, 2024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6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21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2024</w:t>
            </w:r>
          </w:p>
        </w:tc>
        <w:tc>
          <w:tcPr>
            <w:tcW w:w="200" w:type="dxa"/>
            <w:vAlign w:val="bottom"/>
          </w:tcPr>
          <w:p>
            <w:pPr>
              <w:spacing w:after="0"/>
              <w:rPr>
                <w:sz w:val="18"/>
                <w:szCs w:val="18"/>
                <w:color w:val="auto"/>
              </w:rPr>
            </w:pPr>
          </w:p>
        </w:tc>
        <w:tc>
          <w:tcPr>
            <w:tcW w:w="1800" w:type="dxa"/>
            <w:vAlign w:val="bottom"/>
          </w:tcPr>
          <w:p>
            <w:pPr>
              <w:jc w:val="right"/>
              <w:ind w:right="175"/>
              <w:spacing w:after="0"/>
              <w:rPr>
                <w:sz w:val="20"/>
                <w:szCs w:val="20"/>
                <w:color w:val="auto"/>
              </w:rPr>
            </w:pPr>
            <w:r>
              <w:rPr>
                <w:rFonts w:ascii="Arial" w:cs="Arial" w:eastAsia="Arial" w:hAnsi="Arial"/>
                <w:sz w:val="16"/>
                <w:szCs w:val="16"/>
                <w:b w:val="1"/>
                <w:bCs w:val="1"/>
                <w:color w:val="auto"/>
              </w:rPr>
              <w:t>December 31, 2023</w:t>
            </w:r>
          </w:p>
        </w:tc>
      </w:tr>
      <w:tr>
        <w:trPr>
          <w:trHeight w:val="223"/>
        </w:trPr>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r>
    </w:tbl>
    <w:p>
      <w:pPr>
        <w:spacing w:after="0" w:line="3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Investments</w:t>
      </w:r>
    </w:p>
    <w:p>
      <w:pPr>
        <w:spacing w:after="0" w:line="10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Company accounts for investments in equity securities at fair value, with gains or losses resulting from changes in fair value recognized currently in earnings. The Company maintains deferred compensation plans that are designed to allow officers and non-employee directors of BXP to defer a portion of the officer’s current income or the non-employee director’s current compensation on a pre-tax basis and receive a tax-deferred return on these deferrals based on the performance of specific investments selected by the officer or non-employee director. The Company’s obligation under the plans is that of an unsecured promise to pay the deferred compensation to the plan participants in the future. At September 30, 2024 and December 31, 2023, the Company had maintained approximately $ 38.9 million and $36.1 million, respectively, in separate accounts, which are not restricted as to their use. The Company recognized gains (losses) of approximately $ 2.2 million and $(0.9) million on its investments in the accounts associated with the Company’s deferred compensation plans during the three months ended September 30, 2024 and September 30, 2023, respectively, and approximately $4.8 million and $2.3 million during the nine months ended September 30, 2024 and September 30, 2023, respectively, primarily due to the observable change in fair value.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 Estate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estate consisted of the following at September 30, 2024 and December 31, 2023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2024</w:t>
            </w:r>
          </w:p>
        </w:tc>
        <w:tc>
          <w:tcPr>
            <w:tcW w:w="200" w:type="dxa"/>
            <w:vAlign w:val="bottom"/>
          </w:tcPr>
          <w:p>
            <w:pPr>
              <w:spacing w:after="0"/>
              <w:rPr>
                <w:sz w:val="18"/>
                <w:szCs w:val="18"/>
                <w:color w:val="auto"/>
              </w:rPr>
            </w:pPr>
          </w:p>
        </w:tc>
        <w:tc>
          <w:tcPr>
            <w:tcW w:w="1820" w:type="dxa"/>
            <w:vAlign w:val="bottom"/>
          </w:tcPr>
          <w:p>
            <w:pPr>
              <w:jc w:val="right"/>
              <w:ind w:right="191"/>
              <w:spacing w:after="0"/>
              <w:rPr>
                <w:sz w:val="20"/>
                <w:szCs w:val="20"/>
                <w:color w:val="auto"/>
              </w:rPr>
            </w:pPr>
            <w:r>
              <w:rPr>
                <w:rFonts w:ascii="Arial" w:cs="Arial" w:eastAsia="Arial" w:hAnsi="Arial"/>
                <w:sz w:val="16"/>
                <w:szCs w:val="16"/>
                <w:b w:val="1"/>
                <w:bCs w:val="1"/>
                <w:color w:val="auto"/>
              </w:rPr>
              <w:t>December 31, 2023</w:t>
            </w: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5,318,724</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5,251,224</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Right of use assets - finance leases (1)</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372,896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401,680</w:t>
            </w: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 (1)</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339,804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324,298</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Land held for future development (2)</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690,774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697,061</w:t>
            </w: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16,898,821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16,607,756</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3,782,391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3,592,172</w:t>
            </w: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53,716</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812,122</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547,280</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28,270,524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27,475,187</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(7,369,545)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(6,881,728)</w:t>
            </w:r>
          </w:p>
        </w:tc>
      </w:tr>
      <w:tr>
        <w:trPr>
          <w:trHeight w:val="248"/>
        </w:trPr>
        <w:tc>
          <w:tcPr>
            <w:tcW w:w="6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20,900,979</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20,593,459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480" w:hanging="310"/>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Note 4.</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pre-development costs.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estate consisted of the following at September 30, 2024 and December 31, 2023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2024</w:t>
            </w:r>
          </w:p>
        </w:tc>
        <w:tc>
          <w:tcPr>
            <w:tcW w:w="200" w:type="dxa"/>
            <w:vAlign w:val="bottom"/>
          </w:tcPr>
          <w:p>
            <w:pPr>
              <w:spacing w:after="0"/>
              <w:rPr>
                <w:sz w:val="18"/>
                <w:szCs w:val="18"/>
                <w:color w:val="auto"/>
              </w:rPr>
            </w:pPr>
          </w:p>
        </w:tc>
        <w:tc>
          <w:tcPr>
            <w:tcW w:w="1820" w:type="dxa"/>
            <w:vAlign w:val="bottom"/>
          </w:tcPr>
          <w:p>
            <w:pPr>
              <w:jc w:val="right"/>
              <w:ind w:right="191"/>
              <w:spacing w:after="0"/>
              <w:rPr>
                <w:sz w:val="20"/>
                <w:szCs w:val="20"/>
                <w:color w:val="auto"/>
              </w:rPr>
            </w:pPr>
            <w:r>
              <w:rPr>
                <w:rFonts w:ascii="Arial" w:cs="Arial" w:eastAsia="Arial" w:hAnsi="Arial"/>
                <w:sz w:val="16"/>
                <w:szCs w:val="16"/>
                <w:b w:val="1"/>
                <w:bCs w:val="1"/>
                <w:color w:val="auto"/>
              </w:rPr>
              <w:t>December 31, 2023</w:t>
            </w: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5,224,015</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5,156,515</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Right of use assets - finance leases (1)</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372,896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401,680</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 (1)</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339,804</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324,298</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Land held for future development (2)</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690,774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697,061</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16,627,265</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16,336,200</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3,782,391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3,592,172</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54,992</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53,716</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812,122</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547,280</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27,904,259</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27,108,922</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(7,241,074)</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(6,758,361)</w:t>
            </w:r>
          </w:p>
        </w:tc>
      </w:tr>
      <w:tr>
        <w:trPr>
          <w:trHeight w:val="248"/>
        </w:trPr>
        <w:tc>
          <w:tcPr>
            <w:tcW w:w="6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20,663,185</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20,350,561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480" w:hanging="310"/>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Note 4.</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pre-development costs.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w:t>
      </w:r>
    </w:p>
    <w:p>
      <w:pPr>
        <w:spacing w:after="0" w:line="102"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On January 8, 2024, the Company completed the acquisition of its joint venture partner’s 50% economic ownership interest in the joint venture that owns 901 New York Avenue, located in Washington, DC. At acquisition, the total net equity acquired was $20.0 million, which includes $10.0 million in cash that the Company paid for the joint venture partner's 50% economic ownership interest in the joint venture. The property is subject to existing mortgage indebtedness of approximately $207.1 million (See Note 6). The acquisition resulted in the Company recording a gain upon consolidation of approximately $21.8 million, which is the difference between the fair value of the previously held equity method investment immediately prior to the consolidation of $10.0 million, less the Company’s costs basis of approximately</w:t>
      </w:r>
    </w:p>
    <w:p>
      <w:pPr>
        <w:spacing w:after="0" w:line="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$(11.8) million. The gain on consolidation is included within income (loss) from unconsolidated joint ventures in the Consolidated Statement of Operations.</w:t>
      </w:r>
    </w:p>
    <w:p>
      <w:pPr>
        <w:spacing w:after="0" w:line="117" w:lineRule="exact"/>
        <w:rPr>
          <w:sz w:val="20"/>
          <w:szCs w:val="20"/>
          <w:color w:val="auto"/>
        </w:rPr>
      </w:pPr>
    </w:p>
    <w:p>
      <w:pPr>
        <w:jc w:val="both"/>
        <w:ind w:right="220" w:firstLine="405"/>
        <w:spacing w:after="0" w:line="262" w:lineRule="auto"/>
        <w:rPr>
          <w:sz w:val="20"/>
          <w:szCs w:val="20"/>
          <w:color w:val="auto"/>
        </w:rPr>
      </w:pPr>
      <w:r>
        <w:rPr>
          <w:rFonts w:ascii="Arial" w:cs="Arial" w:eastAsia="Arial" w:hAnsi="Arial"/>
          <w:sz w:val="18"/>
          <w:szCs w:val="18"/>
          <w:color w:val="auto"/>
        </w:rPr>
        <w:t>The total net assets acquired is equal to (1) the total net equity acquired of $ 20.0 million, which includes $10.0 million in cash that the Company paid for the joint venture partner's 50% economic ownership interest in the joint venture plus (2) $207.1 million of debt assumed, less (3) net working capital acquired of approximately $ 7.1 million. The following table summarizes the allocation of the fair value of the net assets the Company received at the date of acquisition for 901 New York Avenue (in thousands):</w:t>
      </w:r>
    </w:p>
    <w:p>
      <w:pPr>
        <w:sectPr>
          <w:pgSz w:w="11900" w:h="16838" w:orient="portrait"/>
          <w:cols w:equalWidth="0" w:num="1">
            <w:col w:w="11240"/>
          </w:cols>
          <w:pgMar w:left="320" w:top="283" w:right="339" w:bottom="1440" w:gutter="0" w:footer="0" w:header="0"/>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Land and site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Building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Tenant improvements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In-place lease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Above-market lease intangibles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Below-market lease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Mortgage note payable adjustment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65,808</w:t>
            </w:r>
          </w:p>
        </w:tc>
      </w:tr>
      <w:tr>
        <w:trPr>
          <w:trHeight w:val="230"/>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56,882</w:t>
            </w:r>
          </w:p>
        </w:tc>
      </w:tr>
      <w:tr>
        <w:trPr>
          <w:trHeight w:val="230"/>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16,088</w:t>
            </w:r>
          </w:p>
        </w:tc>
      </w:tr>
      <w:tr>
        <w:trPr>
          <w:trHeight w:val="229"/>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72,621</w:t>
            </w:r>
          </w:p>
        </w:tc>
      </w:tr>
      <w:tr>
        <w:trPr>
          <w:trHeight w:val="230"/>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2,757</w:t>
            </w:r>
          </w:p>
        </w:tc>
      </w:tr>
      <w:tr>
        <w:trPr>
          <w:trHeight w:val="230"/>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35"/>
        </w:trPr>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220,015</w:t>
            </w: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260"/>
          </w:cols>
          <w:pgMar w:left="320" w:top="283" w:right="339" w:bottom="1440" w:gutter="0" w:footer="0" w:header="0"/>
          <w:type w:val="continuous"/>
        </w:sectPr>
      </w:pPr>
    </w:p>
    <w:p>
      <w:pPr>
        <w:spacing w:after="0" w:line="119" w:lineRule="exact"/>
        <w:rPr>
          <w:sz w:val="20"/>
          <w:szCs w:val="20"/>
          <w:color w:val="auto"/>
        </w:rPr>
      </w:pPr>
    </w:p>
    <w:p>
      <w:pPr>
        <w:jc w:val="both"/>
        <w:ind w:right="100" w:firstLine="441"/>
        <w:spacing w:after="0" w:line="268" w:lineRule="auto"/>
        <w:rPr>
          <w:sz w:val="20"/>
          <w:szCs w:val="20"/>
          <w:color w:val="auto"/>
        </w:rPr>
      </w:pPr>
      <w:r>
        <w:rPr>
          <w:rFonts w:ascii="Arial" w:cs="Arial" w:eastAsia="Arial" w:hAnsi="Arial"/>
          <w:sz w:val="18"/>
          <w:szCs w:val="18"/>
          <w:color w:val="auto"/>
        </w:rPr>
        <w:t>The following table summarizes the estimated annual amortization of the acquired in-place lease intangibles, and the acquired above-and below-market lease intangibles for 901 New York Avenue from January 8, 2024 through the remainder of 2024 and each of the next five succeeding fiscal years (in thousands):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Acquired In-Place Lease</w:t>
            </w:r>
          </w:p>
        </w:tc>
        <w:tc>
          <w:tcPr>
            <w:tcW w:w="2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Acquired Above-Market Lease</w:t>
            </w: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Acquired Below-Market Lease</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Intangibles</w:t>
            </w:r>
          </w:p>
        </w:tc>
        <w:tc>
          <w:tcPr>
            <w:tcW w:w="420" w:type="dxa"/>
            <w:vAlign w:val="bottom"/>
          </w:tcPr>
          <w:p>
            <w:pPr>
              <w:spacing w:after="0"/>
              <w:rPr>
                <w:sz w:val="16"/>
                <w:szCs w:val="16"/>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Intangibles</w:t>
            </w:r>
          </w:p>
        </w:tc>
        <w:tc>
          <w:tcPr>
            <w:tcW w:w="400" w:type="dxa"/>
            <w:vAlign w:val="bottom"/>
          </w:tcPr>
          <w:p>
            <w:pPr>
              <w:spacing w:after="0"/>
              <w:rPr>
                <w:sz w:val="16"/>
                <w:szCs w:val="16"/>
                <w:color w:val="auto"/>
              </w:rPr>
            </w:pPr>
          </w:p>
        </w:tc>
        <w:tc>
          <w:tcPr>
            <w:tcW w:w="1760" w:type="dxa"/>
            <w:vAlign w:val="bottom"/>
          </w:tcPr>
          <w:p>
            <w:pPr>
              <w:jc w:val="right"/>
              <w:ind w:right="613"/>
              <w:spacing w:after="0"/>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56"/>
        </w:trPr>
        <w:tc>
          <w:tcPr>
            <w:tcW w:w="47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Period from January 8, 2024 through December 31,</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vMerge w:val="restart"/>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vMerge w:val="continue"/>
            <w:shd w:val="clear" w:color="auto" w:fill="CCEEFF"/>
          </w:tcPr>
          <w:p>
            <w:pPr>
              <w:spacing w:after="0"/>
              <w:rPr>
                <w:sz w:val="21"/>
                <w:szCs w:val="21"/>
                <w:color w:val="auto"/>
              </w:rPr>
            </w:pPr>
          </w:p>
        </w:tc>
        <w:tc>
          <w:tcPr>
            <w:tcW w:w="18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9,030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6,265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9"/>
        </w:trPr>
        <w:tc>
          <w:tcPr>
            <w:tcW w:w="4700" w:type="dxa"/>
            <w:vAlign w:val="bottom"/>
          </w:tcPr>
          <w:p>
            <w:pPr>
              <w:ind w:left="20"/>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6,076</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20" w:firstLine="441"/>
        <w:spacing w:after="0" w:line="287" w:lineRule="auto"/>
        <w:rPr>
          <w:sz w:val="20"/>
          <w:szCs w:val="20"/>
          <w:color w:val="auto"/>
        </w:rPr>
      </w:pPr>
      <w:r>
        <w:rPr>
          <w:rFonts w:ascii="Arial" w:cs="Arial" w:eastAsia="Arial" w:hAnsi="Arial"/>
          <w:sz w:val="18"/>
          <w:szCs w:val="18"/>
          <w:color w:val="auto"/>
        </w:rPr>
        <w:t>The following table summarizes the weighted-average useful life of the acquired in-place lease intangibles and the acquired above- and below-market lease intangibles for 901 New York Avenue as of the acquisition date (in years):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Acquired In-Place Lease</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Acquired Above-Market Lease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Acquired Below-Market Lease</w:t>
            </w:r>
          </w:p>
        </w:tc>
      </w:tr>
      <w:tr>
        <w:trPr>
          <w:trHeight w:val="185"/>
        </w:trPr>
        <w:tc>
          <w:tcPr>
            <w:tcW w:w="4720" w:type="dxa"/>
            <w:vAlign w:val="bottom"/>
          </w:tcPr>
          <w:p>
            <w:pPr>
              <w:spacing w:after="0"/>
              <w:rPr>
                <w:sz w:val="16"/>
                <w:szCs w:val="16"/>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Intangibles</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Intangibles</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Intangibles</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useful life</w:t>
            </w: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6.7</w:t>
            </w:r>
          </w:p>
        </w:tc>
        <w:tc>
          <w:tcPr>
            <w:tcW w:w="14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9.8</w:t>
            </w:r>
          </w:p>
        </w:tc>
      </w:tr>
    </w:tbl>
    <w:p>
      <w:pPr>
        <w:spacing w:after="0" w:line="332" w:lineRule="exact"/>
        <w:rPr>
          <w:sz w:val="20"/>
          <w:szCs w:val="20"/>
          <w:color w:val="auto"/>
        </w:rPr>
      </w:pPr>
    </w:p>
    <w:p>
      <w:pPr>
        <w:ind w:right="340" w:firstLine="441"/>
        <w:spacing w:after="0" w:line="268" w:lineRule="auto"/>
        <w:rPr>
          <w:sz w:val="20"/>
          <w:szCs w:val="20"/>
          <w:color w:val="auto"/>
        </w:rPr>
      </w:pPr>
      <w:r>
        <w:rPr>
          <w:rFonts w:ascii="Arial" w:cs="Arial" w:eastAsia="Arial" w:hAnsi="Arial"/>
          <w:sz w:val="18"/>
          <w:szCs w:val="18"/>
          <w:color w:val="auto"/>
        </w:rPr>
        <w:t>901 New York Avenue contributed approximately $ 24.7 million of revenue and $6.9 million of net loss to the Company for the period from January 8, 2024 through September 30, 2024. 901 New York Avenue is an office property consisting of approximately 524,000 net rentable square feet.</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Development</w:t>
      </w:r>
    </w:p>
    <w:p>
      <w:pPr>
        <w:spacing w:after="0" w:line="102" w:lineRule="exact"/>
        <w:rPr>
          <w:sz w:val="20"/>
          <w:szCs w:val="20"/>
          <w:color w:val="auto"/>
        </w:rPr>
      </w:pPr>
    </w:p>
    <w:p>
      <w:pPr>
        <w:ind w:right="320" w:firstLine="441"/>
        <w:spacing w:after="0" w:line="262" w:lineRule="auto"/>
        <w:rPr>
          <w:sz w:val="20"/>
          <w:szCs w:val="20"/>
          <w:color w:val="auto"/>
        </w:rPr>
      </w:pPr>
      <w:r>
        <w:rPr>
          <w:rFonts w:ascii="Arial" w:cs="Arial" w:eastAsia="Arial" w:hAnsi="Arial"/>
          <w:sz w:val="18"/>
          <w:szCs w:val="18"/>
          <w:color w:val="auto"/>
        </w:rPr>
        <w:t>On February 12, 2024, the Company commenced the development of a residential project at 121 Broadway Street in Cambridge, Massachusetts that is adjacent to its development projects at 290 Binney Street and 300 Binney Street. 121 Broadway will consist of 439 residential units aggregating approximately 492,000 net rentable square feet. There can be no assurance that the Company will complete development of the project on the terms and schedule currently contemplated or at all.</w:t>
      </w:r>
    </w:p>
    <w:p>
      <w:pPr>
        <w:spacing w:after="0" w:line="122" w:lineRule="exact"/>
        <w:rPr>
          <w:sz w:val="20"/>
          <w:szCs w:val="20"/>
          <w:color w:val="auto"/>
        </w:rPr>
      </w:pPr>
    </w:p>
    <w:p>
      <w:pPr>
        <w:ind w:right="540" w:firstLine="445"/>
        <w:spacing w:after="0" w:line="287" w:lineRule="auto"/>
        <w:rPr>
          <w:sz w:val="20"/>
          <w:szCs w:val="20"/>
          <w:color w:val="auto"/>
        </w:rPr>
      </w:pPr>
      <w:r>
        <w:rPr>
          <w:rFonts w:ascii="Arial" w:cs="Arial" w:eastAsia="Arial" w:hAnsi="Arial"/>
          <w:sz w:val="18"/>
          <w:szCs w:val="18"/>
          <w:color w:val="auto"/>
        </w:rPr>
        <w:t>On April 5, 2024, the Company completed and fully placed in-service 760 Boylston Street, an approximately 118,000 net rentable square foot retail redevelopment located in Boston, Massachusetts.</w:t>
      </w:r>
    </w:p>
    <w:p>
      <w:pPr>
        <w:spacing w:after="0" w:line="99"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On July 17, 2024, the Company partially placed in-service Reston Next Office Phase II, an approximately 90,000 net rentable square foot development project comprised of office and retail space located in Reston, Virginia.</w:t>
      </w:r>
    </w:p>
    <w:p>
      <w:pPr>
        <w:spacing w:after="0" w:line="99" w:lineRule="exact"/>
        <w:rPr>
          <w:sz w:val="20"/>
          <w:szCs w:val="20"/>
          <w:color w:val="auto"/>
        </w:rPr>
      </w:pPr>
    </w:p>
    <w:p>
      <w:pPr>
        <w:ind w:right="680" w:firstLine="445"/>
        <w:spacing w:after="0" w:line="287" w:lineRule="auto"/>
        <w:rPr>
          <w:sz w:val="20"/>
          <w:szCs w:val="20"/>
          <w:color w:val="auto"/>
        </w:rPr>
      </w:pPr>
      <w:r>
        <w:rPr>
          <w:rFonts w:ascii="Arial" w:cs="Arial" w:eastAsia="Arial" w:hAnsi="Arial"/>
          <w:sz w:val="18"/>
          <w:szCs w:val="18"/>
          <w:color w:val="auto"/>
        </w:rPr>
        <w:t>On September 26, 2024, the Company fully placed in-service 180 CityPoint, an approximately 329,000 net rentable square foot laboratory/life sciences project located in Waltham, Massachusetts.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Pending Disposition and Impairment</w:t>
      </w:r>
    </w:p>
    <w:p>
      <w:pPr>
        <w:spacing w:after="0" w:line="8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At March 31, 2024, the Company evaluated the expected hold period for a portion of its Shady Grove property, consisting of 2 Choke Cherry Road, 2094 Gaither Road and a land parcel, located in Rockville, Maryland. Based on a shorter-than-expected hold period, the Company reduced the carrying value of a portion of the property that the Company anticipates selling to a third-party developer to its estimated fair value at March 31, 2024. As a result, each of BXP and BPLP recognized an impairment loss of approximately $13.6 million during the nine months ended September 30, 2024. The Company’s estimated fair value was based on Level 3 inputs as defined in ASC 820 and on a pending offer from a third-party.</w:t>
      </w:r>
    </w:p>
    <w:p>
      <w:pPr>
        <w:spacing w:after="0" w:line="12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On May 7, 2024, the Company entered into an agreement with the third-party developer for the sale of 2 Choke Cherry Road, 2094 Gaither Road and the land parcel for an aggregate gross sale price of approximately $24.8 million. On July 22, 2024, the Company executed an amendment to the agreement for an aggregate gross sale price of approximately $24.7 million. 2 Choke Cherry Road and 2094 Gaither Road are two vacant office properties aggregating approximately 143,000 net rentable square feet that were taken out of service and held for redevelopment. The disposition is subject to satisfaction of certain closing conditions and there can be no assurance that this transaction will be consummated on the terms currently contemplated or at all.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220" w:right="10420" w:hanging="212"/>
        <w:spacing w:after="0" w:line="414" w:lineRule="auto"/>
        <w:tabs>
          <w:tab w:leader="none" w:pos="218"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i w:val="1"/>
          <w:iCs w:val="1"/>
          <w:color w:val="auto"/>
        </w:rPr>
        <w:t>Lessor</w:t>
      </w:r>
    </w:p>
    <w:p>
      <w:pPr>
        <w:spacing w:after="0" w:line="1"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The following table summarizes the components of lease revenue recognized under the Company’s operating and sales-type leases for the three and nine months ended September 30, 2024 and 2023 and included within the Company's Consolidated Statements of Operations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512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Revenue</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r>
      <w:tr>
        <w:trPr>
          <w:trHeight w:val="223"/>
        </w:trPr>
        <w:tc>
          <w:tcPr>
            <w:tcW w:w="4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contractual payments</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646,979</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626,738</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1,947,599</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1,877,573</w:t>
            </w: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Variable lease payments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152,242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140,210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430,279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407,528</w:t>
            </w: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Sales-type lease revenue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23"/>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799,471</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767,181</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2,378,616</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2,285,789</w:t>
            </w:r>
          </w:p>
        </w:tc>
      </w:tr>
      <w:tr>
        <w:trPr>
          <w:trHeight w:val="21"/>
        </w:trPr>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Lessee</w:t>
      </w:r>
    </w:p>
    <w:p>
      <w:pPr>
        <w:spacing w:after="0" w:line="88"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On March 28, 2024, the Company entered into a 90-year air rights lease with the Massachusetts Department of Transportation for an approximately 61,000 square foot site at the parking garage located at 100 Clarendon Street and the concourse level of the Massachusetts Bay Transportation Authority’s Back Bay Station (the “Station”). The lease requires annual base rental payments of $ 250,000 until the commencement of construction, as defined in the lease. If the Company commences construction of a project on the site on or before August 1, 2028, then a final fixed rental payment is due in accordance with the lease at that time. After August 1, 2028, if the Company commences construction of a project on the site, then a final rental payment based on the then current fair market value will be due at that time. In addition, the lease requires annual payments of $500,000 through 2033 to fund maintenance and improvements to the Station. The Company has assumed that it will begin construction on the site on or before August 1, 2028. The incremental borrowing rate for this lease is 6.57% per annum. The net present value of the ground lease payments is approximately $23.2 million. The Company classifies this lease as an operating lease. As a result, the Company recorded a Right of Use Assets – Operating Leases and Lease Liabilities – Operating Leases of approximately $23.9 million and $23.2 million, respectively, on its Consolidated Balance Sheets at March 31, 2024. The ground lease had operating lease costs of approximately $87,000 for the three months ended September 30, 2024 and approximately $0.2 million for the period from March 28, 2024 through September 30, 2024.</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maturity analysis for the air rights operating lease as of March 28, 2024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Operating</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 from March 28, 2024 through December 31, 2024</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2027</w:t>
            </w: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2029</w:t>
            </w: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3"/>
        </w:trPr>
        <w:tc>
          <w:tcPr>
            <w:tcW w:w="910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30,576</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 portion</w:t>
            </w:r>
          </w:p>
        </w:tc>
        <w:tc>
          <w:tcPr>
            <w:tcW w:w="4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w:t>
            </w:r>
          </w:p>
        </w:tc>
      </w:tr>
      <w:tr>
        <w:trPr>
          <w:trHeight w:val="223"/>
        </w:trPr>
        <w:tc>
          <w:tcPr>
            <w:tcW w:w="910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23,185</w:t>
            </w:r>
          </w:p>
        </w:tc>
      </w:tr>
      <w:tr>
        <w:trPr>
          <w:trHeight w:val="20"/>
        </w:trPr>
        <w:tc>
          <w:tcPr>
            <w:tcW w:w="9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The Company has a ground lease for the land underlying its residential property, The Skylyne, in Oakland, California. The Skylyne is a residential property consisting of 402 residential units and supporting retail space totaling approximately 331,000 net rentable square feet. The ground lease has approximately 92-years remaining (including extension options) and provides the Company with the right to purchase the land subject to certain conditions. When the lease was executed in 2017, the purchase option was considered a bargain purchase option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and, as a result, the Company classified it as a finance lease and the Company assumed the lessor would exercise its right to require the Company to purchase the land in May 2024 for approximately $38.7 million. In May 2024 and as of the date of this report, the lessor has not exercised this option and the Company reassessed the accounting for the ground lease and determined that the purchase option continues to be considered a bargain purchase option and the ground lease will continue to be accounted for as a finance lease. The lease requires monthly base rental payments of a nominal amount until the purchase occurs, which the Company now estimates will be in 2030. As a result of the reassessment, the lease liability was remeasured and reduced to approximately $0.1 million. In conjunction with the reduction in the lease liability, the right of use asset was reduced to $0 and the difference between the lease liability and right of use asset of approximately $9.5 million was recorded as a decrease to interest expense for the nine months ended September 30, 2024. There can be no assurance that this transaction will be consummated on the terms currently contemplated or at all.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Unconsolidated Joint Ventures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investments in unconsolidated joint ventures consist of the following at September 30, 2024 and December 31,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Carrying Value of Investment (1)</w:t>
            </w:r>
          </w:p>
        </w:tc>
        <w:tc>
          <w:tcPr>
            <w:tcW w:w="0" w:type="dxa"/>
            <w:vAlign w:val="bottom"/>
          </w:tcPr>
          <w:p>
            <w:pPr>
              <w:spacing w:after="0"/>
              <w:rPr>
                <w:sz w:val="1"/>
                <w:szCs w:val="1"/>
                <w:color w:val="auto"/>
              </w:rPr>
            </w:pPr>
          </w:p>
        </w:tc>
      </w:tr>
      <w:tr>
        <w:trPr>
          <w:trHeight w:val="131"/>
        </w:trPr>
        <w:tc>
          <w:tcPr>
            <w:tcW w:w="3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3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Properties</w:t>
            </w:r>
          </w:p>
        </w:tc>
        <w:tc>
          <w:tcPr>
            <w:tcW w:w="156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Nominal %</w:t>
            </w: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September 30, 2024</w:t>
            </w:r>
          </w:p>
        </w:tc>
        <w:tc>
          <w:tcPr>
            <w:tcW w:w="14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9"/>
        </w:trPr>
        <w:tc>
          <w:tcPr>
            <w:tcW w:w="3360" w:type="dxa"/>
            <w:vAlign w:val="bottom"/>
            <w:gridSpan w:val="2"/>
            <w:vMerge w:val="continue"/>
          </w:tcPr>
          <w:p>
            <w:pPr>
              <w:spacing w:after="0"/>
              <w:rPr>
                <w:sz w:val="16"/>
                <w:szCs w:val="16"/>
                <w:color w:val="auto"/>
              </w:rPr>
            </w:pPr>
          </w:p>
        </w:tc>
        <w:tc>
          <w:tcPr>
            <w:tcW w:w="3080" w:type="dxa"/>
            <w:vAlign w:val="bottom"/>
            <w:gridSpan w:val="2"/>
            <w:vMerge w:val="continue"/>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Ownership</w:t>
            </w:r>
          </w:p>
        </w:tc>
        <w:tc>
          <w:tcPr>
            <w:tcW w:w="176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Square 407 Limited Partnership</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 Square North</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901 New York,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901 New York Avenue</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25.00 % (2)</w:t>
            </w:r>
          </w:p>
        </w:tc>
        <w:tc>
          <w:tcPr>
            <w:tcW w:w="3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(11,764)</w:t>
            </w:r>
          </w:p>
        </w:tc>
        <w:tc>
          <w:tcPr>
            <w:tcW w:w="0" w:type="dxa"/>
            <w:vAlign w:val="bottom"/>
          </w:tcPr>
          <w:p>
            <w:pPr>
              <w:spacing w:after="0"/>
              <w:rPr>
                <w:sz w:val="1"/>
                <w:szCs w:val="1"/>
                <w:color w:val="auto"/>
              </w:rPr>
            </w:pPr>
          </w:p>
        </w:tc>
      </w:tr>
      <w:tr>
        <w:trPr>
          <w:trHeight w:val="163"/>
        </w:trPr>
        <w:tc>
          <w:tcPr>
            <w:tcW w:w="33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WP Project Developer LLC</w:t>
            </w:r>
          </w:p>
        </w:tc>
        <w:tc>
          <w:tcPr>
            <w:tcW w:w="308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Wisconsin Place Land and</w:t>
            </w:r>
          </w:p>
        </w:tc>
        <w:tc>
          <w:tcPr>
            <w:tcW w:w="156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6"/>
                <w:szCs w:val="16"/>
                <w:color w:val="auto"/>
              </w:rPr>
              <w:t>33.33 % (3)</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29,969</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30,375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Infrastructure</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500 North Capitol Venture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500 North Capitol Street, NW</w:t>
            </w:r>
          </w:p>
        </w:tc>
        <w:tc>
          <w:tcPr>
            <w:tcW w:w="1180" w:type="dxa"/>
            <w:vAlign w:val="bottom"/>
          </w:tcPr>
          <w:p>
            <w:pPr>
              <w:jc w:val="right"/>
              <w:spacing w:after="0"/>
              <w:rPr>
                <w:sz w:val="20"/>
                <w:szCs w:val="20"/>
                <w:color w:val="auto"/>
              </w:rPr>
            </w:pPr>
            <w:r>
              <w:rPr>
                <w:rFonts w:ascii="Arial" w:cs="Arial" w:eastAsia="Arial" w:hAnsi="Arial"/>
                <w:sz w:val="16"/>
                <w:szCs w:val="16"/>
                <w:color w:val="auto"/>
              </w:rPr>
              <w:t>30.00 %</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(11,630)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(10,253)</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501 K Street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1001 6th Street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44,774</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Podium Developer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The Hub on Causeway - Podium</w:t>
            </w:r>
          </w:p>
        </w:tc>
        <w:tc>
          <w:tcPr>
            <w:tcW w:w="118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42,916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45,201</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Tower Developer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Hub50House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40,235</w:t>
            </w:r>
          </w:p>
        </w:tc>
        <w:tc>
          <w:tcPr>
            <w:tcW w:w="0" w:type="dxa"/>
            <w:vAlign w:val="bottom"/>
          </w:tcPr>
          <w:p>
            <w:pPr>
              <w:spacing w:after="0"/>
              <w:rPr>
                <w:sz w:val="1"/>
                <w:szCs w:val="1"/>
                <w:color w:val="auto"/>
              </w:rPr>
            </w:pPr>
          </w:p>
        </w:tc>
      </w:tr>
      <w:tr>
        <w:trPr>
          <w:trHeight w:val="162"/>
        </w:trPr>
        <w:tc>
          <w:tcPr>
            <w:tcW w:w="33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Hotel Tower Developer LLC</w:t>
            </w:r>
          </w:p>
        </w:tc>
        <w:tc>
          <w:tcPr>
            <w:tcW w:w="3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The Hub on Causeway - Hotel Air</w:t>
            </w: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50.00 %</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6"/>
                <w:szCs w:val="16"/>
                <w:color w:val="auto"/>
              </w:rPr>
              <w:t>14,076</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13,494</w:t>
            </w:r>
          </w:p>
        </w:tc>
        <w:tc>
          <w:tcPr>
            <w:tcW w:w="0" w:type="dxa"/>
            <w:vAlign w:val="bottom"/>
          </w:tcPr>
          <w:p>
            <w:pPr>
              <w:spacing w:after="0"/>
              <w:rPr>
                <w:sz w:val="1"/>
                <w:szCs w:val="1"/>
                <w:color w:val="auto"/>
              </w:rPr>
            </w:pPr>
          </w:p>
        </w:tc>
      </w:tr>
      <w:tr>
        <w:trPr>
          <w:trHeight w:val="215"/>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Rights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Office Tower Developer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 Causeway Street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57,660</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1265 Main Office JV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1265 Main Street</w:t>
            </w:r>
          </w:p>
        </w:tc>
        <w:tc>
          <w:tcPr>
            <w:tcW w:w="118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3,515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3,585</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BNY Tower Holdings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Dock 72</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50.00 % (4)</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(11,890)</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CA-Colorado Center,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Colorado Center</w:t>
            </w:r>
          </w:p>
        </w:tc>
        <w:tc>
          <w:tcPr>
            <w:tcW w:w="118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234,972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237,815</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50,064</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BP-M 3HB Venture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3 Hudson Boulevard</w:t>
            </w:r>
          </w:p>
        </w:tc>
        <w:tc>
          <w:tcPr>
            <w:tcW w:w="1180" w:type="dxa"/>
            <w:vAlign w:val="bottom"/>
          </w:tcPr>
          <w:p>
            <w:pPr>
              <w:jc w:val="right"/>
              <w:spacing w:after="0"/>
              <w:rPr>
                <w:sz w:val="20"/>
                <w:szCs w:val="20"/>
                <w:color w:val="auto"/>
              </w:rPr>
            </w:pPr>
            <w:r>
              <w:rPr>
                <w:rFonts w:ascii="Arial" w:cs="Arial" w:eastAsia="Arial" w:hAnsi="Arial"/>
                <w:sz w:val="16"/>
                <w:szCs w:val="16"/>
                <w:color w:val="auto"/>
              </w:rPr>
              <w:t>25.00 %</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113,288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115,103</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Platform 16 Holdings LP</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Platform 16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55.00 %</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55,381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45,564</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Gateway Portfolio Holdings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Gateway Commons</w:t>
            </w:r>
          </w:p>
        </w:tc>
        <w:tc>
          <w:tcPr>
            <w:tcW w:w="118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393,679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376,834</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Rosecrans-Sepulveda Partners 4,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Beach Cities Media Campus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27,051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27,034</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Safeco Plaza REIT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Safeco Plaza</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33.67 % (5)</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47,510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44,734</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360 PAS Holdco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360 Park Avenue South</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71.11 % (6)</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69,538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42,988</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PR II/BXP Reston Gateway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Skymark - Reston Next Residential</w:t>
            </w:r>
          </w:p>
        </w:tc>
        <w:tc>
          <w:tcPr>
            <w:tcW w:w="1180" w:type="dxa"/>
            <w:vAlign w:val="bottom"/>
          </w:tcPr>
          <w:p>
            <w:pPr>
              <w:jc w:val="right"/>
              <w:spacing w:after="0"/>
              <w:rPr>
                <w:sz w:val="20"/>
                <w:szCs w:val="20"/>
                <w:color w:val="auto"/>
              </w:rPr>
            </w:pPr>
            <w:r>
              <w:rPr>
                <w:rFonts w:ascii="Arial" w:cs="Arial" w:eastAsia="Arial" w:hAnsi="Arial"/>
                <w:sz w:val="16"/>
                <w:szCs w:val="16"/>
                <w:color w:val="auto"/>
              </w:rPr>
              <w:t>20.00 %</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15,359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15,184</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751 Gateway Holdings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751 Gateway</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49.00 %</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98,882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93,411</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200 Fifth Avenue JV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200 Fifth Avenue</w:t>
            </w:r>
          </w:p>
        </w:tc>
        <w:tc>
          <w:tcPr>
            <w:tcW w:w="1180" w:type="dxa"/>
            <w:vAlign w:val="bottom"/>
          </w:tcPr>
          <w:p>
            <w:pPr>
              <w:jc w:val="right"/>
              <w:spacing w:after="0"/>
              <w:rPr>
                <w:sz w:val="20"/>
                <w:szCs w:val="20"/>
                <w:color w:val="auto"/>
              </w:rPr>
            </w:pPr>
            <w:r>
              <w:rPr>
                <w:rFonts w:ascii="Arial" w:cs="Arial" w:eastAsia="Arial" w:hAnsi="Arial"/>
                <w:sz w:val="16"/>
                <w:szCs w:val="16"/>
                <w:color w:val="auto"/>
              </w:rPr>
              <w:t>26.69 %</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68,563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75,718</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ABXP Worldgate Investments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13100 and 13150 Worldgate Drive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18,247</w:t>
            </w:r>
          </w:p>
        </w:tc>
        <w:tc>
          <w:tcPr>
            <w:tcW w:w="2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17,546</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1,391,149</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1,337,416</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00" w:right="680" w:hanging="330"/>
        <w:spacing w:after="0" w:line="255" w:lineRule="auto"/>
        <w:tabs>
          <w:tab w:leader="none" w:pos="4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$30.7 million and $39.9 million at September 30, 2024 and December 31, 2023, respectively, are included within Other Liabilities in the Company’s Consolidated Balance Sheets.</w:t>
      </w:r>
    </w:p>
    <w:p>
      <w:pPr>
        <w:ind w:left="500" w:right="60" w:hanging="330"/>
        <w:spacing w:after="0" w:line="265" w:lineRule="auto"/>
        <w:tabs>
          <w:tab w:leader="none" w:pos="4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December 31, 2023, the Company’s economic ownership was approximately 50%. On January 8, 2024, the Company completed the acquisition of its joint venture partner’s 50% economic ownership interest for a gross purchase price of</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500" w:right="280"/>
        <w:spacing w:after="0" w:line="263" w:lineRule="auto"/>
        <w:rPr>
          <w:sz w:val="20"/>
          <w:szCs w:val="20"/>
          <w:color w:val="auto"/>
        </w:rPr>
      </w:pPr>
      <w:r>
        <w:rPr>
          <w:rFonts w:ascii="Arial" w:cs="Arial" w:eastAsia="Arial" w:hAnsi="Arial"/>
          <w:sz w:val="16"/>
          <w:szCs w:val="16"/>
          <w:color w:val="auto"/>
        </w:rPr>
        <w:t>$10.0 million, as described in Note 3 and this Note 5. Since then, the Company accounts for its assets, liabilities and operations on a consolidated basis.</w:t>
      </w:r>
    </w:p>
    <w:p>
      <w:pPr>
        <w:ind w:left="500" w:right="80" w:hanging="330"/>
        <w:spacing w:after="0" w:line="255" w:lineRule="auto"/>
        <w:tabs>
          <w:tab w:leader="none" w:pos="4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Company’s wholly-owned subsidiary that owns Wisconsin Place Office also owns a 33.33% interest in the joint venture entity that owns the land, parking garage and infrastructure of the project.</w:t>
      </w:r>
    </w:p>
    <w:p>
      <w:pPr>
        <w:ind w:left="480" w:hanging="310"/>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property includes net equity balances from the amenity joint venture.</w:t>
      </w:r>
    </w:p>
    <w:p>
      <w:pPr>
        <w:spacing w:after="0" w:line="8" w:lineRule="exact"/>
        <w:rPr>
          <w:rFonts w:ascii="Arial" w:cs="Arial" w:eastAsia="Arial" w:hAnsi="Arial"/>
          <w:sz w:val="16"/>
          <w:szCs w:val="16"/>
          <w:color w:val="auto"/>
        </w:rPr>
      </w:pPr>
    </w:p>
    <w:p>
      <w:pPr>
        <w:ind w:left="500" w:right="20" w:hanging="330"/>
        <w:spacing w:after="0" w:line="252" w:lineRule="auto"/>
        <w:tabs>
          <w:tab w:leader="none" w:pos="4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Company’s ownership includes (1) a 33.0% direct interest in the joint venture, and (2) an additional 1% interest in each of the two entities through which each partner owns its interest in the joint venture.</w:t>
      </w:r>
    </w:p>
    <w:p>
      <w:pPr>
        <w:spacing w:after="0" w:line="1" w:lineRule="exact"/>
        <w:rPr>
          <w:rFonts w:ascii="Arial" w:cs="Arial" w:eastAsia="Arial" w:hAnsi="Arial"/>
          <w:sz w:val="16"/>
          <w:szCs w:val="16"/>
          <w:color w:val="auto"/>
        </w:rPr>
      </w:pPr>
    </w:p>
    <w:p>
      <w:pPr>
        <w:ind w:left="500" w:right="200" w:hanging="330"/>
        <w:spacing w:after="0" w:line="270" w:lineRule="auto"/>
        <w:tabs>
          <w:tab w:leader="none" w:pos="4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Company’s ownership includes (1) a 35.79% direct interest in the joint venture, (2) an additional 35.02% indirect ownership in the joint venture, and (3) an additional 1% interest in the entity through which the partner owns its interest in the joint venture.</w:t>
      </w:r>
    </w:p>
    <w:p>
      <w:pPr>
        <w:spacing w:after="0" w:line="231" w:lineRule="exact"/>
        <w:rPr>
          <w:sz w:val="20"/>
          <w:szCs w:val="20"/>
          <w:color w:val="auto"/>
        </w:rPr>
      </w:pPr>
    </w:p>
    <w:p>
      <w:pPr>
        <w:ind w:right="60" w:firstLine="445"/>
        <w:spacing w:after="0" w:line="291" w:lineRule="auto"/>
        <w:rPr>
          <w:sz w:val="20"/>
          <w:szCs w:val="20"/>
          <w:color w:val="auto"/>
        </w:rPr>
      </w:pPr>
      <w:r>
        <w:rPr>
          <w:rFonts w:ascii="Arial" w:cs="Arial" w:eastAsia="Arial" w:hAnsi="Arial"/>
          <w:sz w:val="17"/>
          <w:szCs w:val="17"/>
          <w:color w:val="auto"/>
        </w:rPr>
        <w:t>Certain of the Company’s unconsolidated joint venture agreements include provisions whereby, at certain specified times, each partner has the right to initiate a purchase or sale of its interest in the joint ventures. Under certain of the Company’s joint venture agreements, if certain return thresholds are achieved, the partners or the Company will be entitled to an additional promoted interest or payments.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combined summarized balance sheets of the Company’s unconsolidated joint ventures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2024</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gridSpan w:val="4"/>
          </w:tcPr>
          <w:p>
            <w:pPr>
              <w:jc w:val="right"/>
              <w:ind w:right="13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28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20"/>
              <w:spacing w:after="0"/>
              <w:rPr>
                <w:sz w:val="20"/>
                <w:szCs w:val="20"/>
                <w:color w:val="auto"/>
              </w:rPr>
            </w:pPr>
            <w:r>
              <w:rPr>
                <w:rFonts w:ascii="Arial" w:cs="Arial" w:eastAsia="Arial" w:hAnsi="Arial"/>
                <w:sz w:val="16"/>
                <w:szCs w:val="16"/>
                <w:color w:val="auto"/>
              </w:rPr>
              <w:t>Real estate and development in process, net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5,756,008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5,811,763</w:t>
            </w:r>
          </w:p>
        </w:tc>
        <w:tc>
          <w:tcPr>
            <w:tcW w:w="0" w:type="dxa"/>
            <w:vAlign w:val="bottom"/>
          </w:tcPr>
          <w:p>
            <w:pPr>
              <w:spacing w:after="0"/>
              <w:rPr>
                <w:sz w:val="1"/>
                <w:szCs w:val="1"/>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(2)</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651,956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682,291</w:t>
            </w:r>
          </w:p>
        </w:tc>
        <w:tc>
          <w:tcPr>
            <w:tcW w:w="0" w:type="dxa"/>
            <w:vAlign w:val="bottom"/>
          </w:tcPr>
          <w:p>
            <w:pPr>
              <w:spacing w:after="0"/>
              <w:rPr>
                <w:sz w:val="1"/>
                <w:szCs w:val="1"/>
                <w:color w:val="auto"/>
              </w:rPr>
            </w:pPr>
          </w:p>
        </w:tc>
      </w:tr>
      <w:tr>
        <w:trPr>
          <w:trHeight w:val="209"/>
        </w:trPr>
        <w:tc>
          <w:tcPr>
            <w:tcW w:w="722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6,407,964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6,494,054</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220" w:type="dxa"/>
            <w:vAlign w:val="bottom"/>
            <w:shd w:val="clear" w:color="auto" w:fill="CCEEFF"/>
          </w:tcPr>
          <w:p>
            <w:pPr>
              <w:ind w:left="1680"/>
              <w:spacing w:after="0"/>
              <w:rPr>
                <w:sz w:val="20"/>
                <w:szCs w:val="20"/>
                <w:color w:val="auto"/>
              </w:rPr>
            </w:pPr>
            <w:r>
              <w:rPr>
                <w:rFonts w:ascii="Arial" w:cs="Arial" w:eastAsia="Arial" w:hAnsi="Arial"/>
                <w:sz w:val="16"/>
                <w:szCs w:val="16"/>
                <w:b w:val="1"/>
                <w:bCs w:val="1"/>
                <w:color w:val="auto"/>
              </w:rPr>
              <w:t>LIABILITIES AND MEMBERS’/PARTNERS’ EQUITY</w:t>
            </w: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20"/>
              <w:spacing w:after="0"/>
              <w:rPr>
                <w:sz w:val="20"/>
                <w:szCs w:val="20"/>
                <w:color w:val="auto"/>
              </w:rPr>
            </w:pPr>
            <w:r>
              <w:rPr>
                <w:rFonts w:ascii="Arial" w:cs="Arial" w:eastAsia="Arial" w:hAnsi="Arial"/>
                <w:sz w:val="16"/>
                <w:szCs w:val="16"/>
                <w:color w:val="auto"/>
              </w:rPr>
              <w:t>Mortgage and notes payable,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3,198,547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3,351,873</w:t>
            </w:r>
          </w:p>
        </w:tc>
        <w:tc>
          <w:tcPr>
            <w:tcW w:w="0" w:type="dxa"/>
            <w:vAlign w:val="bottom"/>
          </w:tcPr>
          <w:p>
            <w:pPr>
              <w:spacing w:after="0"/>
              <w:rPr>
                <w:sz w:val="1"/>
                <w:szCs w:val="1"/>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(3)</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361,357</w:t>
            </w:r>
          </w:p>
        </w:tc>
        <w:tc>
          <w:tcPr>
            <w:tcW w:w="0" w:type="dxa"/>
            <w:vAlign w:val="bottom"/>
          </w:tcPr>
          <w:p>
            <w:pPr>
              <w:spacing w:after="0"/>
              <w:rPr>
                <w:sz w:val="1"/>
                <w:szCs w:val="1"/>
                <w:color w:val="auto"/>
              </w:rPr>
            </w:pPr>
          </w:p>
        </w:tc>
      </w:tr>
      <w:tr>
        <w:trPr>
          <w:trHeight w:val="215"/>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Members’/Partners’ equity</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2,914,622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2,780,824</w:t>
            </w:r>
          </w:p>
        </w:tc>
        <w:tc>
          <w:tcPr>
            <w:tcW w:w="0" w:type="dxa"/>
            <w:vAlign w:val="bottom"/>
          </w:tcPr>
          <w:p>
            <w:pPr>
              <w:spacing w:after="0"/>
              <w:rPr>
                <w:sz w:val="1"/>
                <w:szCs w:val="1"/>
                <w:color w:val="auto"/>
              </w:rPr>
            </w:pPr>
          </w:p>
        </w:tc>
      </w:tr>
      <w:tr>
        <w:trPr>
          <w:trHeight w:val="235"/>
        </w:trPr>
        <w:tc>
          <w:tcPr>
            <w:tcW w:w="7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members’/partners’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6,407,964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6,494,054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Company’s share of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20" w:type="dxa"/>
            <w:vAlign w:val="bottom"/>
            <w:vMerge w:val="continue"/>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1,334,102</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1,278,483</w:t>
            </w:r>
          </w:p>
        </w:tc>
        <w:tc>
          <w:tcPr>
            <w:tcW w:w="0" w:type="dxa"/>
            <w:vAlign w:val="bottom"/>
          </w:tcPr>
          <w:p>
            <w:pPr>
              <w:spacing w:after="0"/>
              <w:rPr>
                <w:sz w:val="1"/>
                <w:szCs w:val="1"/>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Basis differentials (4)</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57,047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58,933</w:t>
            </w:r>
          </w:p>
        </w:tc>
        <w:tc>
          <w:tcPr>
            <w:tcW w:w="0" w:type="dxa"/>
            <w:vAlign w:val="bottom"/>
          </w:tcPr>
          <w:p>
            <w:pPr>
              <w:spacing w:after="0"/>
              <w:rPr>
                <w:sz w:val="1"/>
                <w:szCs w:val="1"/>
                <w:color w:val="auto"/>
              </w:rPr>
            </w:pPr>
          </w:p>
        </w:tc>
      </w:tr>
      <w:tr>
        <w:trPr>
          <w:trHeight w:val="209"/>
        </w:trPr>
        <w:tc>
          <w:tcPr>
            <w:tcW w:w="7220" w:type="dxa"/>
            <w:vAlign w:val="bottom"/>
          </w:tcPr>
          <w:p>
            <w:pPr>
              <w:ind w:left="20"/>
              <w:spacing w:after="0"/>
              <w:rPr>
                <w:sz w:val="20"/>
                <w:szCs w:val="20"/>
                <w:color w:val="auto"/>
              </w:rPr>
            </w:pPr>
            <w:r>
              <w:rPr>
                <w:rFonts w:ascii="Arial" w:cs="Arial" w:eastAsia="Arial" w:hAnsi="Arial"/>
                <w:sz w:val="16"/>
                <w:szCs w:val="16"/>
                <w:color w:val="auto"/>
              </w:rPr>
              <w:t>Carrying value of the Company’s investments in unconsolidated joint ventures (5)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1,391,149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1,337,416</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00" w:right="120" w:hanging="330"/>
        <w:spacing w:after="0" w:line="252" w:lineRule="auto"/>
        <w:tabs>
          <w:tab w:leader="none" w:pos="4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September 30, 2024 and December 31, 2023, this amount included right of use assets - operating leases totaling approximately $19.2 million and $20.1 million, respectively.</w:t>
      </w:r>
    </w:p>
    <w:p>
      <w:pPr>
        <w:spacing w:after="0" w:line="1" w:lineRule="exact"/>
        <w:rPr>
          <w:rFonts w:ascii="Arial" w:cs="Arial" w:eastAsia="Arial" w:hAnsi="Arial"/>
          <w:sz w:val="16"/>
          <w:szCs w:val="16"/>
          <w:color w:val="auto"/>
        </w:rPr>
      </w:pPr>
    </w:p>
    <w:p>
      <w:pPr>
        <w:ind w:left="500" w:right="500" w:hanging="330"/>
        <w:spacing w:after="0" w:line="249" w:lineRule="auto"/>
        <w:tabs>
          <w:tab w:leader="none" w:pos="4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September 30, 2024 and December 31, 2023, this amount included sales-type lease receivable, net totaling approximately $14.1 million and $13.9 million, respectively.</w:t>
      </w:r>
    </w:p>
    <w:p>
      <w:pPr>
        <w:ind w:left="480" w:hanging="310"/>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September 30, 2024 and December 31, 2023, this amount included lease liabilities - operating leases totaling approximately $30.5 million.</w:t>
      </w:r>
    </w:p>
    <w:p>
      <w:pPr>
        <w:spacing w:after="0" w:line="14" w:lineRule="exact"/>
        <w:rPr>
          <w:rFonts w:ascii="Arial" w:cs="Arial" w:eastAsia="Arial" w:hAnsi="Arial"/>
          <w:sz w:val="16"/>
          <w:szCs w:val="16"/>
          <w:color w:val="auto"/>
        </w:rPr>
      </w:pPr>
    </w:p>
    <w:p>
      <w:pPr>
        <w:ind w:left="500" w:right="60" w:hanging="330"/>
        <w:spacing w:after="0" w:line="256" w:lineRule="auto"/>
        <w:tabs>
          <w:tab w:leader="none" w:pos="4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acquisitions through joint ventures with no change in control and upon the transfer of assets that were previously owned by the Company into a joint venture. In addition, certain acquisition, transaction and other costs may not be reflected in the net assets at the joint venture level. The Company’s basis differences include:</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Property</w:t>
            </w: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September 30, 2024</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960" w:type="dxa"/>
            <w:vAlign w:val="bottom"/>
            <w:gridSpan w:val="3"/>
          </w:tcPr>
          <w:p>
            <w:pPr>
              <w:jc w:val="right"/>
              <w:ind w:right="1419"/>
              <w:spacing w:after="0" w:line="142"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Colorado Center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296,758</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6"/>
                <w:szCs w:val="16"/>
                <w:color w:val="auto"/>
              </w:rPr>
              <w:t>200 Fifth Avenue</w:t>
            </w:r>
          </w:p>
        </w:tc>
        <w:tc>
          <w:tcPr>
            <w:tcW w:w="160" w:type="dxa"/>
            <w:vAlign w:val="bottom"/>
          </w:tcPr>
          <w:p>
            <w:pPr>
              <w:spacing w:after="0"/>
              <w:rPr>
                <w:sz w:val="18"/>
                <w:szCs w:val="18"/>
                <w:color w:val="auto"/>
              </w:rPr>
            </w:pPr>
          </w:p>
        </w:tc>
        <w:tc>
          <w:tcPr>
            <w:tcW w:w="1960" w:type="dxa"/>
            <w:vAlign w:val="bottom"/>
          </w:tcPr>
          <w:p>
            <w:pPr>
              <w:jc w:val="right"/>
              <w:ind w:right="139"/>
              <w:spacing w:after="0"/>
              <w:rPr>
                <w:sz w:val="20"/>
                <w:szCs w:val="20"/>
                <w:color w:val="auto"/>
              </w:rPr>
            </w:pPr>
            <w:r>
              <w:rPr>
                <w:rFonts w:ascii="Arial" w:cs="Arial" w:eastAsia="Arial" w:hAnsi="Arial"/>
                <w:sz w:val="16"/>
                <w:szCs w:val="16"/>
                <w:color w:val="auto"/>
              </w:rPr>
              <w:t>51,779</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58,308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Gateway Commons</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51,009</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6"/>
                <w:szCs w:val="16"/>
                <w:color w:val="auto"/>
              </w:rPr>
              <w:t>Safeco Plaza</w:t>
            </w:r>
          </w:p>
        </w:tc>
        <w:tc>
          <w:tcPr>
            <w:tcW w:w="160" w:type="dxa"/>
            <w:vAlign w:val="bottom"/>
          </w:tcPr>
          <w:p>
            <w:pPr>
              <w:spacing w:after="0"/>
              <w:rPr>
                <w:sz w:val="18"/>
                <w:szCs w:val="18"/>
                <w:color w:val="auto"/>
              </w:rPr>
            </w:pPr>
          </w:p>
        </w:tc>
        <w:tc>
          <w:tcPr>
            <w:tcW w:w="1960" w:type="dxa"/>
            <w:vAlign w:val="bottom"/>
          </w:tcPr>
          <w:p>
            <w:pPr>
              <w:jc w:val="right"/>
              <w:ind w:right="79"/>
              <w:spacing w:after="0"/>
              <w:rPr>
                <w:sz w:val="20"/>
                <w:szCs w:val="20"/>
                <w:color w:val="auto"/>
              </w:rPr>
            </w:pPr>
            <w:r>
              <w:rPr>
                <w:rFonts w:ascii="Arial" w:cs="Arial" w:eastAsia="Arial" w:hAnsi="Arial"/>
                <w:sz w:val="16"/>
                <w:szCs w:val="16"/>
                <w:color w:val="auto"/>
              </w:rPr>
              <w:t>(29,032)</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(29,678)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360 Park Avenue South</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(114,202)</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6"/>
                <w:szCs w:val="16"/>
                <w:color w:val="auto"/>
              </w:rPr>
              <w:t>Dock 72</w:t>
            </w:r>
          </w:p>
        </w:tc>
        <w:tc>
          <w:tcPr>
            <w:tcW w:w="160" w:type="dxa"/>
            <w:vAlign w:val="bottom"/>
          </w:tcPr>
          <w:p>
            <w:pPr>
              <w:spacing w:after="0"/>
              <w:rPr>
                <w:sz w:val="18"/>
                <w:szCs w:val="18"/>
                <w:color w:val="auto"/>
              </w:rPr>
            </w:pPr>
          </w:p>
        </w:tc>
        <w:tc>
          <w:tcPr>
            <w:tcW w:w="1960" w:type="dxa"/>
            <w:vAlign w:val="bottom"/>
          </w:tcPr>
          <w:p>
            <w:pPr>
              <w:jc w:val="right"/>
              <w:ind w:right="79"/>
              <w:spacing w:after="0"/>
              <w:rPr>
                <w:sz w:val="20"/>
                <w:szCs w:val="20"/>
                <w:color w:val="auto"/>
              </w:rPr>
            </w:pPr>
            <w:r>
              <w:rPr>
                <w:rFonts w:ascii="Arial" w:cs="Arial" w:eastAsia="Arial" w:hAnsi="Arial"/>
                <w:sz w:val="16"/>
                <w:szCs w:val="16"/>
                <w:color w:val="auto"/>
              </w:rPr>
              <w:t>(92,930)</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(95,521)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Platform 16</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(142,670)</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(143,052)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These basis differentials (excluding land) will be amortized over the remaining lives of the related assets and liabilities.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right="680" w:hanging="330"/>
        <w:spacing w:after="0" w:line="286" w:lineRule="auto"/>
        <w:tabs>
          <w:tab w:leader="none" w:pos="4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$30.7 million and $39.9 million at September 30, 2024 and December 31, 2023, respectively, are reflected within Other Liabilities in the Company’s Consolidated Balance Sheets.</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combined summarized statements of operations of the Company’s unconsolidated joint ventures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900" w:type="dxa"/>
            <w:vAlign w:val="bottom"/>
            <w:gridSpan w:val="4"/>
          </w:tcPr>
          <w:p>
            <w:pPr>
              <w:jc w:val="right"/>
              <w:ind w:right="111"/>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49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r>
      <w:tr>
        <w:trPr>
          <w:trHeight w:val="209"/>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153,551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378,981</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469,745</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183,348</w:t>
            </w:r>
          </w:p>
        </w:tc>
      </w:tr>
      <w:tr>
        <w:trPr>
          <w:trHeight w:val="230"/>
        </w:trPr>
        <w:tc>
          <w:tcPr>
            <w:tcW w:w="496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41,082</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49,840</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118,901</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151,051</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94,415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115,037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267,891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334,578</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960" w:type="dxa"/>
            <w:vAlign w:val="bottom"/>
          </w:tcPr>
          <w:p>
            <w:pPr>
              <w:ind w:left="360"/>
              <w:spacing w:after="0"/>
              <w:rPr>
                <w:sz w:val="20"/>
                <w:szCs w:val="20"/>
                <w:color w:val="auto"/>
              </w:rPr>
            </w:pPr>
            <w:r>
              <w:rPr>
                <w:rFonts w:ascii="Arial" w:cs="Arial" w:eastAsia="Arial" w:hAnsi="Arial"/>
                <w:sz w:val="18"/>
                <w:szCs w:val="18"/>
                <w:color w:val="auto"/>
              </w:rPr>
              <w:t>Loss from early extinguishment of debt</w:t>
            </w: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(132,106)</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(176,786)</w:t>
            </w:r>
          </w:p>
        </w:tc>
      </w:tr>
      <w:tr>
        <w:trPr>
          <w:trHeight w:val="229"/>
        </w:trPr>
        <w:tc>
          <w:tcPr>
            <w:tcW w:w="4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Unrealized gain (loss) on derivative instruments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(19,172)</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10,242</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14,089</w:t>
            </w:r>
          </w:p>
        </w:tc>
      </w:tr>
      <w:tr>
        <w:trPr>
          <w:trHeight w:val="248"/>
        </w:trPr>
        <w:tc>
          <w:tcPr>
            <w:tcW w:w="4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(29,228)</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share of 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(10,739)</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Gain on investment (2)</w:t>
            </w: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35,756</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 consolidation</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21,696</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Impairment losses on investments (3)</w:t>
            </w: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(272,603)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(272,603)</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Basis differential (4)</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(14,207)</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Income (loss) from unconsolidated joint ventures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(247,556)</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6,376</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(261,793)</w:t>
            </w:r>
          </w:p>
        </w:tc>
      </w:tr>
      <w:tr>
        <w:trPr>
          <w:trHeight w:val="20"/>
        </w:trPr>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00" w:right="480" w:hanging="330"/>
        <w:spacing w:after="0" w:line="255" w:lineRule="auto"/>
        <w:tabs>
          <w:tab w:leader="none" w:pos="4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straight-line rent adjustments of approximately $2.6 million and $7.7 million for the three months ended September 30, 2024 and 2023, respectively, and approximately $16.5 million and $20.9 million for the nine months ended September 30, 2024 and 2023, respectively.</w:t>
      </w:r>
    </w:p>
    <w:p>
      <w:pPr>
        <w:ind w:left="480" w:hanging="310"/>
        <w:spacing w:after="0"/>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During the three months ended September 30, 2023, the Company completed a restructuring of its ownership in Metropolitan Square.</w:t>
      </w:r>
    </w:p>
    <w:p>
      <w:pPr>
        <w:spacing w:after="0" w:line="14" w:lineRule="exact"/>
        <w:rPr>
          <w:rFonts w:ascii="Arial" w:cs="Arial" w:eastAsia="Arial" w:hAnsi="Arial"/>
          <w:sz w:val="16"/>
          <w:szCs w:val="16"/>
          <w:color w:val="auto"/>
        </w:rPr>
      </w:pPr>
    </w:p>
    <w:p>
      <w:pPr>
        <w:ind w:left="500" w:right="140" w:hanging="330"/>
        <w:spacing w:after="0" w:line="249" w:lineRule="auto"/>
        <w:tabs>
          <w:tab w:leader="none" w:pos="4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During the three and nine months ended September 30, 2023, the Company recognized an other-than-temporary impairment loss on its investments in Platform 16, 360 Park Avenue South, 200 Fifth Avenue and Safeco Plaza aggregating approximately $272.6 million.</w:t>
      </w:r>
    </w:p>
    <w:p>
      <w:pPr>
        <w:ind w:left="500" w:right="20" w:hanging="330"/>
        <w:spacing w:after="0" w:line="256" w:lineRule="auto"/>
        <w:tabs>
          <w:tab w:leader="none" w:pos="4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depreciation and amortization of approximately $3.9 million and $4.1 million for the three months ended September 30, 2024 and 2023, respectively, and approximately $6.8 million and $7.8 million for the nine months ended September 30, 2024 and 2023, respectively. Includes unrealized loss on derivative instruments of approximately $5.1 million and $2.7 million for the three months ended September 30, 2024 and 2023, respectively, and approximately $4.9 million and $6.6 million for the nine months ended September 30, 2024 and 2023, respectively. Includes straight-line rent adjustments of approximately $0.3 million and $0.4 million for the three months ended September 30, 2024 and 2023, respectively, and approximately $1.0 million and $1.1 million for the nine months ended September 30, 2024 and 2023, respectively. Also includes net above-/below-market rent adjustments of approximately $0.2 million for the three months ended September 30, 2024 and 2023, and approximately $0.6 million for the nine months ended September 30, 2024 and 2023.</w:t>
      </w:r>
    </w:p>
    <w:p>
      <w:pPr>
        <w:spacing w:after="0" w:line="326" w:lineRule="exact"/>
        <w:rPr>
          <w:sz w:val="20"/>
          <w:szCs w:val="20"/>
          <w:color w:val="auto"/>
        </w:rPr>
      </w:pPr>
    </w:p>
    <w:p>
      <w:pPr>
        <w:ind w:right="20" w:firstLine="405"/>
        <w:spacing w:after="0" w:line="287" w:lineRule="auto"/>
        <w:rPr>
          <w:sz w:val="20"/>
          <w:szCs w:val="20"/>
          <w:color w:val="auto"/>
        </w:rPr>
      </w:pPr>
      <w:r>
        <w:rPr>
          <w:rFonts w:ascii="Arial" w:cs="Arial" w:eastAsia="Arial" w:hAnsi="Arial"/>
          <w:sz w:val="18"/>
          <w:szCs w:val="18"/>
          <w:color w:val="auto"/>
        </w:rPr>
        <w:t>On January 2, 2024, a joint venture in which the Company has a 50% interest partially placed in-service 651 Gateway, an approximately 327,000 net rentable square foot laboratory/life sciences project in South San Francisco, California.</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On January 8, 2024, the Company acquired its joint venture partner’s 50% economic ownership interest in the joint venture that owns 901 New York Avenue, located in Washington, DC, for a gross purchase price of $10.0 million in cash (See Note 3). Prior to the acquisition, the Company had a 50% economic ownership interest in the joint venture and accounted for it under the equity method of accounting. The acquisition resulted in the Company having full ownership of the joint venture such that the Company now accounts for its assets, liabilities, and operations on a consolidated basis in its financial statements instead of under the equity method of accounting. As a result, the Company recognized a gain on consolidation of approximately $21.8 million.</w:t>
      </w:r>
    </w:p>
    <w:p>
      <w:pPr>
        <w:spacing w:after="0" w:line="128"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On February 6, 2024, a joint venture in which the Company owns a 25% interest extended the maturity date of the loan collateralized by its 3 Hudson Boulevard property. At the time of the extension, the loan had an outstanding principal balance totaling $80.0 million and was scheduled to mature on February 9, 2024. The extended loan was scheduled to mature on May 9, 2024. On May 8, 2024, the loan was extended 30 days and on June 7, 2024, the loan was extended an additional 60 days. The extended loan continued to bear interest at a variable rate equal to Term SOFR plus approximately 3.61% per annum and was scheduled to mature on August 7, 2024. As of September 30, 2024, the loan was in a maturity default and had an outstanding balance, including accrued and unpaid interest and default interest of approximately $116.0 million. The Company is the lender of the loan and the loan is reflected as Related Party Note Receivables, Net on the Company’s Consolidated Balance Sheets. 3 Hudson Boulevard consists of land and improvements held for future development located in New York, New York.</w:t>
      </w:r>
    </w:p>
    <w:p>
      <w:pPr>
        <w:spacing w:after="0" w:line="12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February 9, 2024, a joint venture in which the Company owns a 50% interest exercised an option to extend the maturity date of the construction loan collateralized by its 7750 Wisconsin Avenue property. The construction loan had a total commitment amount of approximately $252.6 million. The extended loan continues to bear interest at a variable rate equal to Term SOFR plus 1.35% per annum and matures on April 26, 2025. At the time of the extension, the loan had an outstanding balance totaling approximately $251.6 million and was scheduled to mature on April 26, 2024. 7750 Wisconsin Avenue is an office property with approximately 736,000 net rentable square feet located in Bethesda, Maryland.</w:t>
      </w:r>
    </w:p>
    <w:p>
      <w:pPr>
        <w:spacing w:after="0" w:line="128"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color w:val="auto"/>
        </w:rPr>
        <w:t>On July 12, 2024, a joint venture in which the Company has a 20% ownership interest partially placed in-service Skymark, a luxury residential property located in Reston, Virginia, that consists of 508 residential units aggregating approximately 417,000 net rentable square feet across a five-story low-rise building and an iconic 39-story tower, which is one of the tallest buildings in Northern Virginia.</w:t>
      </w:r>
    </w:p>
    <w:p>
      <w:pPr>
        <w:spacing w:after="0" w:line="117"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On July 18, 2024, a joint venture in which the Company has a 50% ownership interest extended by one year the maturity date of its loan collateralized by 100 Causeway Street. At the time of the extension, the loan had an outstanding balance totaling approximately $333.6 million, bore interest at Term SOFR plus 1.48% per annum, and was scheduled to mature on September 5, 2024. Following the extension, the loan will continue to bear interest at Term SOFR plus 1.48% per annum, and is scheduled to mature on September 5, 2025. 100 Causeway Street is an approximately 634,000 net rentable square foot office property located in Boston, Massachusetts.</w:t>
      </w:r>
    </w:p>
    <w:p>
      <w:pPr>
        <w:spacing w:after="0" w:line="125" w:lineRule="exact"/>
        <w:rPr>
          <w:sz w:val="20"/>
          <w:szCs w:val="20"/>
          <w:color w:val="auto"/>
        </w:rPr>
      </w:pPr>
    </w:p>
    <w:p>
      <w:pPr>
        <w:jc w:val="both"/>
        <w:ind w:right="100" w:firstLine="445"/>
        <w:spacing w:after="0" w:line="268" w:lineRule="auto"/>
        <w:rPr>
          <w:sz w:val="20"/>
          <w:szCs w:val="20"/>
          <w:color w:val="auto"/>
        </w:rPr>
      </w:pPr>
      <w:r>
        <w:rPr>
          <w:rFonts w:ascii="Arial" w:cs="Arial" w:eastAsia="Arial" w:hAnsi="Arial"/>
          <w:sz w:val="18"/>
          <w:szCs w:val="18"/>
          <w:color w:val="auto"/>
        </w:rPr>
        <w:t>On August 7, 2024, a joint venture in which the Company has a 71.11% ownership interest partially placed in-service 360 Park Avenue South, a 20-story, office building with ground floor retail located in New York City, New York, aggregating approximately 450,000 net rentable square feet.</w:t>
      </w:r>
    </w:p>
    <w:p>
      <w:pPr>
        <w:spacing w:after="0" w:line="211"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3"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Mortgage Notes Payable</w:t>
      </w:r>
    </w:p>
    <w:p>
      <w:pPr>
        <w:spacing w:after="0" w:line="88"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On January 8, 2024, the Company acquired its joint venture partner’s 50% economic ownership interest in the joint venture that owns 901 New York Avenue located in Washington, DC (See Note 3). The property is subject to existing mortgage indebtedness. At acquisition, the mortgage loan had an outstanding principal balance of approximately $207.1 million, bore interest at 3.61% per annum and was scheduled to mature on January 5, 2025. The mortgage loan was recorded at a fair value of approximately $198.7 million. On January 11, 2024, the Company modified the mortgage loan to provide for two extension options totaling five years of additional term, each subject to certain conditions.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Unsecured Senior Notes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unsecured senior notes outstanding as of September 30, 2024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Coupon/Stated Rate</w:t>
            </w: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Effective Rate(1)</w:t>
            </w:r>
          </w:p>
        </w:tc>
        <w:tc>
          <w:tcPr>
            <w:tcW w:w="14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Principal Amount</w:t>
            </w:r>
          </w:p>
        </w:tc>
        <w:tc>
          <w:tcPr>
            <w:tcW w:w="200" w:type="dxa"/>
            <w:vAlign w:val="bottom"/>
          </w:tcPr>
          <w:p>
            <w:pPr>
              <w:spacing w:after="0"/>
              <w:rPr>
                <w:sz w:val="17"/>
                <w:szCs w:val="17"/>
                <w:color w:val="auto"/>
              </w:rPr>
            </w:pPr>
          </w:p>
        </w:tc>
        <w:tc>
          <w:tcPr>
            <w:tcW w:w="2260" w:type="dxa"/>
            <w:vAlign w:val="bottom"/>
          </w:tcPr>
          <w:p>
            <w:pPr>
              <w:ind w:left="580"/>
              <w:spacing w:after="0"/>
              <w:rPr>
                <w:sz w:val="20"/>
                <w:szCs w:val="20"/>
                <w:color w:val="auto"/>
              </w:rPr>
            </w:pPr>
            <w:r>
              <w:rPr>
                <w:rFonts w:ascii="Arial" w:cs="Arial" w:eastAsia="Arial" w:hAnsi="Arial"/>
                <w:sz w:val="14"/>
                <w:szCs w:val="14"/>
                <w:b w:val="1"/>
                <w:bCs w:val="1"/>
                <w:color w:val="auto"/>
              </w:rPr>
              <w:t>Maturity Date(2)</w:t>
            </w:r>
          </w:p>
        </w:tc>
      </w:tr>
      <w:tr>
        <w:trPr>
          <w:trHeight w:val="22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 Year Unsecured Senior Notes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3.200 %</w:t>
            </w:r>
          </w:p>
        </w:tc>
        <w:tc>
          <w:tcPr>
            <w:tcW w:w="2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3.350 %</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15, 2025</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3.650 %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3.766 %</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February 1, 2026</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3.495 %</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2026</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5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6.750 %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6.924 %</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December 1, 2027</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4.628 %</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2028</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3.400 %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3.505 %</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June 21, 2029</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10.5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2.984 %</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15, 2030</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10.75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3.250 %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3.343 %</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January 30, 2031</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2.671 %</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2032</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12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2.450 %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2.524 %</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October 1, 2033</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10.7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6.619 %</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15, 2034</w:t>
            </w: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5.750 %</w:t>
            </w:r>
          </w:p>
        </w:tc>
        <w:tc>
          <w:tcPr>
            <w:tcW w:w="2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5.842 %</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January 15, 2035</w:t>
            </w: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Less:</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unamortized discount</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29"/>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Deferred financing costs, net</w:t>
            </w:r>
          </w:p>
        </w:tc>
        <w:tc>
          <w:tcPr>
            <w:tcW w:w="15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46,387</w:t>
            </w:r>
          </w:p>
        </w:tc>
        <w:tc>
          <w:tcPr>
            <w:tcW w:w="20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10,642,033</w:t>
            </w:r>
          </w:p>
        </w:tc>
        <w:tc>
          <w:tcPr>
            <w:tcW w:w="2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80" w:hanging="310"/>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Yield on issuance date including the effects of discounts on the notes, settlements of interest rate contracts and the amortization of financing costs.</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principal amounts are due prior to maturity.</w:t>
      </w:r>
    </w:p>
    <w:p>
      <w:pPr>
        <w:spacing w:after="0" w:line="349"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On February 1, 2024, BPLP repaid $700.0 million in aggregate principal amount of its 3.800% senior notes due February 1, 2024. The repayment was completed with available cash and the $600.0 million proceeds from the mortgage loan entered into on October 26, 2023. The repayment price was approximately $713.3 million, which was equal to the stated principal plus approximately $13.3 million of accrued and unpaid interest to, but not including, the repayment date. Excluding the accrued and unpaid interest, the repayment price was equal to the principal amount being repaid.</w:t>
      </w:r>
    </w:p>
    <w:p>
      <w:pPr>
        <w:spacing w:after="0" w:line="125"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On August 26, 2024, BPLP completed a public offering of $850.0 million in aggregate principal amount of its 5.750% unsecured senior notes due 2035. The notes were priced at 99.961% of the principal amount to yield an effective rate (including financing fees) of approximately 5.842% per annum to maturity. The notes will mature on January 15, 2035, unless earlier redeemed. The aggregate net proceeds from the offering were approximately $841.9 million after deducting underwriting discounts and transaction expenses.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Unsecured Credit Facility</w:t>
      </w:r>
    </w:p>
    <w:p>
      <w:pPr>
        <w:spacing w:after="0" w:line="102"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BPLP’s unsecured revolving credit facility (the “2021 Credit Facility”) provides for borrowings of up to $2.0 billion, as described below in this Note 6, through BPLP’s revolving facility, subject to customary conditions. The 2021 Credit Facility matures on June 15, 2026 and includes a sustainability-linked pricing component. Under the 2021 Credit Facility, BPLP had the option to increase the original total commitment of $1.5 billion by up to an additional $500.0 million by increasing the amount of the Revolving Facility and/or by incurring one or more term loans, in each case, subject to syndication of the increase and other conditions (the “Accordion Option”). On September 28, 2023, BPLP exercised a portion of the Accordion Option which increased the then maximum borrowing amount under the 2021 Credit Facility from $1.5 billion to $1.815 billion. On April 29, 2024, BPLP exercised the remainder of the Accordion Option and further increased the maximum borrowing amount under the 2021 Credit Facility to $2.0 billion. All other terms of the 2021 Credit Facility remain unchanged.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0" w:firstLine="445"/>
        <w:spacing w:after="0" w:line="262" w:lineRule="auto"/>
        <w:rPr>
          <w:sz w:val="20"/>
          <w:szCs w:val="20"/>
          <w:color w:val="auto"/>
        </w:rPr>
      </w:pPr>
      <w:r>
        <w:rPr>
          <w:rFonts w:ascii="Arial" w:cs="Arial" w:eastAsia="Arial" w:hAnsi="Arial"/>
          <w:sz w:val="18"/>
          <w:szCs w:val="18"/>
          <w:color w:val="auto"/>
        </w:rPr>
        <w:t>At September 30, 2024, BPLP had no amount outstanding under the 2021 Credit Facility. The 2021 Credit Facility is used as a backstop for BPLP’s $ 500.0 million unsecured commercial paper program (See “</w:t>
      </w:r>
      <w:r>
        <w:rPr>
          <w:rFonts w:ascii="Arial" w:cs="Arial" w:eastAsia="Arial" w:hAnsi="Arial"/>
          <w:sz w:val="18"/>
          <w:szCs w:val="18"/>
          <w:i w:val="1"/>
          <w:iCs w:val="1"/>
          <w:color w:val="auto"/>
        </w:rPr>
        <w:t>Unsecured Commercial Paper”</w:t>
      </w:r>
      <w:r>
        <w:rPr>
          <w:rFonts w:ascii="Arial" w:cs="Arial" w:eastAsia="Arial" w:hAnsi="Arial"/>
          <w:sz w:val="18"/>
          <w:szCs w:val="18"/>
          <w:color w:val="auto"/>
        </w:rPr>
        <w:t xml:space="preserve"> below). As such, BPLP intends to maintain, at a minimum, availability under the 2021 Credit Facility in an amount equal to the amount of unsecured commercial paper notes outstanding.</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Unsecured Term Loans</w:t>
      </w:r>
    </w:p>
    <w:p>
      <w:pPr>
        <w:spacing w:after="0" w:line="88" w:lineRule="exact"/>
        <w:rPr>
          <w:sz w:val="20"/>
          <w:szCs w:val="20"/>
          <w:color w:val="auto"/>
        </w:rPr>
      </w:pPr>
    </w:p>
    <w:p>
      <w:pPr>
        <w:ind w:right="420" w:firstLine="445"/>
        <w:spacing w:after="0" w:line="268" w:lineRule="auto"/>
        <w:rPr>
          <w:sz w:val="20"/>
          <w:szCs w:val="20"/>
          <w:color w:val="auto"/>
        </w:rPr>
      </w:pPr>
      <w:r>
        <w:rPr>
          <w:rFonts w:ascii="Arial" w:cs="Arial" w:eastAsia="Arial" w:hAnsi="Arial"/>
          <w:sz w:val="18"/>
          <w:szCs w:val="18"/>
          <w:color w:val="auto"/>
        </w:rPr>
        <w:t>On January 4, 2023, BPLP entered into a credit agreement that provided for a $1.2 billion unsecured term loan facility (the “2023 Unsecured Term Loan”). Upon entry into the credit agreement, BPLP exercised its option to draw $1.2 billion under the 2023 Unsecured Term Loan.</w:t>
      </w:r>
    </w:p>
    <w:p>
      <w:pPr>
        <w:spacing w:after="0" w:line="117" w:lineRule="exact"/>
        <w:rPr>
          <w:sz w:val="20"/>
          <w:szCs w:val="20"/>
          <w:color w:val="auto"/>
        </w:rPr>
      </w:pPr>
    </w:p>
    <w:p>
      <w:pPr>
        <w:jc w:val="both"/>
        <w:ind w:right="140" w:firstLine="441"/>
        <w:spacing w:after="0" w:line="268" w:lineRule="auto"/>
        <w:rPr>
          <w:sz w:val="20"/>
          <w:szCs w:val="20"/>
          <w:color w:val="auto"/>
        </w:rPr>
      </w:pPr>
      <w:r>
        <w:rPr>
          <w:rFonts w:ascii="Arial" w:cs="Arial" w:eastAsia="Arial" w:hAnsi="Arial"/>
          <w:sz w:val="18"/>
          <w:szCs w:val="18"/>
          <w:color w:val="auto"/>
        </w:rPr>
        <w:t>On April 29, 2024, BPLP repaid $500.0 million of the outstanding balance under the 2023 Unsecured Term Loan from the proceeds of its unsecured commercial paper program (See “</w:t>
      </w:r>
      <w:r>
        <w:rPr>
          <w:rFonts w:ascii="Arial" w:cs="Arial" w:eastAsia="Arial" w:hAnsi="Arial"/>
          <w:sz w:val="18"/>
          <w:szCs w:val="18"/>
          <w:i w:val="1"/>
          <w:iCs w:val="1"/>
          <w:color w:val="auto"/>
        </w:rPr>
        <w:t>Unsecured Commercial Paper</w:t>
      </w:r>
      <w:r>
        <w:rPr>
          <w:rFonts w:ascii="Arial" w:cs="Arial" w:eastAsia="Arial" w:hAnsi="Arial"/>
          <w:sz w:val="18"/>
          <w:szCs w:val="18"/>
          <w:color w:val="auto"/>
        </w:rPr>
        <w:t>” below). At September 30, 2024, BPLP had $700.0 million of principal outstanding under the 2023 Unsecured Term Loan.</w:t>
      </w:r>
    </w:p>
    <w:p>
      <w:pPr>
        <w:spacing w:after="0" w:line="117"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Under the credit agreement governing the 2023 Unsecured Term Loan, BPLP may, at any time prior to the maturity date, increase total commitments by up to an additional $ 300.0 million in aggregate principal amount by increasing the existing 2023 Unsecured Term Loan or incurring one or more additional term loans, in each case, subject to syndication of the increase and other conditions. The 2023 Unsecured Term Loan had an initial maturity date of May 16, 2024, with one 12-month extension option, subject to customary conditions. On May 16, 2024, BPLP exercised its option to extend the maturity date of the 2023 Unsecured Term Loan to May 16, 2025. All other terms of the 2023 Unsecured Term Loan remain unchanged.</w:t>
      </w:r>
    </w:p>
    <w:p>
      <w:pPr>
        <w:spacing w:after="0" w:line="128"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On September 27, 2024, BPLP entered into a credit agreement that provides for a $100.0 million unsecured term loan facility (the “2024 Unsecured Term Loan”) with a lender (the “Lender”) under the mortgage loan collateralized by the Company’s Santa Monica Business Park properties located in Santa Monica, California (the “SMBP Loan”). Upon entry into the credit agreement, BPLP exercised its option to draw $100.0 million under the 2024 Unsecured Term Loan. The proceeds were used to repay the portion of the SMBP Loan held by the Lender. After the repayment, the SMBP Loan had a remaining principal balance of $200.0 million (See Note 14). The 2024 Unsecured Term Loan matures on September 26, 2025 with three, one-year extension options, subject to customary conditions.</w:t>
      </w:r>
    </w:p>
    <w:p>
      <w:pPr>
        <w:spacing w:after="0" w:line="128" w:lineRule="exact"/>
        <w:rPr>
          <w:sz w:val="20"/>
          <w:szCs w:val="20"/>
          <w:color w:val="auto"/>
        </w:rPr>
      </w:pPr>
    </w:p>
    <w:p>
      <w:pPr>
        <w:ind w:right="240" w:firstLine="445"/>
        <w:spacing w:after="0" w:line="276" w:lineRule="auto"/>
        <w:rPr>
          <w:sz w:val="20"/>
          <w:szCs w:val="20"/>
          <w:color w:val="auto"/>
        </w:rPr>
      </w:pPr>
      <w:r>
        <w:rPr>
          <w:rFonts w:ascii="Arial" w:cs="Arial" w:eastAsia="Arial" w:hAnsi="Arial"/>
          <w:sz w:val="17"/>
          <w:szCs w:val="17"/>
          <w:color w:val="auto"/>
        </w:rPr>
        <w:t>At BPLP’s option, loans under the 2024 Unsecured Term Loan will bear interest at a rate per annum equal to (1) a base rate equal to the highest of (a) zero, (b) Prime Rate, (c) the Federal Funds effective rate plus 0.50%, and (d) Term SOFR for a one-month period plus</w:t>
      </w:r>
    </w:p>
    <w:p>
      <w:pPr>
        <w:jc w:val="both"/>
        <w:ind w:right="420"/>
        <w:spacing w:after="0" w:line="296" w:lineRule="auto"/>
        <w:rPr>
          <w:sz w:val="20"/>
          <w:szCs w:val="20"/>
          <w:color w:val="auto"/>
        </w:rPr>
      </w:pPr>
      <w:r>
        <w:rPr>
          <w:rFonts w:ascii="Arial" w:cs="Arial" w:eastAsia="Arial" w:hAnsi="Arial"/>
          <w:sz w:val="17"/>
          <w:szCs w:val="17"/>
          <w:color w:val="auto"/>
        </w:rPr>
        <w:t>1.10%, in each case, plus a margin ranging from 0 to 60 basis points based on BPLP’s credit rating; or (2) a rate equal to adjusted Term SOFR or Daily Simple SOFR with a one-month period plus a margin ranging from 75 to 160 basis points based on BPLP’s credit rating.</w:t>
      </w:r>
    </w:p>
    <w:p>
      <w:pPr>
        <w:spacing w:after="0" w:line="94"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Based on BPLP’s September 30, 2024 credit rating, the 2024 Unsecured Term Loan bears interest at a rate equal to Daily Simple SOFR plus 1.05% per annum. The 2024 Unsecured Term Loan is subject to an existing interest rate swap to fix Daily Simple SOFR at a fixed rate of approximately 2.688% per annum for a period that ends on April 1, 2025 (See Note 7). At September 30, 2024, BPLP had $100.0 million of principal outstanding under the 2024 Unsecured Term Loan.</w:t>
      </w:r>
    </w:p>
    <w:p>
      <w:pPr>
        <w:spacing w:after="0" w:line="122"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2023 and 2024 Unsecured Term Loans contain customary representations and warranties, affirmative and negative covenants and events of default provisions, including the failure to pay indebtedness, breaches of covenants and bankruptcy and other insolvency events, which could result in the acceleration of the obligation to repay any outstanding amount under the 2023 and 2024 Unsecured Term Loans. Among other covenants, the 2023 and 2024 Unsecured Term Loans require that BPLP maintain on an ongoing basis: (1) a leverage ratio not to exceed 60%, however, the leverage ratio may increase to no greater than 65% provided that it is reduced back to 60% within one year, (2) a secured debt leverage ratio not to exceed 55%, (3) a fixed charge coverage ratio of at least 1.40 to 1.00, (4) an unsecured debt leverage ratio not to exceed 60%, however, the unsecured debt leverage ratio may increase to no greater than 65% provided that it is reduced to 60% within one year, (5) an unsecured debt interest coverage ratio of at least 1.75 to 1.00 and (6) limitations on permitted investments. At September 30, 2024, BPLP was in compliance with each of these financial and other covenant requirements.</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Unsecured Commercial Paper</w:t>
      </w:r>
    </w:p>
    <w:p>
      <w:pPr>
        <w:spacing w:after="0" w:line="102"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On April 17, 2024, BPLP established an unsecured commercial paper program. Under the terms of the program, BPLP may issue, from time to time, unsecured commercial paper notes up to a maximum aggregate amount outstanding at any one time of $500.0 million with varying maturities of up to one year. Amounts available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unsecured commercial paper program may be borrowed, repaid, and re-borrowed from time to time. The notes are sold in private placements and rank pari passu with all of BPLP’s other unsecured senior indebtedness, including its outstanding senior notes. The commercial paper program is backstopped by available capacity under the 2021 Credit Facility. At September 30, 2024, BPLP had an aggregate of $500.0 million of unsecured commercial paper notes outstanding that bore interest at a weighted-average rate of approximately 5.22% per annum and had a weighted-average maturity of 34 days from the issuance date.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04"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BPLP’s agreements with derivative counterparties contain provisions whereby if BPLP defaults on the underlying indebtedness, including defaults where repayment of the indebtedness has not been accelerated by the lender, then BPLP could also be declared in default of the swap derivative obligation. As of September 30, 2024, the Company had not posted any collateral related to the agreements.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Effective Hedge Instruments</w:t>
      </w:r>
    </w:p>
    <w:p>
      <w:pPr>
        <w:spacing w:after="0" w:line="88"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BPLP assesses the effectiveness of its derivatives both at inception and on an ongoing basis. If the hedges are deemed to be effective, the fair value is recorded in “Accumulated other comprehensive loss” in the Company’s Consolidated Balance Sheets and is subsequently reclassified into “Interest expense” in the Company’s Consolidated Statements of Operations in the period that the hedged forecasted transactions affect earnings. BPLP’s derivative financial instruments are cash flow hedges that are designated as effective hedges, and they are carried at their estimated fair value on a recurring basis (See Note 2). The Company did not incur ineffectiveness during the three and nine months ended September 30, 2024.</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BPLP’s and SMBP LLC’s derivative contracts consisted of the following at September 30, 2024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5"/>
              <w:spacing w:after="0"/>
              <w:rPr>
                <w:sz w:val="20"/>
                <w:szCs w:val="20"/>
                <w:color w:val="auto"/>
              </w:rPr>
            </w:pPr>
            <w:r>
              <w:rPr>
                <w:rFonts w:ascii="Arial" w:cs="Arial" w:eastAsia="Arial" w:hAnsi="Arial"/>
                <w:sz w:val="14"/>
                <w:szCs w:val="14"/>
                <w:b w:val="1"/>
                <w:bCs w:val="1"/>
                <w:color w:val="auto"/>
              </w:rPr>
              <w:t>Aggregate</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3"/>
          </w:tcPr>
          <w:p>
            <w:pPr>
              <w:ind w:left="400"/>
              <w:spacing w:after="0"/>
              <w:rPr>
                <w:sz w:val="20"/>
                <w:szCs w:val="20"/>
                <w:color w:val="auto"/>
              </w:rPr>
            </w:pPr>
            <w:r>
              <w:rPr>
                <w:rFonts w:ascii="Arial" w:cs="Arial" w:eastAsia="Arial" w:hAnsi="Arial"/>
                <w:sz w:val="14"/>
                <w:szCs w:val="14"/>
                <w:b w:val="1"/>
                <w:bCs w:val="1"/>
                <w:color w:val="auto"/>
              </w:rPr>
              <w:t>Strike Rate Range</w:t>
            </w: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center"/>
              <w:ind w:right="45"/>
              <w:spacing w:after="0" w:line="139" w:lineRule="exact"/>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Effective Date</w:t>
            </w: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Maturity Date</w:t>
            </w: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Low</w:t>
            </w: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5"/>
                <w:szCs w:val="5"/>
                <w:color w:val="auto"/>
              </w:rPr>
            </w:pPr>
          </w:p>
        </w:tc>
        <w:tc>
          <w:tcPr>
            <w:tcW w:w="2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5"/>
                <w:szCs w:val="5"/>
                <w:color w:val="auto"/>
              </w:rPr>
            </w:pPr>
          </w:p>
        </w:tc>
        <w:tc>
          <w:tcPr>
            <w:tcW w:w="92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45"/>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spacing w:after="0" w:line="156" w:lineRule="exact"/>
              <w:rPr>
                <w:sz w:val="20"/>
                <w:szCs w:val="20"/>
                <w:color w:val="auto"/>
              </w:rPr>
            </w:pPr>
            <w:r>
              <w:rPr>
                <w:rFonts w:ascii="Arial" w:cs="Arial" w:eastAsia="Arial" w:hAnsi="Arial"/>
                <w:sz w:val="15"/>
                <w:szCs w:val="15"/>
                <w:b w:val="1"/>
                <w:bCs w:val="1"/>
                <w:color w:val="auto"/>
              </w:rPr>
              <w:t>BPLP:</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600,000</w:t>
            </w: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December 15, 2023</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October 26, 2028</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3.790 % —</w:t>
            </w:r>
          </w:p>
        </w:tc>
        <w:tc>
          <w:tcPr>
            <w:tcW w:w="9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3.798 %</w:t>
            </w:r>
          </w:p>
        </w:tc>
        <w:tc>
          <w:tcPr>
            <w:tcW w:w="1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(12,600)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40"/>
              <w:spacing w:after="0" w:line="158" w:lineRule="exact"/>
              <w:rPr>
                <w:sz w:val="20"/>
                <w:szCs w:val="20"/>
                <w:color w:val="auto"/>
              </w:rPr>
            </w:pPr>
            <w:r>
              <w:rPr>
                <w:rFonts w:ascii="Arial" w:cs="Arial" w:eastAsia="Arial" w:hAnsi="Arial"/>
                <w:sz w:val="15"/>
                <w:szCs w:val="15"/>
                <w:color w:val="auto"/>
              </w:rPr>
              <w:t>September 27,</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2"/>
          </w:tcPr>
          <w:p>
            <w:pPr>
              <w:jc w:val="center"/>
              <w:ind w:right="500"/>
              <w:spacing w:after="0" w:line="158" w:lineRule="exact"/>
              <w:rPr>
                <w:sz w:val="20"/>
                <w:szCs w:val="20"/>
                <w:color w:val="auto"/>
              </w:rPr>
            </w:pPr>
            <w:r>
              <w:rPr>
                <w:rFonts w:ascii="Arial" w:cs="Arial" w:eastAsia="Arial" w:hAnsi="Arial"/>
                <w:sz w:val="15"/>
                <w:szCs w:val="15"/>
                <w:color w:val="auto"/>
              </w:rPr>
              <w:t>Prepaid expenses and</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1820" w:type="dxa"/>
            <w:vAlign w:val="bottom"/>
            <w:tcBorders>
              <w:bottom w:val="single" w:sz="8" w:color="CCEEFF"/>
            </w:tcBorders>
            <w:gridSpan w:val="4"/>
          </w:tcPr>
          <w:p>
            <w:pPr>
              <w:spacing w:after="0"/>
              <w:rPr>
                <w:sz w:val="20"/>
                <w:szCs w:val="20"/>
                <w:color w:val="auto"/>
              </w:rPr>
            </w:pPr>
            <w:r>
              <w:rPr>
                <w:rFonts w:ascii="Arial" w:cs="Arial" w:eastAsia="Arial" w:hAnsi="Arial"/>
                <w:sz w:val="15"/>
                <w:szCs w:val="15"/>
                <w:color w:val="auto"/>
              </w:rPr>
              <w:t>Interest Rate Swaps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2024</w:t>
            </w:r>
          </w:p>
        </w:tc>
        <w:tc>
          <w:tcPr>
            <w:tcW w:w="14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5"/>
                <w:szCs w:val="15"/>
                <w:color w:val="auto"/>
              </w:rPr>
              <w:t>April 1, 2025</w:t>
            </w:r>
          </w:p>
        </w:tc>
        <w:tc>
          <w:tcPr>
            <w:tcW w:w="114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2.688 % —</w:t>
            </w:r>
          </w:p>
        </w:tc>
        <w:tc>
          <w:tcPr>
            <w:tcW w:w="90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2.688 %</w:t>
            </w:r>
          </w:p>
        </w:tc>
        <w:tc>
          <w:tcPr>
            <w:tcW w:w="12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gridSpan w:val="2"/>
          </w:tcPr>
          <w:p>
            <w:pPr>
              <w:jc w:val="center"/>
              <w:ind w:right="520"/>
              <w:spacing w:after="0"/>
              <w:rPr>
                <w:sz w:val="20"/>
                <w:szCs w:val="20"/>
                <w:color w:val="auto"/>
              </w:rPr>
            </w:pPr>
            <w:r>
              <w:rPr>
                <w:rFonts w:ascii="Arial" w:cs="Arial" w:eastAsia="Arial" w:hAnsi="Arial"/>
                <w:sz w:val="15"/>
                <w:szCs w:val="15"/>
                <w:color w:val="auto"/>
              </w:rPr>
              <w:t>other assets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799</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700,000</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gridSpan w:val="4"/>
          </w:tcPr>
          <w:p>
            <w:pPr>
              <w:spacing w:after="0" w:line="162" w:lineRule="exact"/>
              <w:rPr>
                <w:sz w:val="20"/>
                <w:szCs w:val="20"/>
                <w:color w:val="auto"/>
              </w:rPr>
            </w:pPr>
            <w:r>
              <w:rPr>
                <w:rFonts w:ascii="Arial" w:cs="Arial" w:eastAsia="Arial" w:hAnsi="Arial"/>
                <w:sz w:val="15"/>
                <w:szCs w:val="15"/>
                <w:b w:val="1"/>
                <w:bCs w:val="1"/>
                <w:color w:val="auto"/>
              </w:rPr>
              <w:t>SMBP LLC (1)</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500"/>
              <w:spacing w:after="0" w:line="158" w:lineRule="exact"/>
              <w:rPr>
                <w:sz w:val="20"/>
                <w:szCs w:val="20"/>
                <w:color w:val="auto"/>
              </w:rPr>
            </w:pPr>
            <w:r>
              <w:rPr>
                <w:rFonts w:ascii="Arial" w:cs="Arial" w:eastAsia="Arial" w:hAnsi="Arial"/>
                <w:sz w:val="15"/>
                <w:szCs w:val="15"/>
                <w:color w:val="auto"/>
              </w:rPr>
              <w:t>Prepaid expenses and</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Interest Rate Swaps</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200,000</w:t>
            </w: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December 14, 2023</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April 1, 2025</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2.661 % —</w:t>
            </w:r>
          </w:p>
        </w:tc>
        <w:tc>
          <w:tcPr>
            <w:tcW w:w="9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2.688 %</w:t>
            </w:r>
          </w:p>
        </w:tc>
        <w:tc>
          <w:tcPr>
            <w:tcW w:w="1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520"/>
              <w:spacing w:after="0"/>
              <w:rPr>
                <w:sz w:val="20"/>
                <w:szCs w:val="20"/>
                <w:color w:val="auto"/>
              </w:rPr>
            </w:pPr>
            <w:r>
              <w:rPr>
                <w:rFonts w:ascii="Arial" w:cs="Arial" w:eastAsia="Arial" w:hAnsi="Arial"/>
                <w:sz w:val="15"/>
                <w:szCs w:val="15"/>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900,000</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(10,191)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  A consolidated subsidiary of the Company that is the borrower under the mortgage loan collateralized by its Santa Monica Business Park property.</w:t>
      </w:r>
    </w:p>
    <w:p>
      <w:pPr>
        <w:spacing w:after="0" w:line="241" w:lineRule="exact"/>
        <w:rPr>
          <w:sz w:val="20"/>
          <w:szCs w:val="20"/>
          <w:color w:val="auto"/>
        </w:rPr>
      </w:pPr>
    </w:p>
    <w:p>
      <w:pPr>
        <w:ind w:right="320" w:firstLine="445"/>
        <w:spacing w:after="0" w:line="287" w:lineRule="auto"/>
        <w:rPr>
          <w:sz w:val="20"/>
          <w:szCs w:val="20"/>
          <w:color w:val="auto"/>
        </w:rPr>
      </w:pPr>
      <w:r>
        <w:rPr>
          <w:rFonts w:ascii="Arial" w:cs="Arial" w:eastAsia="Arial" w:hAnsi="Arial"/>
          <w:sz w:val="18"/>
          <w:szCs w:val="18"/>
          <w:color w:val="auto"/>
        </w:rPr>
        <w:t>The following table presents the location in the financial statements of the gains or (losses) recognized as a result of the Company’s cash flow hedges for the three and nine months ended September 30, 2024 and 2023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2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212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64"/>
        </w:trPr>
        <w:tc>
          <w:tcPr>
            <w:tcW w:w="628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Amount of gain (loss) related to the effective portion recognized in other</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(32,263)</w:t>
            </w:r>
          </w:p>
        </w:tc>
        <w:tc>
          <w:tcPr>
            <w:tcW w:w="2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24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2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 (1)</w:t>
            </w: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280" w:type="dxa"/>
            <w:vAlign w:val="bottom"/>
          </w:tcPr>
          <w:p>
            <w:pPr>
              <w:ind w:left="20"/>
              <w:spacing w:after="0" w:line="183" w:lineRule="exact"/>
              <w:rPr>
                <w:sz w:val="20"/>
                <w:szCs w:val="20"/>
                <w:color w:val="auto"/>
              </w:rPr>
            </w:pPr>
            <w:r>
              <w:rPr>
                <w:rFonts w:ascii="Arial" w:cs="Arial" w:eastAsia="Arial" w:hAnsi="Arial"/>
                <w:sz w:val="18"/>
                <w:szCs w:val="18"/>
                <w:color w:val="auto"/>
              </w:rPr>
              <w:t>Amount of gain (loss) related to the effective portion subsequently</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3,077</w:t>
            </w:r>
          </w:p>
        </w:tc>
        <w:tc>
          <w:tcPr>
            <w:tcW w:w="2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1,677</w:t>
            </w:r>
          </w:p>
        </w:tc>
        <w:tc>
          <w:tcPr>
            <w:tcW w:w="24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9,518</w:t>
            </w:r>
          </w:p>
        </w:tc>
        <w:tc>
          <w:tcPr>
            <w:tcW w:w="2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35"/>
        </w:trPr>
        <w:tc>
          <w:tcPr>
            <w:tcW w:w="6280" w:type="dxa"/>
            <w:vAlign w:val="bottom"/>
          </w:tcPr>
          <w:p>
            <w:pPr>
              <w:ind w:left="180"/>
              <w:spacing w:after="0"/>
              <w:rPr>
                <w:sz w:val="20"/>
                <w:szCs w:val="20"/>
                <w:color w:val="auto"/>
              </w:rPr>
            </w:pPr>
            <w:r>
              <w:rPr>
                <w:rFonts w:ascii="Arial" w:cs="Arial" w:eastAsia="Arial" w:hAnsi="Arial"/>
                <w:sz w:val="18"/>
                <w:szCs w:val="18"/>
                <w:color w:val="auto"/>
              </w:rPr>
              <w:t>reclassified to earnings (2)</w:t>
            </w:r>
          </w:p>
        </w:tc>
        <w:tc>
          <w:tcPr>
            <w:tcW w:w="2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2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Amount of gain (loss) related do the ineffective portion and amount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excluded from effectiveness testing</w:t>
            </w:r>
          </w:p>
        </w:tc>
        <w:tc>
          <w:tcPr>
            <w:tcW w:w="24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80" w:hanging="310"/>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the Company’s share of gain (loss) related to the effective portion of derivatives outstanding at its unconsolidated joint venture properties.</w:t>
      </w:r>
    </w:p>
    <w:p>
      <w:pPr>
        <w:spacing w:after="0" w:line="200" w:lineRule="exact"/>
        <w:rPr>
          <w:rFonts w:ascii="Arial" w:cs="Arial" w:eastAsia="Arial" w:hAnsi="Arial"/>
          <w:sz w:val="16"/>
          <w:szCs w:val="16"/>
          <w:color w:val="auto"/>
        </w:rPr>
      </w:pPr>
    </w:p>
    <w:p>
      <w:pPr>
        <w:spacing w:after="0" w:line="351"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  Includes amounts from previous interest rate programs.</w:t>
      </w:r>
    </w:p>
    <w:p>
      <w:pPr>
        <w:spacing w:after="0" w:line="257"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BPLP has formally documented all of its relationships between hedge instruments and hedging items, as well as its risk-management objectives and strategy for undertaking various hedge transactions. While management believes its judgments are reasonable, a change in a derivative's effectiveness as a hedge could materially affect expenses, net income (loss) and equity.</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Ineffective Hedging Instruments</w:t>
      </w:r>
    </w:p>
    <w:p>
      <w:pPr>
        <w:spacing w:after="0" w:line="88"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During the year ended December 31, 2023, to satisfy a lender requirement, the Company entered into two agreements with the same third-party to purchase and sell a $600.0 million interest rate cap. The Company did not elect hedge accounting, and as such, any change in market value will be recognized in Gain (losses) from interest rate contracts in the Consolidated Statement of Operations. For the three and nine months ended September 30, 2024 and 2023, the Company recognized no impact to its Consolidated Statement of Operations from entering into these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w:t>
      </w:r>
    </w:p>
    <w:p>
      <w:pPr>
        <w:spacing w:after="0" w:line="88"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In the normal course of business, the Company guarantees its performance of services or indemnifies third parties against its negligence. In addition, in the normal course of business, the Company guarantees to certain tenants the obligations of the Company’s subsidiaries to pay tenant improvement allowances and brokerage commissions in connection with their leases and limited costs arising from delays in delivery of their premises.</w:t>
      </w:r>
    </w:p>
    <w:p>
      <w:pPr>
        <w:spacing w:after="0" w:line="122"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The Company had letter of credit and performance obligations related to lender and development requirements that total approximately $21.0 million at September 30, 2024.</w:t>
      </w:r>
    </w:p>
    <w:p>
      <w:pPr>
        <w:spacing w:after="0" w:line="99" w:lineRule="exact"/>
        <w:rPr>
          <w:sz w:val="20"/>
          <w:szCs w:val="20"/>
          <w:color w:val="auto"/>
        </w:rPr>
      </w:pPr>
    </w:p>
    <w:p>
      <w:pPr>
        <w:ind w:right="60" w:firstLine="445"/>
        <w:spacing w:after="0" w:line="260" w:lineRule="auto"/>
        <w:rPr>
          <w:sz w:val="20"/>
          <w:szCs w:val="20"/>
          <w:color w:val="auto"/>
        </w:rPr>
      </w:pPr>
      <w:r>
        <w:rPr>
          <w:rFonts w:ascii="Arial" w:cs="Arial" w:eastAsia="Arial" w:hAnsi="Arial"/>
          <w:sz w:val="18"/>
          <w:szCs w:val="18"/>
          <w:color w:val="auto"/>
        </w:rPr>
        <w:t>Certain of the Company’s joint venture agreements include provisions whereby, at certain specified times, each partner has the right to initiate a purchase or sale of its interest in the joint venture. From time to time, under certain of the Company’s joint venture agreements,</w:t>
      </w:r>
    </w:p>
    <w:p>
      <w:pPr>
        <w:spacing w:after="0" w:line="2"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if certain return thresholds are achieved, either the Company or its partners may be entitled to receive an additional promoted interest or payments.</w:t>
      </w:r>
    </w:p>
    <w:p>
      <w:pPr>
        <w:spacing w:after="0" w:line="117"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tenants and other third parties for the completion of development projects. The Company has agreements with its third-party joint venture partners whereby the partners agree to reimburse the joint venture for their share of any payments made under the guarantee. In some cases, the Company earns a fee from the applicable joint venture for providing the guarantee.</w:t>
      </w:r>
    </w:p>
    <w:p>
      <w:pPr>
        <w:spacing w:after="0" w:line="129"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In connection with the refinancing of 767 Fifth Avenue’s (the General Motors Building) secured loan by the Company’s consolidated joint venture entity, 767 Venture, LLC, the Company guaranteed the consolidated entity’s obligation to fund various reserves for tenant improvement costs and allowances, leasing commissions and free rent obligations in lieu of cash deposits. As of September 30, 2024, the maximum funding obligation under the guarantee was approximately $6.4 million. The Company earns a fee from the joint venture for providing the guarantee and has an agreement with the outside partners to reimburse the joint venture for their share of any payments made under the guarantee. As of September 30, 2024, no amounts related to the guarantee were recorded as liabilities in the Company’s consolidated financial statements.</w:t>
      </w:r>
    </w:p>
    <w:p>
      <w:pPr>
        <w:spacing w:after="0" w:line="129"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In connection with the sale of Metropolitan Square, an approximately 657,000 square foot office building in Washington, DC in which the Company had a 20% equity interest, the Company agreed to become a co-lender of up to $20.0 million under a mezzanine loan. The mezzanine loan has a maximum principal amount of $ 100.0 million, and it is subordinate only to an existing senior loan. The mezzanine loan may be drawn upon for future lease-up, operating and other costs on an as-needed basis, and amounts borrowed will bear interest at a per annum rate of 12%, compounded monthly. As of September 30, 2024, the Company has funded approximately $3.9 million under the mezzanine loan.</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88" w:lineRule="exact"/>
        <w:rPr>
          <w:sz w:val="20"/>
          <w:szCs w:val="20"/>
          <w:color w:val="auto"/>
        </w:rPr>
      </w:pPr>
    </w:p>
    <w:p>
      <w:pPr>
        <w:ind w:right="220" w:firstLine="445"/>
        <w:spacing w:after="0" w:line="268" w:lineRule="auto"/>
        <w:rPr>
          <w:sz w:val="20"/>
          <w:szCs w:val="20"/>
          <w:color w:val="auto"/>
        </w:rPr>
      </w:pPr>
      <w:r>
        <w:rPr>
          <w:rFonts w:ascii="Arial" w:cs="Arial" w:eastAsia="Arial" w:hAnsi="Arial"/>
          <w:sz w:val="18"/>
          <w:szCs w:val="18"/>
          <w:color w:val="auto"/>
        </w:rPr>
        <w:t>The Company is subject to various legal proceedings and claims that arise in the ordinary course of business. These matters are generally covered by insurance. Management believes that the final outcome of such matters will not have a material adverse effect on the financial position, results of operations or liquidity of the Company.</w:t>
      </w:r>
    </w:p>
    <w:p>
      <w:pPr>
        <w:spacing w:after="0" w:line="117"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In connection with the acquisition of an office property in New York City in 2010, the Company entered into an agreement with the seller pursuant to which the seller could earn various fees based on the future leasing performance of the property. The Company initially accrued approximately $1.5 million as an estimate of the fees it would owe the seller. In 2020, the seller filed suit against the Company in the Supreme Court of the State of New York, County of New York, claiming that consideration significantly in excess of the initial reserve amount is owed under the agreement. The disagreement between the Company and the seller involves material issues of contract interpretation and, more importantly, the method of calculating fees, including various inputs (both facts and assumptions) that drive the calculations. In February 2024, the court granted the seller’s motion for summary judgement interpreting certain sections of the agreement in favor of the seller’s claims. The Company is disputing the seller’s calculations and intends to continue defending itself vigorously. However, there can be no assurance that the Company will prevail in the lawsuit. If the court ultimately agrees with the seller’s calculations, then amounts due to the seller could theoretically be as high as the additional $31 million claimed in the seller’s complaint, plus interest. Although the Company disputes those calculations, there can be no assurance that the Company’s ultimate liability will not be significantly greater than its established accrual.</w:t>
      </w:r>
    </w:p>
    <w:p>
      <w:pPr>
        <w:spacing w:after="0" w:line="136"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On April 26, 2024, Brammer Bio MA, LLC (“Brammer”), a subsidiary of Thermo Fisher Scientific Inc. and an abutter to the Company’s 290 Binney Street development project located in Cambridge, Massachusetts, filed a complaint in Superior Court in Suffolk County, Massachusetts against the Company relating to certain ongoing construction activities.</w:t>
      </w:r>
    </w:p>
    <w:p>
      <w:pPr>
        <w:spacing w:after="0" w:line="117"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In the first quarter of 2023, the Company commenced development of 290 Binney Street, an approximately 573,000 net rentable square foot laboratory/life sciences property that is 100% pre-leased to AstraZeneca Pharmaceuticals (“AstraZeneca”). The Company has a 55% interest in the joint venture that owns 290 Binney Street. Brammer subleases the premises at 250 Binney Street, the Company’s approximately 67,000 net rentable square foot life sciences property that is adjacent to 290 Binney Street.</w:t>
      </w:r>
    </w:p>
    <w:p>
      <w:pPr>
        <w:spacing w:after="0" w:line="122"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Brammer alleges that, as a result of the Company’s construction of 290 Binney Street, it is threatened with irreparable harm due to intrusion onto the 250 Binney Street premises and the loss of its property rights. Brammer also alleges that the 290 Binney Street development project has caused and is causing major disruption to its manufacturing operations, and that it has suffered and will continue to suffer damages in the form of losses to its clients and customers. Brammer brought the action for quiet title, breach of contract, trespass and nuisance, and it is seeking declaratory and injunctive relief and specific performance purportedly to protect its property interests in the premises located at 250 Binney Street.</w:t>
      </w:r>
    </w:p>
    <w:p>
      <w:pPr>
        <w:spacing w:after="0" w:line="128"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The Company believes it has meritorious defenses against Brammer’s claims and intends to defend against them vigorously. However, there can be no assurance the Company will prevail in the litigation. If the Company is enjoined from further construction activities, it could suffer delays in construction that could result in its failure to deliver a completed building on the schedule contemplated by the Company’s lease with AstraZeneca or at all, and this could result in owing financial penalties to AstraZeneca and other third parties. Although the Company is unable to estimate a range of loss for all related matters for which losses are reasonably possible, if the court grants injunctive relief or awards monetary damages to Brammer, it could have a material adverse effect on the Company’s results of operations and financial condition.</w:t>
      </w:r>
    </w:p>
    <w:p>
      <w:pPr>
        <w:spacing w:after="0" w:line="129"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On May 16, 2024, Brammer’s motion for a preliminary injunction was denied by the trial court. Brammer subsequently appealed that decision, electing pursuant to Massachusetts civil procedure rules to petition for appeals to both a single justice of the Massachusetts Appeals Court and to a full appellate panel. On July 16, 2024, the single justice assigned to the appeal issued an order declining to rule on the substance of the appeal petition, which means that the appeal will be decided by the full panel. A date has not yet been set for the full panel hearing.</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Insurance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property insurance program per occurrence limits are $1.0 billion for its portfolio insurance program, including coverage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 acts of terrorism other than nuclear, biological, chemical or radiological terrorism (“Terrorism Coverage”). The Company also carries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 billion of property insurance in excess of the $1.0 billion of coverage in the Company’s property insurance program for 601 Lexington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Avenue, New York, New York, consisting</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of $750 million of property and Terrorism Coverage in excess of the Company’s property insurance program and $600 million of Terrorism Coverage only in excess of the $1.75 billion of coverage. Certain properties, including the General Motors Building located at 767 Fifth Avenue in New York, New York (“767 Fifth Avenue”), are currently insured in separate insurance programs. The property insurance program per occurrence limits for 767 Fifth Avenue are $1.625 billion, including Terrorism Coverage. The Company also currently carries nuclear, biological, chemical and radiological terrorism insurance coverage for acts of terrorism certified under the Federal Terrorism Risk Insurance Act (as amended, “TRIA”) (“NBCR Coverage”), which is provided by IXP as a direct insurer, for the properties in the Company’s portfolio, including 767 Fifth Avenue, but excluding certain other properties owned in joint ventures with third parties or which the Company manages. The per occurrence limit for NBCR Coverage is $1.0 billion. Under TRIA, after the payment of the required deductible and coinsurance, the NBCR Coverage provided by IXP is backstopped by the Federal Government if the aggregate industry insured losses resulting from a certified act of terrorism exceed a “program trigger.” The program trigger is $200 million, the coinsurance is 20% and the deductible is 20% of the premiums earned by the insurer for the year prior to a claim. If the Federal Government pays out for a loss under TRIA, it is mandatory that the Federal Government recoup the full amount of the loss from insurers offering TRIA coverage after the payment of the loss pursuant to a formula in TRIA. The Company may elect to terminate the NBCR Coverage if the Federal Government seeks recoupment for losses paid under TRIA, if TRIA is not extended after its expiration on December 31, 2027, if there is a change in its portfolio or for any other reason. The Company intends to continue to monitor the scope, nature and cost of available terrorism insurance.</w:t>
      </w:r>
    </w:p>
    <w:p>
      <w:pPr>
        <w:spacing w:after="0" w:line="129"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The Company also currently carries earthquake insurance on its properties located in areas known to be subject to earthquakes. Specifically, the Company currently carries earthquake insurance which covers its San Francisco and Los Angeles regions with a $330 million per occurrence limit, and a $ 330 million annual aggregate limit, $30 million of which is provided by IXP, as a direct insurer. This insurance is subject to a deductible in the amount of 5% of the value of the affected property. In addition, the Company currently carries earthquake insurance which covers its Seattle region with a $110 million per occurrence limit, and a $110 million annual aggregate limit. This insurance is subject to a deductible in the amount of 2% of the value of the affected property. The amount of the Company’s earthquake insurance coverage may not be sufficient to cover losses from earthquakes. In addition, the amount of earthquake coverage could impact the Company’s ability to finance properties subject to earthquake risk. The Company may discontinue earthquake insurance or change the structure of its earthquake insurance program on some or all of its properties in the future if the premiums exceed the Company’s estimation of the value of the coverage.</w:t>
      </w:r>
    </w:p>
    <w:p>
      <w:pPr>
        <w:spacing w:after="0" w:line="131"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IXP, a captive insurance company which is a wholly-owned subsidiary of the Company, acts as a direct insurer with respect to a portion of the Company’s earthquake insurance coverage for its Greater San Francisco and Los Angeles properties and the Company’s NBCR Coverage. Insofar as the Company owns IXP, it is responsible for its liquidity and capital resources, and the accounts of IXP are part of the Company’s consolidated financial statements. In particular, if a loss occurs which is covered by the Company’s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the Company experiences a loss and IXP is required to pay under its insurance policy, the Company would ultimately record the loss to the extent of the required payment. Therefore, insurance coverage provided by IXP should not be considered as the equivalent of third-party insurance, but rather as a modified form of self-insurance. In addition, BPLP has issued a guarantee to cover liabilities of IXP in the amount of $20.0 million.</w:t>
      </w:r>
    </w:p>
    <w:p>
      <w:pPr>
        <w:spacing w:after="0" w:line="13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continues to monitor the state of the insurance market in general, and the scope and costs of coverage for acts of terrorism, earthquakes, pandemics and cybersecurity incidents, in particular, but the Company cannot anticipate what coverage will be available on commercially reasonable terms in future policy years. There are other types of losses, such as from wars, for which the Company cannot obtain insurance at all or at a reasonable cost. With respect to such losses and losses from acts of terrorism, earthquakes, pandemics or other catastrophic events, if the Company experiences a loss that is uninsured or that exceeds policy limits, the Company could lose the capital invested in the damaged properties, as well as the anticipated future revenues from those properties. Depending on the specific circumstances of each affected property, it is possible that the Company could be liable for mortgage indebtedness or other obligations related to the property. Any such loss could materially and adversely affect the Company’s business, financial condition and results of operations.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Noncontrolling Interests</w:t>
      </w:r>
    </w:p>
    <w:p>
      <w:pPr>
        <w:spacing w:after="0" w:line="90" w:lineRule="exact"/>
        <w:rPr>
          <w:sz w:val="20"/>
          <w:szCs w:val="20"/>
          <w:color w:val="auto"/>
        </w:rPr>
      </w:pPr>
    </w:p>
    <w:p>
      <w:pPr>
        <w:ind w:right="540" w:firstLine="445"/>
        <w:spacing w:after="0" w:line="287" w:lineRule="auto"/>
        <w:rPr>
          <w:sz w:val="20"/>
          <w:szCs w:val="20"/>
          <w:color w:val="auto"/>
        </w:rPr>
      </w:pPr>
      <w:r>
        <w:rPr>
          <w:rFonts w:ascii="Arial" w:cs="Arial" w:eastAsia="Arial" w:hAnsi="Arial"/>
          <w:sz w:val="18"/>
          <w:szCs w:val="18"/>
          <w:color w:val="auto"/>
        </w:rPr>
        <w:t>Noncontrolling interests relate to the interests in BPLP not owned by BXP and interests in consolidated property partnerships not wholly-owned by the Company. As of September 30, 2024, the noncontrolling interests in BPLP consisted of the following: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60" w:type="dxa"/>
            <w:vAlign w:val="bottom"/>
            <w:gridSpan w:val="2"/>
          </w:tcPr>
          <w:p>
            <w:pPr>
              <w:ind w:left="700"/>
              <w:spacing w:after="0"/>
              <w:rPr>
                <w:sz w:val="20"/>
                <w:szCs w:val="20"/>
                <w:color w:val="auto"/>
              </w:rPr>
            </w:pPr>
            <w:r>
              <w:rPr>
                <w:rFonts w:ascii="Arial" w:cs="Arial" w:eastAsia="Arial" w:hAnsi="Arial"/>
                <w:sz w:val="16"/>
                <w:szCs w:val="16"/>
                <w:b w:val="1"/>
                <w:bCs w:val="1"/>
                <w:color w:val="auto"/>
              </w:rPr>
              <w:t>OP Units</w:t>
            </w:r>
          </w:p>
        </w:tc>
        <w:tc>
          <w:tcPr>
            <w:tcW w:w="2280" w:type="dxa"/>
            <w:vAlign w:val="bottom"/>
            <w:gridSpan w:val="2"/>
          </w:tcPr>
          <w:p>
            <w:pPr>
              <w:ind w:left="540"/>
              <w:spacing w:after="0"/>
              <w:rPr>
                <w:sz w:val="20"/>
                <w:szCs w:val="20"/>
                <w:color w:val="auto"/>
              </w:rPr>
            </w:pPr>
            <w:r>
              <w:rPr>
                <w:rFonts w:ascii="Arial" w:cs="Arial" w:eastAsia="Arial" w:hAnsi="Arial"/>
                <w:sz w:val="16"/>
                <w:szCs w:val="16"/>
                <w:b w:val="1"/>
                <w:bCs w:val="1"/>
                <w:color w:val="auto"/>
              </w:rPr>
              <w:t>LTIP Units (1)</w:t>
            </w:r>
          </w:p>
        </w:tc>
        <w:tc>
          <w:tcPr>
            <w:tcW w:w="2280" w:type="dxa"/>
            <w:vAlign w:val="bottom"/>
            <w:gridSpan w:val="2"/>
          </w:tcPr>
          <w:p>
            <w:pPr>
              <w:ind w:left="320"/>
              <w:spacing w:after="0"/>
              <w:rPr>
                <w:sz w:val="20"/>
                <w:szCs w:val="20"/>
                <w:color w:val="auto"/>
              </w:rPr>
            </w:pPr>
            <w:r>
              <w:rPr>
                <w:rFonts w:ascii="Arial" w:cs="Arial" w:eastAsia="Arial" w:hAnsi="Arial"/>
                <w:sz w:val="16"/>
                <w:szCs w:val="16"/>
                <w:b w:val="1"/>
                <w:bCs w:val="1"/>
                <w:color w:val="auto"/>
              </w:rPr>
              <w:t>2022 MYLTIP Units</w:t>
            </w:r>
          </w:p>
        </w:tc>
        <w:tc>
          <w:tcPr>
            <w:tcW w:w="2280" w:type="dxa"/>
            <w:vAlign w:val="bottom"/>
            <w:gridSpan w:val="2"/>
          </w:tcPr>
          <w:p>
            <w:pPr>
              <w:ind w:left="340"/>
              <w:spacing w:after="0"/>
              <w:rPr>
                <w:sz w:val="20"/>
                <w:szCs w:val="20"/>
                <w:color w:val="auto"/>
              </w:rPr>
            </w:pPr>
            <w:r>
              <w:rPr>
                <w:rFonts w:ascii="Arial" w:cs="Arial" w:eastAsia="Arial" w:hAnsi="Arial"/>
                <w:sz w:val="16"/>
                <w:szCs w:val="16"/>
                <w:b w:val="1"/>
                <w:bCs w:val="1"/>
                <w:color w:val="auto"/>
              </w:rPr>
              <w:t>2023 MYLTIP Units</w:t>
            </w:r>
          </w:p>
        </w:tc>
        <w:tc>
          <w:tcPr>
            <w:tcW w:w="2120" w:type="dxa"/>
            <w:vAlign w:val="bottom"/>
          </w:tcPr>
          <w:p>
            <w:pPr>
              <w:jc w:val="right"/>
              <w:ind w:right="255"/>
              <w:spacing w:after="0"/>
              <w:rPr>
                <w:sz w:val="20"/>
                <w:szCs w:val="20"/>
                <w:color w:val="auto"/>
              </w:rPr>
            </w:pPr>
            <w:r>
              <w:rPr>
                <w:rFonts w:ascii="Arial" w:cs="Arial" w:eastAsia="Arial" w:hAnsi="Arial"/>
                <w:sz w:val="16"/>
                <w:szCs w:val="16"/>
                <w:b w:val="1"/>
                <w:bCs w:val="1"/>
                <w:color w:val="auto"/>
              </w:rPr>
              <w:t>2024 MYLTIP Units</w:t>
            </w:r>
          </w:p>
        </w:tc>
      </w:tr>
      <w:tr>
        <w:trPr>
          <w:trHeight w:val="223"/>
        </w:trPr>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15,926,014</w:t>
            </w:r>
          </w:p>
        </w:tc>
        <w:tc>
          <w:tcPr>
            <w:tcW w:w="1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2,336,797</w:t>
            </w:r>
          </w:p>
        </w:tc>
        <w:tc>
          <w:tcPr>
            <w:tcW w:w="1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252,151</w:t>
            </w:r>
          </w:p>
        </w:tc>
        <w:tc>
          <w:tcPr>
            <w:tcW w:w="2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322,053</w:t>
            </w:r>
          </w:p>
        </w:tc>
        <w:tc>
          <w:tcPr>
            <w:tcW w:w="16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330,479</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1" w:lineRule="exact"/>
        <w:rPr>
          <w:sz w:val="20"/>
          <w:szCs w:val="20"/>
          <w:color w:val="auto"/>
        </w:rPr>
      </w:pPr>
    </w:p>
    <w:p>
      <w:pPr>
        <w:ind w:left="500" w:right="60" w:hanging="330"/>
        <w:spacing w:after="0" w:line="265" w:lineRule="auto"/>
        <w:tabs>
          <w:tab w:leader="none" w:pos="4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617,961 LTIP Units earned by employees under the Company’s multi-year long-term incentive awards granted between 2012 and 2021 (i.e., 2012 OPP and 2013 - 2021 MYLTIP awards).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Interest—Common Units</w:t>
      </w:r>
    </w:p>
    <w:p>
      <w:pPr>
        <w:spacing w:after="0" w:line="102" w:lineRule="exact"/>
        <w:rPr>
          <w:sz w:val="20"/>
          <w:szCs w:val="20"/>
          <w:color w:val="auto"/>
        </w:rPr>
      </w:pPr>
    </w:p>
    <w:p>
      <w:pPr>
        <w:ind w:right="280" w:firstLine="445"/>
        <w:spacing w:after="0" w:line="268" w:lineRule="auto"/>
        <w:rPr>
          <w:sz w:val="20"/>
          <w:szCs w:val="20"/>
          <w:color w:val="auto"/>
        </w:rPr>
      </w:pPr>
      <w:r>
        <w:rPr>
          <w:rFonts w:ascii="Arial" w:cs="Arial" w:eastAsia="Arial" w:hAnsi="Arial"/>
          <w:sz w:val="18"/>
          <w:szCs w:val="18"/>
          <w:color w:val="auto"/>
        </w:rPr>
        <w:t>During the nine months ended September 30, 2024, 951,881 OP Units were presented by the holders for redemption (including an aggregate of 105,814 OP Units issued upon conversion of LTIP Units, 2012 OPP Units and MYLTIP Units) and were redeemed by BXP in exchange for an equal number of shares of Common Stock.</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At September 30, 2024, BPLP had outstanding the 2022 - 2024 MYLTIP Units. Prior to the end of the respective three-year performance period for each plan, holders of MYLTIP Units are entitled to receive per unit distributions equal to one-tenth (10%) of the regular quarterly distributions payable on an OP Unit, but will not be entitled to receive any special distributions. After the three-year performance period for each plan has ended, (1) the number of MYLTIP Units, both vested and unvested, that MYLTIP award recipients have earned, if any, based on the establishment of a performance pool, will be entitled to receive distributions in an amount per unit equal to distributions, both regular and special, payable on an OP Unit and (2) with respect to the 2022 - 2024 MYLTIP Units, the Company will make a “catch-up” cash payment on the MYLTIP Units that are ultimately earned in an amount equal to the regular and special dividends, if any, declared during the performance period on a number of shares of Common Stock agreed to the number of 2022 - 2024 MYLTIP Units that are earned, less the distributions actually paid during the performance period on all of the awarded 2022 - 2024 MYLTIP Units.</w:t>
      </w:r>
    </w:p>
    <w:p>
      <w:pPr>
        <w:spacing w:after="0" w:line="127"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On February 1, 2024, the measurement period for the Company’s 2021 MYLTIP awards ended and, based on BXP’s absolute and relative TSR performance, the final payout was determined to be 112% of target, or an aggregate of approximately $12.6 million (after giving effect to employee separations). As a result, an aggregate of 155,625 2021 MYLTIP Units that had been previously granted were automatically forfeited.</w:t>
      </w:r>
    </w:p>
    <w:p>
      <w:pPr>
        <w:spacing w:after="0" w:line="122"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The following table presents BPLP’s distributions on the OP Units and LTIP Units and MYLTIP Units paid or declared in 2024 and during the nine months ended September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Record Date</w:t>
            </w:r>
          </w:p>
        </w:tc>
        <w:tc>
          <w:tcPr>
            <w:tcW w:w="2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Payment Date</w:t>
            </w:r>
          </w:p>
        </w:tc>
        <w:tc>
          <w:tcPr>
            <w:tcW w:w="2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Distributions per OP Unit and</w:t>
            </w:r>
          </w:p>
        </w:tc>
        <w:tc>
          <w:tcPr>
            <w:tcW w:w="2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Distributions per MYLTIP Unit</w:t>
            </w:r>
          </w:p>
        </w:tc>
        <w:tc>
          <w:tcPr>
            <w:tcW w:w="0" w:type="dxa"/>
            <w:vAlign w:val="bottom"/>
          </w:tcPr>
          <w:p>
            <w:pPr>
              <w:spacing w:after="0"/>
              <w:rPr>
                <w:sz w:val="1"/>
                <w:szCs w:val="1"/>
                <w:color w:val="auto"/>
              </w:rPr>
            </w:pPr>
          </w:p>
        </w:tc>
      </w:tr>
      <w:tr>
        <w:trPr>
          <w:trHeight w:val="216"/>
        </w:trPr>
        <w:tc>
          <w:tcPr>
            <w:tcW w:w="3440" w:type="dxa"/>
            <w:vAlign w:val="bottom"/>
            <w:gridSpan w:val="2"/>
            <w:vMerge w:val="continue"/>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2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LTIP Unit</w:t>
            </w: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30, 2024</w:t>
            </w:r>
          </w:p>
        </w:tc>
        <w:tc>
          <w:tcPr>
            <w:tcW w:w="18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31, 2024</w:t>
            </w:r>
          </w:p>
        </w:tc>
        <w:tc>
          <w:tcPr>
            <w:tcW w:w="18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June 28, 2024</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July 31, 2024</w:t>
            </w:r>
          </w:p>
        </w:tc>
        <w:tc>
          <w:tcPr>
            <w:tcW w:w="232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28, 2024</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2024</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December 29, 2023</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January 30, 2024</w:t>
            </w:r>
          </w:p>
        </w:tc>
        <w:tc>
          <w:tcPr>
            <w:tcW w:w="232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29, 2023</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31, 2023</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June 30, 2023</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July 31, 2023</w:t>
            </w:r>
          </w:p>
        </w:tc>
        <w:tc>
          <w:tcPr>
            <w:tcW w:w="232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2023</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28, 2023</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3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December 30, 2022</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January 30, 2023</w:t>
            </w:r>
          </w:p>
        </w:tc>
        <w:tc>
          <w:tcPr>
            <w:tcW w:w="232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must redeem the OP Unit for cash equal to the then value of a share of Common Stock of BXP. BXP may, in its sole discretion, elect to assume and satisfy the redemption obligation by paying either cash or issuing one share of Common Stock. The value of the OP Units (other than OP Units owned by BXP), and LTIP Units (including the 2012 OPP Units and 2013 - 2021 MYLTIP Units), assuming in each case that all conditions had been met for the conversion thereof, had all of such units been redeemed at September 30, 2024 was approximately $1.5 billion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based on the last reported price of a share of Common Stock on the New York Stock Exchange of $80.46 per share on September 30, 2024.</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Interests—Property Partnerships</w:t>
      </w:r>
    </w:p>
    <w:p>
      <w:pPr>
        <w:spacing w:after="0" w:line="102" w:lineRule="exact"/>
        <w:rPr>
          <w:sz w:val="20"/>
          <w:szCs w:val="20"/>
          <w:color w:val="auto"/>
        </w:rPr>
      </w:pPr>
    </w:p>
    <w:p>
      <w:pPr>
        <w:ind w:right="40" w:firstLine="445"/>
        <w:spacing w:after="0" w:line="282" w:lineRule="auto"/>
        <w:rPr>
          <w:sz w:val="20"/>
          <w:szCs w:val="20"/>
          <w:color w:val="auto"/>
        </w:rPr>
      </w:pPr>
      <w:r>
        <w:rPr>
          <w:rFonts w:ascii="Arial" w:cs="Arial" w:eastAsia="Arial" w:hAnsi="Arial"/>
          <w:sz w:val="17"/>
          <w:szCs w:val="17"/>
          <w:color w:val="auto"/>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$1.9 billion and $1.6 billion at September 30, 2024 and December 31, 2023, respectively, are included in Noncontrolling Interests—Property Partnerships on the accompanying Consolidated Balance Sheets.</w:t>
      </w:r>
    </w:p>
    <w:p>
      <w:pPr>
        <w:spacing w:after="0" w:line="10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On March 21, 2024, the Company completed the sale of a 45% interest in 290 Binney Street in Cambridge, Massachusetts.  The institutional investor funded approximately $97.2 million in cash at closing, which is less than 45% of the agreed upon carrying value of the property immediately prior to the transaction.  The institutional investor will fund all construction costs until its equity balance is proportionate to its ownership percentage, after which the Company and the institutional investor will fund the development project based on their respective ownership interests.  The Company retains a 55% ownership interest in the joint venture.  The transaction did not qualify as a sale of real estate for financial reporting purposes as the Company continues to effectively control the property and thus will continue to account for the property on a consolidated basis in its financial statements and no gain was recognized in the Consolidated Statements of Operations.  The Company provides customary development, property management and leasing services to the joint venture. </w:t>
      </w:r>
    </w:p>
    <w:p>
      <w:pPr>
        <w:spacing w:after="0" w:line="13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Company has accounted for the transaction as an equity transaction and as of March 21, 2024 has recognized noncontrolling interest in its Consolidated Balance Sheets totaling approximately $104.6 million, which is equal to 45% of the aggregate carrying value of the total equity of the property immediately prior to the transaction.  The difference between the cash proceeds received and the noncontrolling interest recognized, which was approximately $ 7.5 million, has been reflected as a decrease in additional paid-in capital in the Company’s Consolidated Balance Sheets.  At the end of each reporting period, there will be a reallocation of the partners’ equity balances such that the ending balance in each partners’ capital account reflects each partners’ claim on net assets. These adjustments will impact additional paid-in capital and noncontrolling interest in property partnerships in the Company’s Consolidated Balance Sheets. For the three and nine months ended September 30, 2024, the adjustment was approximately $(27.1) million and $7.8 million, respectively. </w:t>
      </w:r>
    </w:p>
    <w:p>
      <w:pPr>
        <w:spacing w:after="0" w:line="131" w:lineRule="exact"/>
        <w:rPr>
          <w:sz w:val="20"/>
          <w:szCs w:val="20"/>
          <w:color w:val="auto"/>
        </w:rPr>
      </w:pPr>
    </w:p>
    <w:p>
      <w:pPr>
        <w:ind w:right="740" w:firstLine="441"/>
        <w:spacing w:after="0" w:line="287" w:lineRule="auto"/>
        <w:rPr>
          <w:sz w:val="20"/>
          <w:szCs w:val="20"/>
          <w:color w:val="auto"/>
        </w:rPr>
      </w:pPr>
      <w:r>
        <w:rPr>
          <w:rFonts w:ascii="Arial" w:cs="Arial" w:eastAsia="Arial" w:hAnsi="Arial"/>
          <w:sz w:val="18"/>
          <w:szCs w:val="18"/>
          <w:color w:val="auto"/>
        </w:rPr>
        <w:t>290 Binney Street is an approximately 573,000 net rentable square foot laboratory/life sciences development project located in Cambridge, Massachusetts.  The  development project is 100% pre-leased to a life sciences company.  </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 Partners’ Capital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2024, BXP had 157,979,898 shares of Common Stock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2024, BXP owned 1,762,427 general partnership units and 156,217,471 limited partnership units in BPLP.</w:t>
      </w:r>
    </w:p>
    <w:p>
      <w:pPr>
        <w:spacing w:after="0" w:line="17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May 17, 2023, BXP renewed its “at the market”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 $600.0 million ATM stock offering program that was scheduled to expire on May 22, 2023. BXP intends to use the net proceeds from any offering for general business purposes, which may include investment opportunities and debt reduction. No shares of Common Stock have been issued under this ATM stock offering program.</w:t>
      </w:r>
    </w:p>
    <w:p>
      <w:pPr>
        <w:spacing w:after="0" w:line="128"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During the nine months ended September 30, 2024, BXP issued 951,881 shares of Common Stock in connection with the redemption of an equal number of redeemable OP Units from limited partners.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The following table presents BXP’s dividends per share and BPLP’s distributions per OP Unit and LTIP Unit paid or declared in 2024 and during the nine months ended September 30,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Record Date</w:t>
            </w:r>
          </w:p>
        </w:tc>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auto"/>
              </w:rPr>
              <w:t>Payment Date</w:t>
            </w:r>
          </w:p>
        </w:tc>
        <w:tc>
          <w:tcPr>
            <w:tcW w:w="2560" w:type="dxa"/>
            <w:vAlign w:val="bottom"/>
            <w:gridSpan w:val="2"/>
          </w:tcPr>
          <w:p>
            <w:pPr>
              <w:ind w:left="680"/>
              <w:spacing w:after="0"/>
              <w:rPr>
                <w:sz w:val="20"/>
                <w:szCs w:val="20"/>
                <w:color w:val="auto"/>
              </w:rPr>
            </w:pPr>
            <w:r>
              <w:rPr>
                <w:rFonts w:ascii="Arial" w:cs="Arial" w:eastAsia="Arial" w:hAnsi="Arial"/>
                <w:sz w:val="16"/>
                <w:szCs w:val="16"/>
                <w:b w:val="1"/>
                <w:bCs w:val="1"/>
                <w:color w:val="auto"/>
              </w:rPr>
              <w:t>Dividend (Per Share)</w:t>
            </w:r>
          </w:p>
        </w:tc>
        <w:tc>
          <w:tcPr>
            <w:tcW w:w="2300" w:type="dxa"/>
            <w:vAlign w:val="bottom"/>
          </w:tcPr>
          <w:p>
            <w:pPr>
              <w:jc w:val="right"/>
              <w:spacing w:after="0"/>
              <w:rPr>
                <w:sz w:val="20"/>
                <w:szCs w:val="20"/>
                <w:color w:val="auto"/>
              </w:rPr>
            </w:pPr>
            <w:r>
              <w:rPr>
                <w:rFonts w:ascii="Arial" w:cs="Arial" w:eastAsia="Arial" w:hAnsi="Arial"/>
                <w:sz w:val="16"/>
                <w:szCs w:val="16"/>
                <w:b w:val="1"/>
                <w:bCs w:val="1"/>
                <w:color w:val="auto"/>
              </w:rPr>
              <w:t>Distribution (Per Unit)</w:t>
            </w:r>
          </w:p>
        </w:tc>
      </w:tr>
      <w:tr>
        <w:trPr>
          <w:trHeight w:val="223"/>
        </w:trPr>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30, 2024</w:t>
            </w:r>
          </w:p>
        </w:tc>
        <w:tc>
          <w:tcPr>
            <w:tcW w:w="18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31, 2024</w:t>
            </w:r>
          </w:p>
        </w:tc>
        <w:tc>
          <w:tcPr>
            <w:tcW w:w="18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June 28, 2024</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July 31, 2024</w:t>
            </w: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28, 2024</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2024</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December 29, 2023</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January 30, 2024</w:t>
            </w: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29, 2023</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31, 2023</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June 30, 2023</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July 31, 2023</w:t>
            </w: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2023</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28, 2023</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3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December 30, 2022</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January 30, 2023</w:t>
            </w: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04"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The following tables present reconciliations of Net Income (Loss) Attributable to BXP, Inc. to the Company’s share of Net Operating Income and Net Income (Loss) Attributable to Boston Properties Limited Partnership to the Company’s share of Net Operating Income for the three and nine months ended September 30, 2024 and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740" w:type="dxa"/>
            <w:vAlign w:val="bottom"/>
            <w:gridSpan w:val="7"/>
          </w:tcPr>
          <w:p>
            <w:pPr>
              <w:ind w:left="40"/>
              <w:spacing w:after="0"/>
              <w:rPr>
                <w:sz w:val="20"/>
                <w:szCs w:val="20"/>
                <w:color w:val="auto"/>
              </w:rPr>
            </w:pPr>
            <w:r>
              <w:rPr>
                <w:rFonts w:ascii="Arial" w:cs="Arial" w:eastAsia="Arial" w:hAnsi="Arial"/>
                <w:sz w:val="16"/>
                <w:szCs w:val="16"/>
                <w:b w:val="1"/>
                <w:bCs w:val="1"/>
                <w:color w:val="auto"/>
              </w:rPr>
              <w:t>Three months ended September</w:t>
            </w:r>
          </w:p>
        </w:tc>
        <w:tc>
          <w:tcPr>
            <w:tcW w:w="2560" w:type="dxa"/>
            <w:vAlign w:val="bottom"/>
            <w:gridSpan w:val="6"/>
          </w:tcPr>
          <w:p>
            <w:pPr>
              <w:jc w:val="right"/>
              <w:spacing w:after="0"/>
              <w:rPr>
                <w:sz w:val="20"/>
                <w:szCs w:val="20"/>
                <w:color w:val="auto"/>
              </w:rPr>
            </w:pPr>
            <w:r>
              <w:rPr>
                <w:rFonts w:ascii="Arial" w:cs="Arial" w:eastAsia="Arial" w:hAnsi="Arial"/>
                <w:sz w:val="16"/>
                <w:szCs w:val="16"/>
                <w:b w:val="1"/>
                <w:bCs w:val="1"/>
                <w:color w:val="auto"/>
              </w:rPr>
              <w:t>Nine months ended September</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w w:val="89"/>
              </w:rPr>
              <w:t>30,</w:t>
            </w:r>
          </w:p>
        </w:tc>
        <w:tc>
          <w:tcPr>
            <w:tcW w:w="9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570"/>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BXP, Inc.</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83,628</w:t>
            </w:r>
          </w:p>
        </w:tc>
        <w:tc>
          <w:tcPr>
            <w:tcW w:w="4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(111,826)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243,126</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70,290</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interest—common units of the Operating Partnership</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w:t>
            </w:r>
          </w:p>
        </w:tc>
        <w:tc>
          <w:tcPr>
            <w:tcW w:w="0" w:type="dxa"/>
            <w:vAlign w:val="bottom"/>
          </w:tcPr>
          <w:p>
            <w:pPr>
              <w:spacing w:after="0"/>
              <w:rPr>
                <w:sz w:val="1"/>
                <w:szCs w:val="1"/>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Noncontrolling interests in property partnerships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15,237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20,909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50,283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59,337</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163,194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147,812</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474,727</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424,492</w:t>
            </w:r>
          </w:p>
        </w:tc>
        <w:tc>
          <w:tcPr>
            <w:tcW w:w="0" w:type="dxa"/>
            <w:vAlign w:val="bottom"/>
          </w:tcPr>
          <w:p>
            <w:pPr>
              <w:spacing w:after="0"/>
              <w:rPr>
                <w:sz w:val="1"/>
                <w:szCs w:val="1"/>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Impairment loss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income from unconsolidated joint ventures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122,175</w:t>
            </w:r>
          </w:p>
        </w:tc>
        <w:tc>
          <w:tcPr>
            <w:tcW w:w="0" w:type="dxa"/>
            <w:vAlign w:val="bottom"/>
          </w:tcPr>
          <w:p>
            <w:pPr>
              <w:spacing w:after="0"/>
              <w:rPr>
                <w:sz w:val="1"/>
                <w:szCs w:val="1"/>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222,890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207,435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661,148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618,746</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Payroll and related costs from management services contracts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12,090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127,479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131,387</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Net operating income attributable to noncontrolling interests in</w:t>
            </w: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44,487</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50,047</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138,448</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145,102</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property partnerships</w:t>
            </w:r>
          </w:p>
        </w:tc>
        <w:tc>
          <w:tcPr>
            <w:tcW w:w="2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Unrealized gain (loss) on non-real estate investment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(losses) from investments in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Interest and other income (loss)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39,747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48,999</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on sales of real estate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Income (loss) from unconsolidated joint ventures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(247,556)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6,376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(261,793)</w:t>
            </w: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Direct reimbursements of payroll and related costs from</w:t>
            </w: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management services contracts</w:t>
            </w:r>
          </w:p>
        </w:tc>
        <w:tc>
          <w:tcPr>
            <w:tcW w:w="2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Development and management services revenue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9,284</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19,276</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28,122</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Company’s share of Net Operating Income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498,510</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490,999</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1,489,103</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1,473,449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39</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5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9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276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September</w:t>
            </w:r>
          </w:p>
        </w:tc>
        <w:tc>
          <w:tcPr>
            <w:tcW w:w="2560" w:type="dxa"/>
            <w:vAlign w:val="bottom"/>
            <w:gridSpan w:val="6"/>
          </w:tcPr>
          <w:p>
            <w:pPr>
              <w:jc w:val="right"/>
              <w:spacing w:after="0"/>
              <w:rPr>
                <w:sz w:val="20"/>
                <w:szCs w:val="20"/>
                <w:color w:val="auto"/>
              </w:rPr>
            </w:pPr>
            <w:r>
              <w:rPr>
                <w:rFonts w:ascii="Arial" w:cs="Arial" w:eastAsia="Arial" w:hAnsi="Arial"/>
                <w:sz w:val="16"/>
                <w:szCs w:val="16"/>
                <w:b w:val="1"/>
                <w:bCs w:val="1"/>
                <w:color w:val="auto"/>
              </w:rPr>
              <w:t>Nine months ended September</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w w:val="98"/>
              </w:rPr>
              <w:t>30,</w:t>
            </w:r>
          </w:p>
        </w:tc>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Boston Properties Limited Partnership</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94,919</w:t>
            </w:r>
          </w:p>
        </w:tc>
        <w:tc>
          <w:tcPr>
            <w:tcW w:w="4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(122,696)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276,826</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84,232</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 in property partnerships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15,237</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59,337</w:t>
            </w:r>
          </w:p>
        </w:tc>
        <w:tc>
          <w:tcPr>
            <w:tcW w:w="0" w:type="dxa"/>
            <w:vAlign w:val="bottom"/>
          </w:tcPr>
          <w:p>
            <w:pPr>
              <w:spacing w:after="0"/>
              <w:rPr>
                <w:sz w:val="1"/>
                <w:szCs w:val="1"/>
                <w:color w:val="auto"/>
              </w:rPr>
            </w:pPr>
          </w:p>
        </w:tc>
      </w:tr>
      <w:tr>
        <w:trPr>
          <w:trHeight w:val="230"/>
        </w:trPr>
        <w:tc>
          <w:tcPr>
            <w:tcW w:w="59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163,194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147,812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474,727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424,492</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loss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tcPr>
          <w:p>
            <w:pPr>
              <w:ind w:left="360"/>
              <w:spacing w:after="0"/>
              <w:rPr>
                <w:sz w:val="20"/>
                <w:szCs w:val="20"/>
                <w:color w:val="auto"/>
              </w:rPr>
            </w:pPr>
            <w:r>
              <w:rPr>
                <w:rFonts w:ascii="Arial" w:cs="Arial" w:eastAsia="Arial" w:hAnsi="Arial"/>
                <w:sz w:val="18"/>
                <w:szCs w:val="18"/>
                <w:color w:val="auto"/>
              </w:rPr>
              <w:t>Net operating income from unconsolidated joint ventures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31,919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39,165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98,936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122,175</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221,186</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205,679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656,044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613,446</w:t>
            </w:r>
          </w:p>
        </w:tc>
        <w:tc>
          <w:tcPr>
            <w:tcW w:w="0" w:type="dxa"/>
            <w:vAlign w:val="bottom"/>
          </w:tcPr>
          <w:p>
            <w:pPr>
              <w:spacing w:after="0"/>
              <w:rPr>
                <w:sz w:val="1"/>
                <w:szCs w:val="1"/>
                <w:color w:val="auto"/>
              </w:rPr>
            </w:pPr>
          </w:p>
        </w:tc>
      </w:tr>
      <w:tr>
        <w:trPr>
          <w:trHeight w:val="229"/>
        </w:trPr>
        <w:tc>
          <w:tcPr>
            <w:tcW w:w="592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and related costs from management services contracts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29"/>
        </w:trPr>
        <w:tc>
          <w:tcPr>
            <w:tcW w:w="5920" w:type="dxa"/>
            <w:vAlign w:val="bottom"/>
          </w:tcPr>
          <w:p>
            <w:pPr>
              <w:ind w:left="36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33,352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127,479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131,387</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20" w:type="dxa"/>
            <w:vAlign w:val="bottom"/>
          </w:tcPr>
          <w:p>
            <w:pPr>
              <w:ind w:left="360"/>
              <w:spacing w:after="0" w:line="176" w:lineRule="exact"/>
              <w:rPr>
                <w:sz w:val="20"/>
                <w:szCs w:val="20"/>
                <w:color w:val="auto"/>
              </w:rPr>
            </w:pPr>
            <w:r>
              <w:rPr>
                <w:rFonts w:ascii="Arial" w:cs="Arial" w:eastAsia="Arial" w:hAnsi="Arial"/>
                <w:sz w:val="18"/>
                <w:szCs w:val="18"/>
                <w:color w:val="auto"/>
              </w:rPr>
              <w:t>Net operating income attributable to noncontrolling interests in</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44,487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50,047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138,448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145,102</w:t>
            </w:r>
          </w:p>
        </w:tc>
        <w:tc>
          <w:tcPr>
            <w:tcW w:w="0" w:type="dxa"/>
            <w:vAlign w:val="bottom"/>
          </w:tcPr>
          <w:p>
            <w:pPr>
              <w:spacing w:after="0"/>
              <w:rPr>
                <w:sz w:val="1"/>
                <w:szCs w:val="1"/>
                <w:color w:val="auto"/>
              </w:rPr>
            </w:pPr>
          </w:p>
        </w:tc>
      </w:tr>
      <w:tr>
        <w:trPr>
          <w:trHeight w:val="243"/>
        </w:trPr>
        <w:tc>
          <w:tcPr>
            <w:tcW w:w="5920" w:type="dxa"/>
            <w:vAlign w:val="bottom"/>
          </w:tcPr>
          <w:p>
            <w:pPr>
              <w:ind w:left="600"/>
              <w:spacing w:after="0"/>
              <w:rPr>
                <w:sz w:val="20"/>
                <w:szCs w:val="20"/>
                <w:color w:val="auto"/>
              </w:rPr>
            </w:pPr>
            <w:r>
              <w:rPr>
                <w:rFonts w:ascii="Arial" w:cs="Arial" w:eastAsia="Arial" w:hAnsi="Arial"/>
                <w:sz w:val="18"/>
                <w:szCs w:val="18"/>
                <w:color w:val="auto"/>
              </w:rPr>
              <w:t>property partnerships</w:t>
            </w: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non-real estate investment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5920" w:type="dxa"/>
            <w:vAlign w:val="bottom"/>
          </w:tcPr>
          <w:p>
            <w:pPr>
              <w:ind w:left="360"/>
              <w:spacing w:after="0"/>
              <w:rPr>
                <w:sz w:val="20"/>
                <w:szCs w:val="20"/>
                <w:color w:val="auto"/>
              </w:rPr>
            </w:pPr>
            <w:r>
              <w:rPr>
                <w:rFonts w:ascii="Arial" w:cs="Arial" w:eastAsia="Arial" w:hAnsi="Arial"/>
                <w:sz w:val="18"/>
                <w:szCs w:val="18"/>
                <w:color w:val="auto"/>
              </w:rPr>
              <w:t>Gains (losses) from investments in securities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income (loss)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48,999</w:t>
            </w:r>
          </w:p>
        </w:tc>
        <w:tc>
          <w:tcPr>
            <w:tcW w:w="0" w:type="dxa"/>
            <w:vAlign w:val="bottom"/>
          </w:tcPr>
          <w:p>
            <w:pPr>
              <w:spacing w:after="0"/>
              <w:rPr>
                <w:sz w:val="1"/>
                <w:szCs w:val="1"/>
                <w:color w:val="auto"/>
              </w:rPr>
            </w:pPr>
          </w:p>
        </w:tc>
      </w:tr>
      <w:tr>
        <w:trPr>
          <w:trHeight w:val="229"/>
        </w:trPr>
        <w:tc>
          <w:tcPr>
            <w:tcW w:w="5920" w:type="dxa"/>
            <w:vAlign w:val="bottom"/>
          </w:tcPr>
          <w:p>
            <w:pPr>
              <w:ind w:left="360"/>
              <w:spacing w:after="0"/>
              <w:rPr>
                <w:sz w:val="20"/>
                <w:szCs w:val="20"/>
                <w:color w:val="auto"/>
              </w:rPr>
            </w:pPr>
            <w:r>
              <w:rPr>
                <w:rFonts w:ascii="Arial" w:cs="Arial" w:eastAsia="Arial" w:hAnsi="Arial"/>
                <w:sz w:val="18"/>
                <w:szCs w:val="18"/>
                <w:color w:val="auto"/>
              </w:rPr>
              <w:t>Gains on sales of real estate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unconsolidated joint ventures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(247,556)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(261,793)</w:t>
            </w:r>
          </w:p>
        </w:tc>
        <w:tc>
          <w:tcPr>
            <w:tcW w:w="0" w:type="dxa"/>
            <w:vAlign w:val="bottom"/>
          </w:tcPr>
          <w:p>
            <w:pPr>
              <w:spacing w:after="0"/>
              <w:rPr>
                <w:sz w:val="1"/>
                <w:szCs w:val="1"/>
                <w:color w:val="auto"/>
              </w:rPr>
            </w:pPr>
          </w:p>
        </w:tc>
      </w:tr>
      <w:tr>
        <w:trPr>
          <w:trHeight w:val="175"/>
        </w:trPr>
        <w:tc>
          <w:tcPr>
            <w:tcW w:w="5920" w:type="dxa"/>
            <w:vAlign w:val="bottom"/>
          </w:tcPr>
          <w:p>
            <w:pPr>
              <w:ind w:left="360"/>
              <w:spacing w:after="0" w:line="176" w:lineRule="exact"/>
              <w:rPr>
                <w:sz w:val="20"/>
                <w:szCs w:val="20"/>
                <w:color w:val="auto"/>
              </w:rPr>
            </w:pPr>
            <w:r>
              <w:rPr>
                <w:rFonts w:ascii="Arial" w:cs="Arial" w:eastAsia="Arial" w:hAnsi="Arial"/>
                <w:sz w:val="18"/>
                <w:szCs w:val="18"/>
                <w:color w:val="auto"/>
              </w:rPr>
              <w:t>Direct reimbursements of payroll and related costs from</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3,649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3,906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12,090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43"/>
        </w:trPr>
        <w:tc>
          <w:tcPr>
            <w:tcW w:w="5920" w:type="dxa"/>
            <w:vAlign w:val="bottom"/>
          </w:tcPr>
          <w:p>
            <w:pPr>
              <w:ind w:left="600"/>
              <w:spacing w:after="0"/>
              <w:rPr>
                <w:sz w:val="20"/>
                <w:szCs w:val="20"/>
                <w:color w:val="auto"/>
              </w:rPr>
            </w:pPr>
            <w:r>
              <w:rPr>
                <w:rFonts w:ascii="Arial" w:cs="Arial" w:eastAsia="Arial" w:hAnsi="Arial"/>
                <w:sz w:val="18"/>
                <w:szCs w:val="18"/>
                <w:color w:val="auto"/>
              </w:rPr>
              <w:t>management services contracts</w:t>
            </w: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and management services revenue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28,122</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Company’s share of Net Operating Income</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498,510</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490,999</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1,489,103</w:t>
            </w:r>
          </w:p>
        </w:tc>
        <w:tc>
          <w:tcPr>
            <w:tcW w:w="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1,473,449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Net operating income (“NOI”) is a non-GAAP financial measure equal to net income (loss) attributable to BXP, Inc. and net income (loss) attributable to Boston Properties Limited Partnership, as applicable, the most directly comparable GAAP financial measures, plus (1) net income (loss) attributable to noncontrolling interests, interest expense, impairment loss, depreciation and amortization expense, transaction costs, payroll and related costs from management services contracts and corporate general and administrative expense less (2) unrealized gain (loss) on non-real estate investment, gains (losses) from investments in securities, interest and other income (loss), gains on sales of real estate, income (loss) from unconsolidated joint ventures, direct reimbursements of payroll and related costs from management services contracts and development and management services revenue. The Company believes NOI is useful to investors as a performance measure and believes it provides useful information to investors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(loss) attributable to BXP, Inc. and net income (loss)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the Company may not be comparable to NOI reported by other REITs or real estate companies that define NOI differently.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Company’s internal reporting utilizes its share of NOI, which includes its share of NOI from consolidated and unconsolidated joint ventures, which is a non-GAAP financial measure that is calculated as the consolidated amount, plus the Company’s share of the amount from the Company’s unconsolidated joint ventures (calculated based upon the Company’s economic percentage ownership interest and, in some cases, after priority allocations), less the Company’s partners’ share of the amount from the Company’s consolidated joint ventures (calculated based upon the partners’ economic percentage ownership interests and, in some cases, after priority allocations, income allocation to private REIT shareholders and their share of fees due to the Company). The Company’s share of NOI from unconsolidated joint ventures, as defined above, also does not include its share of loss from early extinguishment of debt, unrealized gain (loss) on derivative instruments, gain on sale / consolidation, gain on investment, and impairment losses on investments, all of which are included within Income (Loss) from Unconsolidated Joint Ventures in the Company’s Consolidated Statements of Operations. Management utilizes its share of NOI in assessing its performance as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the presentations of the Company’s share of NOI should not be considered a substitute for, and should only be considered together with and as a supplement to, the Company’s financial information presented in accordance with GAAP.</w:t>
      </w:r>
    </w:p>
    <w:p>
      <w:pPr>
        <w:spacing w:after="0" w:line="129"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Asset information by segment is not reported because the Company does not use this measure to assess performance. Therefore, depreciation and amortization expense is not allocated among segments. Interest expense, impairment loss, depreciation and amortization expense, transaction costs, payroll and related costs from management services contracts, corporate general and administrative expense, unrealized gain (loss) on non-real estate investment, gains (losses) from investments in securities, interest and other income (loss), gains on sales of real estate, income (loss) from unconsolidated joint ventures, direct reimbursements of payroll and related costs from management services contracts and development and management services revenue are not included in NOI and are provided as reconciling items to the Company’s reconciliations of its share of NOI to net income.</w:t>
      </w:r>
    </w:p>
    <w:p>
      <w:pPr>
        <w:spacing w:after="0" w:line="129"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The Company’s segments are based on the Company’s method of internal reporting which classifies its operations by geographic area. The Company’s segments by geographic area are Boston, Los Angeles, New York, San Francisco, Seattle and Washington, DC. The Company also presents information for each segment by property type, including Office (which includes office, life sciences and retail), Residential and Hotel.</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by geographic area and property type (dollars in thousands):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September 30,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Boston</w:t>
            </w:r>
          </w:p>
        </w:tc>
        <w:tc>
          <w:tcPr>
            <w:tcW w:w="1240" w:type="dxa"/>
            <w:vAlign w:val="bottom"/>
            <w:gridSpan w:val="3"/>
          </w:tcPr>
          <w:p>
            <w:pPr>
              <w:ind w:left="120"/>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New York</w:t>
            </w:r>
          </w:p>
        </w:tc>
        <w:tc>
          <w:tcPr>
            <w:tcW w:w="1320" w:type="dxa"/>
            <w:vAlign w:val="bottom"/>
            <w:gridSpan w:val="3"/>
          </w:tcPr>
          <w:p>
            <w:pPr>
              <w:ind w:left="80"/>
              <w:spacing w:after="0"/>
              <w:rPr>
                <w:sz w:val="20"/>
                <w:szCs w:val="20"/>
                <w:color w:val="auto"/>
              </w:rPr>
            </w:pPr>
            <w:r>
              <w:rPr>
                <w:rFonts w:ascii="Arial" w:cs="Arial" w:eastAsia="Arial" w:hAnsi="Arial"/>
                <w:sz w:val="15"/>
                <w:szCs w:val="15"/>
                <w:b w:val="1"/>
                <w:bCs w:val="1"/>
                <w:color w:val="auto"/>
              </w:rPr>
              <w:t>San Francisco</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Seattle</w:t>
            </w:r>
          </w:p>
        </w:tc>
        <w:tc>
          <w:tcPr>
            <w:tcW w:w="1480" w:type="dxa"/>
            <w:vAlign w:val="bottom"/>
            <w:gridSpan w:val="3"/>
          </w:tcPr>
          <w:p>
            <w:pPr>
              <w:ind w:left="100"/>
              <w:spacing w:after="0"/>
              <w:rPr>
                <w:sz w:val="20"/>
                <w:szCs w:val="20"/>
                <w:color w:val="auto"/>
              </w:rPr>
            </w:pPr>
            <w:r>
              <w:rPr>
                <w:rFonts w:ascii="Arial" w:cs="Arial" w:eastAsia="Arial" w:hAnsi="Arial"/>
                <w:sz w:val="15"/>
                <w:szCs w:val="15"/>
                <w:b w:val="1"/>
                <w:bCs w:val="1"/>
                <w:color w:val="auto"/>
              </w:rPr>
              <w:t>Washington, DC</w:t>
            </w: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Office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300,613</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18,661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258,295</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128,929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10,821</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104,290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821,609</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12,117</w:t>
            </w: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15,082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15,082</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319,914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18,661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258,295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132,081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10,821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109,036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848,808</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37.69 %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30.43 %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Office</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107,876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7,344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111,419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52,410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3,382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39,478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321,909</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5,988</w:t>
            </w: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9,833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9,833</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119,330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7,344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111,419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54,756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3,382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41,499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337,730</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32.99 %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operating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200,584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11,317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146,876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77,325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7,439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67,537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511,078</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39.25 %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2.21 %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13.21 %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Net operating income</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attributable to</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noncontrolling interests</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(10,823)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(33,664)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(44,487)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 property partnerships</w:t>
            </w: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Arial" w:cs="Arial" w:eastAsia="Arial" w:hAnsi="Arial"/>
                <w:sz w:val="16"/>
                <w:szCs w:val="16"/>
                <w:color w:val="auto"/>
              </w:rPr>
              <w:t>Add: Company’s share of net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operating income from</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unconsolidated joint</w:t>
            </w:r>
          </w:p>
        </w:tc>
        <w:tc>
          <w:tcPr>
            <w:tcW w:w="220" w:type="dxa"/>
            <w:vAlign w:val="bottom"/>
          </w:tcPr>
          <w:p>
            <w:pPr>
              <w:spacing w:after="0"/>
              <w:rPr>
                <w:sz w:val="14"/>
                <w:szCs w:val="14"/>
                <w:color w:val="auto"/>
              </w:rPr>
            </w:pPr>
          </w:p>
        </w:tc>
        <w:tc>
          <w:tcPr>
            <w:tcW w:w="980" w:type="dxa"/>
            <w:vAlign w:val="bottom"/>
            <w:vMerge w:val="restart"/>
          </w:tcPr>
          <w:p>
            <w:pPr>
              <w:jc w:val="right"/>
              <w:ind w:right="139"/>
              <w:spacing w:after="0"/>
              <w:rPr>
                <w:sz w:val="20"/>
                <w:szCs w:val="20"/>
                <w:color w:val="auto"/>
              </w:rPr>
            </w:pPr>
            <w:r>
              <w:rPr>
                <w:rFonts w:ascii="Arial" w:cs="Arial" w:eastAsia="Arial" w:hAnsi="Arial"/>
                <w:sz w:val="16"/>
                <w:szCs w:val="16"/>
                <w:color w:val="auto"/>
              </w:rPr>
              <w:t>9,099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color w:val="auto"/>
              </w:rPr>
              <w:t>6,835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color w:val="auto"/>
              </w:rPr>
              <w:t>3,472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4,285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6,329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31,919</w:t>
            </w:r>
          </w:p>
        </w:tc>
        <w:tc>
          <w:tcPr>
            <w:tcW w:w="0" w:type="dxa"/>
            <w:vAlign w:val="bottom"/>
          </w:tcPr>
          <w:p>
            <w:pPr>
              <w:spacing w:after="0"/>
              <w:rPr>
                <w:sz w:val="1"/>
                <w:szCs w:val="1"/>
                <w:color w:val="auto"/>
              </w:rPr>
            </w:pPr>
          </w:p>
        </w:tc>
      </w:tr>
      <w:tr>
        <w:trPr>
          <w:trHeight w:val="215"/>
        </w:trPr>
        <w:tc>
          <w:tcPr>
            <w:tcW w:w="22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ventures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Company’s share of net</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198,860</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18,152</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116,684</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81,610</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9,338</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73,866</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498,510</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39.89 %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3.64 %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23.41 %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16.37 %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1.87 %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14.82 %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660" w:right="120" w:hanging="328"/>
        <w:spacing w:after="0" w:line="258"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September 30,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Boston</w:t>
            </w:r>
          </w:p>
        </w:tc>
        <w:tc>
          <w:tcPr>
            <w:tcW w:w="1240" w:type="dxa"/>
            <w:vAlign w:val="bottom"/>
            <w:gridSpan w:val="3"/>
          </w:tcPr>
          <w:p>
            <w:pPr>
              <w:ind w:left="120"/>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5"/>
                <w:szCs w:val="15"/>
                <w:b w:val="1"/>
                <w:bCs w:val="1"/>
                <w:color w:val="auto"/>
              </w:rPr>
              <w:t>New York</w:t>
            </w:r>
          </w:p>
        </w:tc>
        <w:tc>
          <w:tcPr>
            <w:tcW w:w="1300" w:type="dxa"/>
            <w:vAlign w:val="bottom"/>
            <w:gridSpan w:val="3"/>
          </w:tcPr>
          <w:p>
            <w:pPr>
              <w:ind w:left="80"/>
              <w:spacing w:after="0"/>
              <w:rPr>
                <w:sz w:val="20"/>
                <w:szCs w:val="20"/>
                <w:color w:val="auto"/>
              </w:rPr>
            </w:pPr>
            <w:r>
              <w:rPr>
                <w:rFonts w:ascii="Arial" w:cs="Arial" w:eastAsia="Arial" w:hAnsi="Arial"/>
                <w:sz w:val="15"/>
                <w:szCs w:val="15"/>
                <w:b w:val="1"/>
                <w:bCs w:val="1"/>
                <w:color w:val="auto"/>
              </w:rPr>
              <w:t>San Francisco</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Seattle</w:t>
            </w:r>
          </w:p>
        </w:tc>
        <w:tc>
          <w:tcPr>
            <w:tcW w:w="1420" w:type="dxa"/>
            <w:vAlign w:val="bottom"/>
            <w:gridSpan w:val="3"/>
          </w:tcPr>
          <w:p>
            <w:pPr>
              <w:ind w:left="60"/>
              <w:spacing w:after="0"/>
              <w:rPr>
                <w:sz w:val="20"/>
                <w:szCs w:val="20"/>
                <w:color w:val="auto"/>
              </w:rPr>
            </w:pPr>
            <w:r>
              <w:rPr>
                <w:rFonts w:ascii="Arial" w:cs="Arial" w:eastAsia="Arial" w:hAnsi="Arial"/>
                <w:sz w:val="15"/>
                <w:szCs w:val="15"/>
                <w:b w:val="1"/>
                <w:bCs w:val="1"/>
                <w:color w:val="auto"/>
              </w:rPr>
              <w:t>Washington, DC</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Office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276,153</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268,680</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135,839</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13,660</w:t>
            </w:r>
          </w:p>
        </w:tc>
        <w:tc>
          <w:tcPr>
            <w:tcW w:w="12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91,488</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785,820</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11,789</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13,484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13,484</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293,835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268,680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139,053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13,660</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95,865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811,093</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36.23 %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33.13 %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1.68 %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Office</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97,358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107,462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50,450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2,971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36,213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294,454</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5,738</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9,020</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108,007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107,462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52,671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2,971</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38,101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309,212</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34.75 %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0.96 %</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185,828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161,218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86,382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10,689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57,764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501,881</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32.12 %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Net operating income</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attributable to</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noncontrolling interests</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(11,786)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(38,261)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(50,047)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 property partnerships</w:t>
            </w: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Arial" w:cs="Arial" w:eastAsia="Arial" w:hAnsi="Arial"/>
                <w:sz w:val="16"/>
                <w:szCs w:val="16"/>
                <w:color w:val="auto"/>
              </w:rPr>
              <w:t>Add: Company’s share of net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operating income from</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unconsolidated joint</w:t>
            </w:r>
          </w:p>
        </w:tc>
        <w:tc>
          <w:tcPr>
            <w:tcW w:w="220" w:type="dxa"/>
            <w:vAlign w:val="bottom"/>
          </w:tcPr>
          <w:p>
            <w:pPr>
              <w:spacing w:after="0"/>
              <w:rPr>
                <w:sz w:val="14"/>
                <w:szCs w:val="14"/>
                <w:color w:val="auto"/>
              </w:rPr>
            </w:pPr>
          </w:p>
        </w:tc>
        <w:tc>
          <w:tcPr>
            <w:tcW w:w="980" w:type="dxa"/>
            <w:vAlign w:val="bottom"/>
            <w:vMerge w:val="restart"/>
          </w:tcPr>
          <w:p>
            <w:pPr>
              <w:jc w:val="right"/>
              <w:ind w:right="139"/>
              <w:spacing w:after="0"/>
              <w:rPr>
                <w:sz w:val="20"/>
                <w:szCs w:val="20"/>
                <w:color w:val="auto"/>
              </w:rPr>
            </w:pPr>
            <w:r>
              <w:rPr>
                <w:rFonts w:ascii="Arial" w:cs="Arial" w:eastAsia="Arial" w:hAnsi="Arial"/>
                <w:sz w:val="16"/>
                <w:szCs w:val="16"/>
                <w:color w:val="auto"/>
              </w:rPr>
              <w:t>7,946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color w:val="auto"/>
              </w:rPr>
              <w:t>12,508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3,938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4,023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1,874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8,876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39,165</w:t>
            </w:r>
          </w:p>
        </w:tc>
        <w:tc>
          <w:tcPr>
            <w:tcW w:w="0" w:type="dxa"/>
            <w:vAlign w:val="bottom"/>
          </w:tcPr>
          <w:p>
            <w:pPr>
              <w:spacing w:after="0"/>
              <w:rPr>
                <w:sz w:val="1"/>
                <w:szCs w:val="1"/>
                <w:color w:val="auto"/>
              </w:rPr>
            </w:pPr>
          </w:p>
        </w:tc>
      </w:tr>
      <w:tr>
        <w:trPr>
          <w:trHeight w:val="215"/>
        </w:trPr>
        <w:tc>
          <w:tcPr>
            <w:tcW w:w="22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ventures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Company’s share of net</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181,988</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12,508</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126,895</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90,405</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12,563</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66,640</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490,999</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2.55 %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25.84 %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18.41 %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2.56 %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13.57 %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660" w:right="120" w:hanging="328"/>
        <w:spacing w:after="0" w:line="258"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nine months ended September 30,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5"/>
                <w:szCs w:val="15"/>
                <w:b w:val="1"/>
                <w:bCs w:val="1"/>
                <w:color w:val="auto"/>
              </w:rPr>
              <w:t>Boston</w:t>
            </w:r>
          </w:p>
        </w:tc>
        <w:tc>
          <w:tcPr>
            <w:tcW w:w="1220" w:type="dxa"/>
            <w:vAlign w:val="bottom"/>
            <w:gridSpan w:val="3"/>
          </w:tcPr>
          <w:p>
            <w:pPr>
              <w:ind w:left="100"/>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New York</w:t>
            </w:r>
          </w:p>
        </w:tc>
        <w:tc>
          <w:tcPr>
            <w:tcW w:w="1300" w:type="dxa"/>
            <w:vAlign w:val="bottom"/>
            <w:gridSpan w:val="3"/>
          </w:tcPr>
          <w:p>
            <w:pPr>
              <w:ind w:left="80"/>
              <w:spacing w:after="0"/>
              <w:rPr>
                <w:sz w:val="20"/>
                <w:szCs w:val="20"/>
                <w:color w:val="auto"/>
              </w:rPr>
            </w:pPr>
            <w:r>
              <w:rPr>
                <w:rFonts w:ascii="Arial" w:cs="Arial" w:eastAsia="Arial" w:hAnsi="Arial"/>
                <w:sz w:val="15"/>
                <w:szCs w:val="15"/>
                <w:b w:val="1"/>
                <w:bCs w:val="1"/>
                <w:color w:val="auto"/>
              </w:rPr>
              <w:t>San Francisco</w:t>
            </w: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Seattle</w:t>
            </w:r>
          </w:p>
        </w:tc>
        <w:tc>
          <w:tcPr>
            <w:tcW w:w="1460" w:type="dxa"/>
            <w:vAlign w:val="bottom"/>
            <w:gridSpan w:val="3"/>
          </w:tcPr>
          <w:p>
            <w:pPr>
              <w:ind w:left="80"/>
              <w:spacing w:after="0"/>
              <w:rPr>
                <w:sz w:val="20"/>
                <w:szCs w:val="20"/>
                <w:color w:val="auto"/>
              </w:rPr>
            </w:pPr>
            <w:r>
              <w:rPr>
                <w:rFonts w:ascii="Arial" w:cs="Arial" w:eastAsia="Arial" w:hAnsi="Arial"/>
                <w:sz w:val="15"/>
                <w:szCs w:val="15"/>
                <w:b w:val="1"/>
                <w:bCs w:val="1"/>
                <w:color w:val="auto"/>
              </w:rPr>
              <w:t>Washington, DC</w:t>
            </w:r>
          </w:p>
        </w:tc>
        <w:tc>
          <w:tcPr>
            <w:tcW w:w="22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Office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866,431</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57,534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780,909</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393,252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32,251</w:t>
            </w:r>
          </w:p>
        </w:tc>
        <w:tc>
          <w:tcPr>
            <w:tcW w:w="12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312,298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2,442,675</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10,428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37,027</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38,080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38,080</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917,198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57,534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780,909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403,680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32,251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326,210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2,517,782</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36.42 %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Office</w:t>
            </w:r>
          </w:p>
        </w:tc>
        <w:tc>
          <w:tcPr>
            <w:tcW w:w="22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321,955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20,678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327,376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148,020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9,753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118,285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946,067</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6,733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17,413</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25,687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25,687</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352,399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20,678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327,376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154,753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9,753</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124,208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989,167</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33.10 %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0.99 %</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12.56 %</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564,799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36,856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453,533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248,927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22,498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202,002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1,528,615</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36.96 %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29.67 %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Net operating income</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attributable to</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noncontrolling interests</w:t>
            </w: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(32,803)</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(105,645)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(138,448)</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 property partnerships</w:t>
            </w: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Arial" w:cs="Arial" w:eastAsia="Arial" w:hAnsi="Arial"/>
                <w:sz w:val="16"/>
                <w:szCs w:val="16"/>
                <w:color w:val="auto"/>
              </w:rPr>
              <w:t>Add: Company’s share of net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operating income from</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unconsolidated joint</w:t>
            </w:r>
          </w:p>
        </w:tc>
        <w:tc>
          <w:tcPr>
            <w:tcW w:w="22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26,547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6"/>
                <w:szCs w:val="16"/>
                <w:color w:val="auto"/>
              </w:rPr>
              <w:t>21,118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19"/>
              <w:spacing w:after="0"/>
              <w:rPr>
                <w:sz w:val="20"/>
                <w:szCs w:val="20"/>
                <w:color w:val="auto"/>
              </w:rPr>
            </w:pPr>
            <w:r>
              <w:rPr>
                <w:rFonts w:ascii="Arial" w:cs="Arial" w:eastAsia="Arial" w:hAnsi="Arial"/>
                <w:sz w:val="16"/>
                <w:szCs w:val="16"/>
                <w:color w:val="auto"/>
              </w:rPr>
              <w:t>12,614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13,850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5,713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19,094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98,936</w:t>
            </w:r>
          </w:p>
        </w:tc>
        <w:tc>
          <w:tcPr>
            <w:tcW w:w="0" w:type="dxa"/>
            <w:vAlign w:val="bottom"/>
          </w:tcPr>
          <w:p>
            <w:pPr>
              <w:spacing w:after="0"/>
              <w:rPr>
                <w:sz w:val="1"/>
                <w:szCs w:val="1"/>
                <w:color w:val="auto"/>
              </w:rPr>
            </w:pPr>
          </w:p>
        </w:tc>
      </w:tr>
      <w:tr>
        <w:trPr>
          <w:trHeight w:val="215"/>
        </w:trPr>
        <w:tc>
          <w:tcPr>
            <w:tcW w:w="22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ventures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Company’s share of net</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558,543</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57,974</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360,502</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262,777</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28,211</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221,096</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1,489,103</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37.51 %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24.21 %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14.85 %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660" w:right="120" w:hanging="328"/>
        <w:spacing w:after="0" w:line="258"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nine months ended September 30,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Boston</w:t>
            </w:r>
          </w:p>
        </w:tc>
        <w:tc>
          <w:tcPr>
            <w:tcW w:w="1240" w:type="dxa"/>
            <w:vAlign w:val="bottom"/>
            <w:gridSpan w:val="3"/>
          </w:tcPr>
          <w:p>
            <w:pPr>
              <w:ind w:left="120"/>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5"/>
                <w:szCs w:val="15"/>
                <w:b w:val="1"/>
                <w:bCs w:val="1"/>
                <w:color w:val="auto"/>
              </w:rPr>
              <w:t>New York</w:t>
            </w:r>
          </w:p>
        </w:tc>
        <w:tc>
          <w:tcPr>
            <w:tcW w:w="1320" w:type="dxa"/>
            <w:vAlign w:val="bottom"/>
            <w:gridSpan w:val="3"/>
          </w:tcPr>
          <w:p>
            <w:pPr>
              <w:ind w:left="80"/>
              <w:spacing w:after="0"/>
              <w:rPr>
                <w:sz w:val="20"/>
                <w:szCs w:val="20"/>
                <w:color w:val="auto"/>
              </w:rPr>
            </w:pPr>
            <w:r>
              <w:rPr>
                <w:rFonts w:ascii="Arial" w:cs="Arial" w:eastAsia="Arial" w:hAnsi="Arial"/>
                <w:sz w:val="15"/>
                <w:szCs w:val="15"/>
                <w:b w:val="1"/>
                <w:bCs w:val="1"/>
                <w:color w:val="auto"/>
              </w:rPr>
              <w:t>San Francisco</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Seattle</w:t>
            </w:r>
          </w:p>
        </w:tc>
        <w:tc>
          <w:tcPr>
            <w:tcW w:w="1460" w:type="dxa"/>
            <w:vAlign w:val="bottom"/>
            <w:gridSpan w:val="3"/>
          </w:tcPr>
          <w:p>
            <w:pPr>
              <w:ind w:left="100"/>
              <w:spacing w:after="0"/>
              <w:rPr>
                <w:sz w:val="20"/>
                <w:szCs w:val="20"/>
                <w:color w:val="auto"/>
              </w:rPr>
            </w:pPr>
            <w:r>
              <w:rPr>
                <w:rFonts w:ascii="Arial" w:cs="Arial" w:eastAsia="Arial" w:hAnsi="Arial"/>
                <w:sz w:val="15"/>
                <w:szCs w:val="15"/>
                <w:b w:val="1"/>
                <w:bCs w:val="1"/>
                <w:color w:val="auto"/>
              </w:rPr>
              <w:t>Washington, DC</w:t>
            </w:r>
          </w:p>
        </w:tc>
        <w:tc>
          <w:tcPr>
            <w:tcW w:w="22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Office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815,568</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789,851</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408,173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44,978</w:t>
            </w:r>
          </w:p>
        </w:tc>
        <w:tc>
          <w:tcPr>
            <w:tcW w:w="10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272,872</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2,331,442</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12,371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10,720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12,677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35,768</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35,554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35,554</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863,493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789,851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418,893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44,978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285,549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2,402,764</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32.87 %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Office</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293,004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312,895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144,732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9,013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105,908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865,552</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6,609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5,593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16,984</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23,852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23,852</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321,638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312,895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151,341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9,013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111,501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906,388</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35.49 %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34.52 %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0.99 %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541,855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476,956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267,552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35,965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174,048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1,496,376</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36.22 %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31.87 %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Net operating income</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attributable to</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noncontrolling interests</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(33,946)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(111,156)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(145,102)</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 property partnerships</w:t>
            </w: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Arial" w:cs="Arial" w:eastAsia="Arial" w:hAnsi="Arial"/>
                <w:sz w:val="16"/>
                <w:szCs w:val="16"/>
                <w:color w:val="auto"/>
              </w:rPr>
              <w:t>Add: Company’s share of net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operating income from</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unconsolidated joint</w:t>
            </w:r>
          </w:p>
        </w:tc>
        <w:tc>
          <w:tcPr>
            <w:tcW w:w="220" w:type="dxa"/>
            <w:vAlign w:val="bottom"/>
          </w:tcPr>
          <w:p>
            <w:pPr>
              <w:spacing w:after="0"/>
              <w:rPr>
                <w:sz w:val="14"/>
                <w:szCs w:val="14"/>
                <w:color w:val="auto"/>
              </w:rPr>
            </w:pPr>
          </w:p>
        </w:tc>
        <w:tc>
          <w:tcPr>
            <w:tcW w:w="980" w:type="dxa"/>
            <w:vAlign w:val="bottom"/>
            <w:vMerge w:val="restart"/>
          </w:tcPr>
          <w:p>
            <w:pPr>
              <w:jc w:val="right"/>
              <w:ind w:right="139"/>
              <w:spacing w:after="0"/>
              <w:rPr>
                <w:sz w:val="20"/>
                <w:szCs w:val="20"/>
                <w:color w:val="auto"/>
              </w:rPr>
            </w:pPr>
            <w:r>
              <w:rPr>
                <w:rFonts w:ascii="Arial" w:cs="Arial" w:eastAsia="Arial" w:hAnsi="Arial"/>
                <w:sz w:val="16"/>
                <w:szCs w:val="16"/>
                <w:color w:val="auto"/>
              </w:rPr>
              <w:t>25,294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color w:val="auto"/>
              </w:rPr>
              <w:t>38,501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19"/>
              <w:spacing w:after="0"/>
              <w:rPr>
                <w:sz w:val="20"/>
                <w:szCs w:val="20"/>
                <w:color w:val="auto"/>
              </w:rPr>
            </w:pPr>
            <w:r>
              <w:rPr>
                <w:rFonts w:ascii="Arial" w:cs="Arial" w:eastAsia="Arial" w:hAnsi="Arial"/>
                <w:sz w:val="16"/>
                <w:szCs w:val="16"/>
                <w:color w:val="auto"/>
              </w:rPr>
              <w:t>10,951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6"/>
                <w:szCs w:val="16"/>
                <w:color w:val="auto"/>
              </w:rPr>
              <w:t>10,819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5,598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color w:val="auto"/>
              </w:rPr>
              <w:t>31,012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122,175</w:t>
            </w:r>
          </w:p>
        </w:tc>
        <w:tc>
          <w:tcPr>
            <w:tcW w:w="0" w:type="dxa"/>
            <w:vAlign w:val="bottom"/>
          </w:tcPr>
          <w:p>
            <w:pPr>
              <w:spacing w:after="0"/>
              <w:rPr>
                <w:sz w:val="1"/>
                <w:szCs w:val="1"/>
                <w:color w:val="auto"/>
              </w:rPr>
            </w:pPr>
          </w:p>
        </w:tc>
      </w:tr>
      <w:tr>
        <w:trPr>
          <w:trHeight w:val="215"/>
        </w:trPr>
        <w:tc>
          <w:tcPr>
            <w:tcW w:w="22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ventures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Company’s share of net</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533,203</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38,501</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376,751</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278,371</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41,563</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205,060</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1,473,449</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36.19 %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660" w:right="120" w:hanging="328"/>
        <w:spacing w:after="0" w:line="258" w:lineRule="auto"/>
        <w:tabs>
          <w:tab w:leader="none" w:pos="655" w:val="left"/>
        </w:tabs>
        <w:numPr>
          <w:ilvl w:val="1"/>
          <w:numId w:val="25"/>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26" w:lineRule="exact"/>
        <w:rPr>
          <w:rFonts w:ascii="Arial" w:cs="Arial" w:eastAsia="Arial" w:hAnsi="Arial"/>
          <w:sz w:val="16"/>
          <w:szCs w:val="16"/>
          <w:color w:val="auto"/>
        </w:rPr>
      </w:pPr>
    </w:p>
    <w:p>
      <w:pPr>
        <w:ind w:left="300" w:hanging="292"/>
        <w:spacing w:after="0"/>
        <w:tabs>
          <w:tab w:leader="none" w:pos="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 Common Unit</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BXP</w:t>
      </w:r>
    </w:p>
    <w:p>
      <w:pPr>
        <w:spacing w:after="0" w:line="88"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The following table provides a reconciliation of both the net income (loss) attributable to BXP, Inc. and the number of common shares used in the computation of basic earnings per share (“EPS”), which is calculated by dividing net income (loss) attributable to BXP, Inc. by the weighted-average number of common shares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EPS of BXP using the two-class method. Participating securities are included in the computation of diluted EPS of BXP using the if-converted method if the impact is dilutive. Because the 2012 OPP Units and 2013 - 2021 MYLTIP Units required, and the 2022 - 2024 MYLTIP Units require, BXP to outperform certain performance thresholds, unless such thresholds have been met by the end of the applicable reporting period, BXP excludes such units from the diluted EPS calculation. Other potentially dilutive common shares, including stock options, restricted stock and other securities of BPLP that are exchangeable for BXP’s Common Stock, and the related impact on earnings, are considered when calculating diluted EPS.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rPr>
              <w:t>Three months ended September 30, 2024</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w:t>
            </w: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ind w:right="214"/>
              <w:spacing w:after="0" w:line="155" w:lineRule="exact"/>
              <w:rPr>
                <w:sz w:val="20"/>
                <w:szCs w:val="20"/>
                <w:color w:val="auto"/>
              </w:rPr>
            </w:pPr>
            <w:r>
              <w:rPr>
                <w:rFonts w:ascii="Arial" w:cs="Arial" w:eastAsia="Arial" w:hAnsi="Arial"/>
                <w:sz w:val="16"/>
                <w:szCs w:val="16"/>
                <w:b w:val="1"/>
                <w:bCs w:val="1"/>
                <w:color w:val="auto"/>
              </w:rPr>
              <w:t>Per 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share amounts)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Net income attributable to BXP, Inc.</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83,628</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157,725</w:t>
            </w:r>
          </w:p>
        </w:tc>
        <w:tc>
          <w:tcPr>
            <w:tcW w:w="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Net income attributable to BXP, Inc.</w:t>
            </w: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83,628</w:t>
            </w:r>
          </w:p>
        </w:tc>
        <w:tc>
          <w:tcPr>
            <w:tcW w:w="2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158,213</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5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8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rPr>
              <w:t>Three months ended September 30, 2023</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w:t>
            </w: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ind w:right="214"/>
              <w:spacing w:after="0" w:line="155" w:lineRule="exact"/>
              <w:rPr>
                <w:sz w:val="20"/>
                <w:szCs w:val="20"/>
                <w:color w:val="auto"/>
              </w:rPr>
            </w:pPr>
            <w:r>
              <w:rPr>
                <w:rFonts w:ascii="Arial" w:cs="Arial" w:eastAsia="Arial" w:hAnsi="Arial"/>
                <w:sz w:val="16"/>
                <w:szCs w:val="16"/>
                <w:b w:val="1"/>
                <w:bCs w:val="1"/>
                <w:color w:val="auto"/>
              </w:rPr>
              <w:t>Per 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share amounts)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Net income (loss) attributable to BXP, Inc.</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(111,826)</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156,880</w:t>
            </w:r>
          </w:p>
        </w:tc>
        <w:tc>
          <w:tcPr>
            <w:tcW w:w="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Net income (loss) attributable to BXP, Inc.</w:t>
            </w: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(111,826)</w:t>
            </w:r>
          </w:p>
        </w:tc>
        <w:tc>
          <w:tcPr>
            <w:tcW w:w="2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156,880</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8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rPr>
              <w:t>Nine months ended September 30, 2024</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w:t>
            </w: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ind w:right="214"/>
              <w:spacing w:after="0" w:line="155" w:lineRule="exact"/>
              <w:rPr>
                <w:sz w:val="20"/>
                <w:szCs w:val="20"/>
                <w:color w:val="auto"/>
              </w:rPr>
            </w:pPr>
            <w:r>
              <w:rPr>
                <w:rFonts w:ascii="Arial" w:cs="Arial" w:eastAsia="Arial" w:hAnsi="Arial"/>
                <w:sz w:val="16"/>
                <w:szCs w:val="16"/>
                <w:b w:val="1"/>
                <w:bCs w:val="1"/>
                <w:color w:val="auto"/>
              </w:rPr>
              <w:t>Per 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share amounts)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Net income attributable to BXP, Inc. common shareholders</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243,126</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157,250</w:t>
            </w:r>
          </w:p>
        </w:tc>
        <w:tc>
          <w:tcPr>
            <w:tcW w:w="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Net income attributable to BXP, Inc. common shareholders</w:t>
            </w: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243,126</w:t>
            </w:r>
          </w:p>
        </w:tc>
        <w:tc>
          <w:tcPr>
            <w:tcW w:w="2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157,547</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8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rPr>
              <w:t>Nine months ended September 30, 2023</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w:t>
            </w: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ind w:right="214"/>
              <w:spacing w:after="0" w:line="155" w:lineRule="exact"/>
              <w:rPr>
                <w:sz w:val="20"/>
                <w:szCs w:val="20"/>
                <w:color w:val="auto"/>
              </w:rPr>
            </w:pPr>
            <w:r>
              <w:rPr>
                <w:rFonts w:ascii="Arial" w:cs="Arial" w:eastAsia="Arial" w:hAnsi="Arial"/>
                <w:sz w:val="16"/>
                <w:szCs w:val="16"/>
                <w:b w:val="1"/>
                <w:bCs w:val="1"/>
                <w:color w:val="auto"/>
              </w:rPr>
              <w:t>Per 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share amounts)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Net income attributable to BXP, Inc. common shareholders</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70,290</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156,837</w:t>
            </w:r>
          </w:p>
        </w:tc>
        <w:tc>
          <w:tcPr>
            <w:tcW w:w="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360"/>
              <w:spacing w:after="0" w:line="202" w:lineRule="exact"/>
              <w:rPr>
                <w:sz w:val="20"/>
                <w:szCs w:val="20"/>
                <w:color w:val="auto"/>
              </w:rPr>
            </w:pPr>
            <w:r>
              <w:rPr>
                <w:rFonts w:ascii="Arial" w:cs="Arial" w:eastAsia="Arial" w:hAnsi="Arial"/>
                <w:sz w:val="18"/>
                <w:szCs w:val="18"/>
                <w:color w:val="auto"/>
              </w:rPr>
              <w:t>Net income attributable to BXP, Inc. common shareholders</w:t>
            </w:r>
          </w:p>
        </w:tc>
        <w:tc>
          <w:tcPr>
            <w:tcW w:w="8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70,290</w:t>
            </w: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157,177</w:t>
            </w:r>
          </w:p>
        </w:tc>
        <w:tc>
          <w:tcPr>
            <w:tcW w:w="220" w:type="dxa"/>
            <w:vAlign w:val="bottom"/>
          </w:tcPr>
          <w:p>
            <w:pPr>
              <w:spacing w:after="0"/>
              <w:rPr>
                <w:sz w:val="17"/>
                <w:szCs w:val="17"/>
                <w:color w:val="auto"/>
              </w:rPr>
            </w:pP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0.45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auto"/>
              </w:rPr>
              <w:t>46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42"/>
        </w:trPr>
        <w:tc>
          <w:tcPr>
            <w:tcW w:w="526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BPLP</w:t>
      </w:r>
    </w:p>
    <w:p>
      <w:pPr>
        <w:spacing w:after="0" w:line="102"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The following table provides a reconciliation of both the net income (loss) attributable to Boston Properties Limited Partnership and the number of common units used in the computation of basic earnings per common unit, which is calculated by dividing net income (loss) attributable to Boston Properties Limited Partnership by the weighted-average number of common units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earnings per common unit using the two-class method. Participating securities are included in the computation of diluted earnings per common unit using the if-converted method if the impact is dilutive. Because the 2012 OPP Units and 2013 - 2021 MYLTIP Units required, and the 2022 - 2024 MYLTIP Units require, BXP to outperform certain performance thresholds, unless such thresholds have been met by the end of the applicable reporting period, BPLP excludes such units from the diluted earnings per common unit calculation. Other potentially dilutive common units and the related impact on earnings are considered when calculating diluted earnings per common unit. Included in the number of units (the denominator) below are approximately 17,721,000 and 18,002,000 redeemable common units for the three months ended September 30, 2024 and 2023, respectively, and 18,119,000 and 17,928,000 redeemable common units for the nine months ended September 30, 2024 and 2023, respectively.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rPr>
              <w:t>Three months ended September 30, 2024</w:t>
            </w: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tcBorders>
              <w:top w:val="single" w:sz="8" w:color="auto"/>
            </w:tcBorders>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99"/>
              </w:rPr>
              <w:t>Units</w:t>
            </w: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6"/>
                <w:szCs w:val="16"/>
                <w:b w:val="1"/>
                <w:bCs w:val="1"/>
                <w:color w:val="auto"/>
              </w:rPr>
              <w:t>Per Unit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gridSpan w:val="6"/>
          </w:tcPr>
          <w:p>
            <w:pPr>
              <w:jc w:val="center"/>
              <w:ind w:right="174"/>
              <w:spacing w:after="0"/>
              <w:rPr>
                <w:sz w:val="20"/>
                <w:szCs w:val="20"/>
                <w:color w:val="auto"/>
              </w:rPr>
            </w:pPr>
            <w:r>
              <w:rPr>
                <w:rFonts w:ascii="Arial" w:cs="Arial" w:eastAsia="Arial" w:hAnsi="Arial"/>
                <w:sz w:val="16"/>
                <w:szCs w:val="16"/>
                <w:b w:val="1"/>
                <w:bCs w:val="1"/>
                <w:color w:val="auto"/>
              </w:rPr>
              <w:t>(in thousands, except for per unit amounts)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60"/>
              <w:spacing w:after="0"/>
              <w:rPr>
                <w:sz w:val="20"/>
                <w:szCs w:val="20"/>
                <w:color w:val="auto"/>
              </w:rPr>
            </w:pPr>
            <w:r>
              <w:rPr>
                <w:rFonts w:ascii="Arial" w:cs="Arial" w:eastAsia="Arial" w:hAnsi="Arial"/>
                <w:sz w:val="18"/>
                <w:szCs w:val="18"/>
                <w:color w:val="auto"/>
                <w:w w:val="99"/>
              </w:rPr>
              <w:t>Net income attributable to Boston Properties Limited Partnership</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94,919</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175,446</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w w:val="99"/>
              </w:rPr>
              <w:t>Net income attributable to Boston Properties Limited Partnership</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94,919</w:t>
            </w:r>
          </w:p>
        </w:tc>
        <w:tc>
          <w:tcPr>
            <w:tcW w:w="2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175,934</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8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rPr>
              <w:t>Three months ended September 30, 2023</w:t>
            </w:r>
          </w:p>
        </w:tc>
        <w:tc>
          <w:tcPr>
            <w:tcW w:w="0" w:type="dxa"/>
            <w:vAlign w:val="bottom"/>
          </w:tcPr>
          <w:p>
            <w:pPr>
              <w:spacing w:after="0"/>
              <w:rPr>
                <w:sz w:val="1"/>
                <w:szCs w:val="1"/>
                <w:color w:val="auto"/>
              </w:rPr>
            </w:pPr>
          </w:p>
        </w:tc>
      </w:tr>
      <w:tr>
        <w:trPr>
          <w:trHeight w:val="155"/>
        </w:trPr>
        <w:tc>
          <w:tcPr>
            <w:tcW w:w="5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tcBorders>
              <w:top w:val="single" w:sz="8" w:color="auto"/>
            </w:tcBorders>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99"/>
              </w:rPr>
              <w:t>Units</w:t>
            </w: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6"/>
                <w:szCs w:val="16"/>
                <w:b w:val="1"/>
                <w:bCs w:val="1"/>
                <w:color w:val="auto"/>
              </w:rPr>
              <w:t>Per Unit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gridSpan w:val="6"/>
          </w:tcPr>
          <w:p>
            <w:pPr>
              <w:jc w:val="center"/>
              <w:ind w:right="174"/>
              <w:spacing w:after="0"/>
              <w:rPr>
                <w:sz w:val="20"/>
                <w:szCs w:val="20"/>
                <w:color w:val="auto"/>
              </w:rPr>
            </w:pPr>
            <w:r>
              <w:rPr>
                <w:rFonts w:ascii="Arial" w:cs="Arial" w:eastAsia="Arial" w:hAnsi="Arial"/>
                <w:sz w:val="16"/>
                <w:szCs w:val="16"/>
                <w:b w:val="1"/>
                <w:bCs w:val="1"/>
                <w:color w:val="auto"/>
              </w:rPr>
              <w:t>(in thousands, except for per unit amounts)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line="176" w:lineRule="exact"/>
              <w:rPr>
                <w:sz w:val="20"/>
                <w:szCs w:val="20"/>
                <w:color w:val="auto"/>
              </w:rPr>
            </w:pPr>
            <w:r>
              <w:rPr>
                <w:rFonts w:ascii="Arial" w:cs="Arial" w:eastAsia="Arial" w:hAnsi="Arial"/>
                <w:sz w:val="18"/>
                <w:szCs w:val="18"/>
                <w:color w:val="auto"/>
              </w:rPr>
              <w:t>Net income (loss) attributable to Boston Properties Limited</w:t>
            </w:r>
          </w:p>
        </w:tc>
        <w:tc>
          <w:tcPr>
            <w:tcW w:w="5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(122,696)</w:t>
            </w:r>
          </w:p>
        </w:tc>
        <w:tc>
          <w:tcPr>
            <w:tcW w:w="2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174,882</w:t>
            </w:r>
          </w:p>
        </w:tc>
        <w:tc>
          <w:tcPr>
            <w:tcW w:w="22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520"/>
              <w:spacing w:after="0"/>
              <w:rPr>
                <w:sz w:val="20"/>
                <w:szCs w:val="20"/>
                <w:color w:val="auto"/>
              </w:rPr>
            </w:pPr>
            <w:r>
              <w:rPr>
                <w:rFonts w:ascii="Arial" w:cs="Arial" w:eastAsia="Arial" w:hAnsi="Arial"/>
                <w:sz w:val="18"/>
                <w:szCs w:val="18"/>
                <w:color w:val="auto"/>
              </w:rPr>
              <w:t>Partnership</w:t>
            </w:r>
          </w:p>
        </w:tc>
        <w:tc>
          <w:tcPr>
            <w:tcW w:w="560" w:type="dxa"/>
            <w:vAlign w:val="bottom"/>
            <w:gridSpan w:val="2"/>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line="176" w:lineRule="exact"/>
              <w:rPr>
                <w:sz w:val="20"/>
                <w:szCs w:val="20"/>
                <w:color w:val="auto"/>
              </w:rPr>
            </w:pPr>
            <w:r>
              <w:rPr>
                <w:rFonts w:ascii="Arial" w:cs="Arial" w:eastAsia="Arial" w:hAnsi="Arial"/>
                <w:sz w:val="18"/>
                <w:szCs w:val="18"/>
                <w:color w:val="auto"/>
              </w:rPr>
              <w:t>Net income (loss) attributable to Boston Properties Limited</w:t>
            </w:r>
          </w:p>
        </w:tc>
        <w:tc>
          <w:tcPr>
            <w:tcW w:w="5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(122,696)</w:t>
            </w:r>
          </w:p>
        </w:tc>
        <w:tc>
          <w:tcPr>
            <w:tcW w:w="2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174,882</w:t>
            </w:r>
          </w:p>
        </w:tc>
        <w:tc>
          <w:tcPr>
            <w:tcW w:w="22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520"/>
              <w:spacing w:after="0"/>
              <w:rPr>
                <w:sz w:val="20"/>
                <w:szCs w:val="20"/>
                <w:color w:val="auto"/>
              </w:rPr>
            </w:pPr>
            <w:r>
              <w:rPr>
                <w:rFonts w:ascii="Arial" w:cs="Arial" w:eastAsia="Arial" w:hAnsi="Arial"/>
                <w:sz w:val="18"/>
                <w:szCs w:val="18"/>
                <w:color w:val="auto"/>
              </w:rPr>
              <w:t>Partnership</w:t>
            </w:r>
          </w:p>
        </w:tc>
        <w:tc>
          <w:tcPr>
            <w:tcW w:w="56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47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1"/>
        </w:trPr>
        <w:tc>
          <w:tcPr>
            <w:tcW w:w="550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520" w:hanging="161"/>
        <w:spacing w:after="0" w:line="234"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23" w:lineRule="exact"/>
        <w:rPr>
          <w:sz w:val="20"/>
          <w:szCs w:val="20"/>
          <w:color w:val="auto"/>
        </w:rPr>
      </w:pPr>
    </w:p>
    <w:p>
      <w:pPr>
        <w:ind w:left="520" w:hanging="161"/>
        <w:spacing w:after="0" w:line="234"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Nine months ended September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rPr>
              <w:t>Income</w:t>
            </w:r>
          </w:p>
        </w:tc>
        <w:tc>
          <w:tcPr>
            <w:tcW w:w="186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9"/>
              </w:rPr>
              <w:t>Units</w:t>
            </w: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6"/>
                <w:szCs w:val="16"/>
                <w:b w:val="1"/>
                <w:bCs w:val="1"/>
                <w:color w:val="auto"/>
              </w:rPr>
              <w:t>Per Unit</w:t>
            </w:r>
          </w:p>
        </w:tc>
      </w:tr>
      <w:tr>
        <w:trPr>
          <w:trHeight w:val="216"/>
        </w:trPr>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Amount</w:t>
            </w:r>
          </w:p>
        </w:tc>
      </w:tr>
      <w:tr>
        <w:trPr>
          <w:trHeight w:val="216"/>
        </w:trPr>
        <w:tc>
          <w:tcPr>
            <w:tcW w:w="240" w:type="dxa"/>
            <w:vAlign w:val="bottom"/>
          </w:tcPr>
          <w:p>
            <w:pPr>
              <w:spacing w:after="0"/>
              <w:rPr>
                <w:sz w:val="18"/>
                <w:szCs w:val="18"/>
                <w:color w:val="auto"/>
              </w:rPr>
            </w:pPr>
          </w:p>
        </w:tc>
        <w:tc>
          <w:tcPr>
            <w:tcW w:w="5160" w:type="dxa"/>
            <w:vAlign w:val="bottom"/>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unit amounts)</w:t>
            </w:r>
          </w:p>
        </w:tc>
      </w:tr>
      <w:tr>
        <w:trPr>
          <w:trHeight w:val="645"/>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276,826</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175,369</w:t>
            </w:r>
          </w:p>
        </w:tc>
        <w:tc>
          <w:tcPr>
            <w:tcW w:w="2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455"/>
        </w:trPr>
        <w:tc>
          <w:tcPr>
            <w:tcW w:w="24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01"/>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276,826</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175,666</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80" w:space="360"/>
            <w:col w:w="540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520" w:hanging="161"/>
        <w:spacing w:after="0" w:line="234"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23" w:lineRule="exact"/>
        <w:rPr>
          <w:sz w:val="20"/>
          <w:szCs w:val="20"/>
          <w:color w:val="auto"/>
        </w:rPr>
      </w:pPr>
    </w:p>
    <w:p>
      <w:pPr>
        <w:ind w:left="520" w:hanging="161"/>
        <w:spacing w:after="0" w:line="234"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Nine months ended September 30,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rPr>
              <w:t>Income</w:t>
            </w:r>
          </w:p>
        </w:tc>
        <w:tc>
          <w:tcPr>
            <w:tcW w:w="186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9"/>
              </w:rPr>
              <w:t>Units</w:t>
            </w: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6"/>
                <w:szCs w:val="16"/>
                <w:b w:val="1"/>
                <w:bCs w:val="1"/>
                <w:color w:val="auto"/>
              </w:rPr>
              <w:t>Per Unit</w:t>
            </w:r>
          </w:p>
        </w:tc>
      </w:tr>
      <w:tr>
        <w:trPr>
          <w:trHeight w:val="216"/>
        </w:trPr>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Amount</w:t>
            </w:r>
          </w:p>
        </w:tc>
      </w:tr>
      <w:tr>
        <w:trPr>
          <w:trHeight w:val="216"/>
        </w:trPr>
        <w:tc>
          <w:tcPr>
            <w:tcW w:w="240" w:type="dxa"/>
            <w:vAlign w:val="bottom"/>
          </w:tcPr>
          <w:p>
            <w:pPr>
              <w:spacing w:after="0"/>
              <w:rPr>
                <w:sz w:val="18"/>
                <w:szCs w:val="18"/>
                <w:color w:val="auto"/>
              </w:rPr>
            </w:pPr>
          </w:p>
        </w:tc>
        <w:tc>
          <w:tcPr>
            <w:tcW w:w="5160" w:type="dxa"/>
            <w:vAlign w:val="bottom"/>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unit amounts)</w:t>
            </w:r>
          </w:p>
        </w:tc>
      </w:tr>
      <w:tr>
        <w:trPr>
          <w:trHeight w:val="645"/>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84,232</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174,765</w:t>
            </w:r>
          </w:p>
        </w:tc>
        <w:tc>
          <w:tcPr>
            <w:tcW w:w="2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455"/>
        </w:trPr>
        <w:tc>
          <w:tcPr>
            <w:tcW w:w="24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01"/>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84,232</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175,105</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56" w:lineRule="exact"/>
        <w:rPr>
          <w:sz w:val="20"/>
          <w:szCs w:val="20"/>
          <w:color w:val="auto"/>
        </w:rPr>
      </w:pPr>
    </w:p>
    <w:p>
      <w:pPr>
        <w:sectPr>
          <w:pgSz w:w="11900" w:h="16838" w:orient="portrait"/>
          <w:cols w:equalWidth="0" w:num="2">
            <w:col w:w="5480" w:space="360"/>
            <w:col w:w="5400"/>
          </w:cols>
          <w:pgMar w:left="320" w:top="283" w:right="339" w:bottom="1440" w:gutter="0" w:footer="0" w:header="0"/>
          <w:type w:val="continuous"/>
        </w:sectPr>
      </w:pPr>
    </w:p>
    <w:p>
      <w:pPr>
        <w:ind w:right="240" w:firstLine="445"/>
        <w:spacing w:after="0" w:line="256" w:lineRule="auto"/>
        <w:rPr>
          <w:sz w:val="20"/>
          <w:szCs w:val="20"/>
          <w:color w:val="auto"/>
        </w:rPr>
      </w:pPr>
      <w:r>
        <w:rPr>
          <w:rFonts w:ascii="Arial" w:cs="Arial" w:eastAsia="Arial" w:hAnsi="Arial"/>
          <w:sz w:val="18"/>
          <w:szCs w:val="18"/>
          <w:color w:val="auto"/>
        </w:rPr>
        <w:t>On January 25, 2024, the Compensation Committee of BXP’s Board of Directors approved the grant of 2024 Multi-Year Long-Term Incentive Program (the “2024 MYLTIP”) awards under the Boston Properties, Inc. 2021 Stock Incentive Plan (the “2021 Plan”) to certain executive officers of BXP. The 2024 MYLTIP awards consists of three components. Two of the components, each weighted 40%, utilize BXP’s TSR over a three-year measurement period as the performance metrics and the third component utilizes a leverage ratio as the performance metric. Earned awards will range from zero to a maximum of 330,479 LTIP Units depending on BXP’s performance under the three components, with a target of approximately 165,240 LTIP Units. Under ASC 718 “Compensation - Stock Compensation,” the 2024 MYLTIP awards have an aggregate value of approximately $11.1 million.</w:t>
      </w:r>
    </w:p>
    <w:p>
      <w:pPr>
        <w:spacing w:after="0" w:line="129"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On February 1, 2024, the measurement period for the Company’s 2021 MYLTIP awards ended and, based on BXP’s absolute and relative TSR performance, the final payout was determined to be 112% of target, or an aggregate of approximately $12.6 million (after giving effect to employee separations). As a result, an aggregate of 155,625 2021 MYLTIP Units that had been previously granted were automatically forfeited.</w:t>
      </w:r>
    </w:p>
    <w:p>
      <w:pPr>
        <w:spacing w:after="0" w:line="122"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During the nine months ended September 30, 2024, BXP issued 83,316 shares of restricted common stock and BPLP issued 451,044 LTIP Units and 330,479 2024 MYLTIP Units to employees and non-employee directors under the 2021 Plan. Employees and non-employee directors paid $0.01 per share of restricted common stock and $0.25 per LTIP Unit and 2024 MYLTIP Unit. When issued, LTIP Units are not economically equivalent in value to a share of Common Stock, but over time can increase in value to one-for-one parity with Common Stock if there is sufficient appreciation in the value of the Company’s assets. The aggregate value of the LTIP Units is included in noncontrolling interests in the Consolidated Balance Sheets of BXP and BPLP. A substantial majority of the grants of restricted common stock and LTIP Units to employees vest in four equal annual installments. Restricted common stock is measured at fair value on the date of grant based on the number of shares granted and the closing price of BXP’s Common Stock on the date of grant as quoted on the New York Stock Exchange. Such value is recognized as an expense ratably over the corresponding employee service period. The shares of restricted common stock</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granted during the nine months ended September 30, 2024 were valued at approximately $5.3 million. The LTIP Units granted were valued at approximately $26.7 million using a Monte Carlo simulation method model. Because the 2012 OPP Units and 2013 - 2024 MYLTIP Units are subject to both a service condition and a market condition, the Company recognizes the related compensation expense under the graded vesting attribution method. Under the graded vesting attribution method, each portion of the award that vests at a different date is accounted for as a separate award and recognized over the period appropriate to that portion so that the compensation cost for each portion should be recognized in full by the time that portion vests. The Company recognizes forfeitures as they occur on its awards of stock-based compensation. Dividends paid on both vested and unvested shares of restricted stock are charged directly to Dividends in Excess of Earnings in BXP, Inc.’s Consolidated Balance Sheets and Partners’ Capital in Boston Properties Limited Partnership’s Consolidated Balance Sheets. Aggregate stock-based compensation expense associated with restricted stock, LTIP Units and MYLTIP Units was approximately $4.0 million and $4.8 million for the three months ended September 30, 2024 and 2023, respectively, and $38.5 million and $45.7 million for the nine months ended September 30, 2024 and 2023, respectively. At September 30, 2024, there was (1) an aggregate of approximately $25.4 million of unrecognized compensation expense related to unvested restricted stock and LTIP Units and (2) an aggregate of approximately $(40,000) of unrecognized compensation expense related to unvested 2022 - 2024 MYLTIP Units that is expected to be recognized over a weighted-average period of approximately 2.5 years.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0" w:lineRule="exact"/>
        <w:rPr>
          <w:sz w:val="20"/>
          <w:szCs w:val="20"/>
          <w:color w:val="auto"/>
        </w:rPr>
      </w:pPr>
    </w:p>
    <w:p>
      <w:pPr>
        <w:ind w:right="1020" w:firstLine="445"/>
        <w:spacing w:after="0" w:line="287" w:lineRule="auto"/>
        <w:rPr>
          <w:sz w:val="20"/>
          <w:szCs w:val="20"/>
          <w:color w:val="auto"/>
        </w:rPr>
      </w:pPr>
      <w:r>
        <w:rPr>
          <w:rFonts w:ascii="Arial" w:cs="Arial" w:eastAsia="Arial" w:hAnsi="Arial"/>
          <w:sz w:val="18"/>
          <w:szCs w:val="18"/>
          <w:color w:val="auto"/>
        </w:rPr>
        <w:t>On October 5, 2024, the Company fully placed in-service 103 CityPoint, an approximately 113,000 net rentable square foot laboratory/life sciences project located in Waltham, Massachusetts.</w:t>
      </w:r>
    </w:p>
    <w:p>
      <w:pPr>
        <w:spacing w:after="0" w:line="99"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On October 8, 2024, the Company modified the mortgage loan collateralized by its Santa Monica Business Park properties located in Santa Monica, California. The mortgage loan had an outstanding principal balance of $200.0 million, bore interest at a variable rate equal to Daily Simple SOFR + 1.38% per annum and was scheduled to mature on July 19, 2025 (See Note 6). The modified loan is scheduled to mature on October 8, 2028 and continues to bear interest at a variable rate equal to Daily Simple SOFR + 1.38% per annum until July 19, 2025. Beginning July 19, 2025, the mortgage loan will bear interest at Daily Simple SOFR + 1.60% per annum through the maturity date. The entire principal is subject to interest rate swap contracts to fix Daily Simple SOFR at a weighted-average fixed interest rate of approximately 2.675% per annum through April 1, 2025 (See Note 7). The mortgage loan requires monthly interest-only payments during the term of the loan, with the entire principal due at maturity. Santa Monica Business Park is an office park consisting of 21 buildings totaling approximately 1.2 million net rentable square feet.</w:t>
      </w:r>
    </w:p>
    <w:p>
      <w:pPr>
        <w:spacing w:after="0" w:line="127"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On October 31, 2024, the Company completed and fully placed in-service 300 Binney Street, a laboratory/life sciences redevelopment project with approximately 236,000 net rentable square feet located in Cambridge, Massachusetts. The property is fully leased to a life sciences tenant.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2—Management’s Discussion and Analysis of Financial Condition and Results of Operations.</w:t>
      </w:r>
    </w:p>
    <w:p>
      <w:pPr>
        <w:spacing w:after="0" w:line="104" w:lineRule="exact"/>
        <w:rPr>
          <w:sz w:val="20"/>
          <w:szCs w:val="20"/>
          <w:color w:val="auto"/>
        </w:rPr>
      </w:pPr>
    </w:p>
    <w:p>
      <w:pPr>
        <w:ind w:right="420" w:firstLine="405"/>
        <w:spacing w:after="0" w:line="287" w:lineRule="auto"/>
        <w:rPr>
          <w:sz w:val="20"/>
          <w:szCs w:val="20"/>
          <w:color w:val="auto"/>
        </w:rPr>
      </w:pPr>
      <w:r>
        <w:rPr>
          <w:rFonts w:ascii="Arial" w:cs="Arial" w:eastAsia="Arial" w:hAnsi="Arial"/>
          <w:sz w:val="18"/>
          <w:szCs w:val="18"/>
          <w:color w:val="auto"/>
        </w:rPr>
        <w:t>The following discussion should be read in conjunction with the financial statements and notes thereto appearing elsewhere in this report.</w:t>
      </w:r>
    </w:p>
    <w:p>
      <w:pPr>
        <w:spacing w:after="0" w:line="18"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 xml:space="preserve">This Quarterly Report on Form 10-Q, including the documents incorporated by reference, contain forward-looking statements within the meaning of the federal securities laws, Section 27A of the Securities Act of 1933, as amended, and Section 21E of the Securities Exchange Act of 1934, as amended (the “Exchange Act”). We intend these forward-looking statements to be covered by the safe harbor provisions for forward-looking statements contained in the Private Securities Litigation Reform Act of 1995, and we are including this statement for purposes of complying with those safe harbor provisions, in each case, to the extent applicable. The forward-looking statements are contained principally, but not only, under the captions </w:t>
      </w:r>
      <w:r>
        <w:rPr>
          <w:rFonts w:ascii="Arial" w:cs="Arial" w:eastAsia="Arial" w:hAnsi="Arial"/>
          <w:sz w:val="18"/>
          <w:szCs w:val="18"/>
          <w:color w:val="212529"/>
        </w:rPr>
        <w:t>“</w:t>
      </w:r>
      <w:r>
        <w:rPr>
          <w:rFonts w:ascii="Arial" w:cs="Arial" w:eastAsia="Arial" w:hAnsi="Arial"/>
          <w:sz w:val="18"/>
          <w:szCs w:val="18"/>
          <w:color w:val="auto"/>
        </w:rPr>
        <w:t>Risk Factors” and “Management’s Discussion and Analysis of Financial Condition and Results of Operations.” We caution investors that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These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vary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and trends at the time they are made, to anticipate future results or trends.</w:t>
      </w:r>
    </w:p>
    <w:p>
      <w:pPr>
        <w:spacing w:after="0" w:line="139"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The most significant factors that may cause actual results to differ materially from those expressed or implied by the forward-looking statements include the risks and uncertainties related to adverse changes in general economic and capital market conditions, including inflation, increases in interest rates, supply chain disruptions, labor market disruptions, dislocation and volatility in capital markets, and potential longer-term changes in consumer and client behavior, sustained changes in client preferences and space utilization, as well as the other important factors below and the risks described in (i) our Annual Report on Form 10-K for the fiscal year ended December 31, 2023 including those described under the caption “Risk Factors,” (ii) our subsequent filings under the Exchange Act and (iii) the risk factors set forth in this Form 10-Q in Part II, Item 1A.</w:t>
      </w:r>
    </w:p>
    <w:p>
      <w:pPr>
        <w:spacing w:after="0" w:line="129" w:lineRule="exact"/>
        <w:rPr>
          <w:sz w:val="20"/>
          <w:szCs w:val="20"/>
          <w:color w:val="auto"/>
        </w:rPr>
      </w:pPr>
    </w:p>
    <w:p>
      <w:pPr>
        <w:ind w:right="420" w:firstLine="405"/>
        <w:spacing w:after="0" w:line="287" w:lineRule="auto"/>
        <w:rPr>
          <w:sz w:val="20"/>
          <w:szCs w:val="20"/>
          <w:color w:val="auto"/>
        </w:rPr>
      </w:pPr>
      <w:r>
        <w:rPr>
          <w:rFonts w:ascii="Arial" w:cs="Arial" w:eastAsia="Arial" w:hAnsi="Arial"/>
          <w:sz w:val="18"/>
          <w:szCs w:val="18"/>
          <w:color w:val="auto"/>
        </w:rPr>
        <w:t>Some of the risks and uncertainties that may cause our actual results, performance or achievements to differ materially from those expressed or implied by forward-looking statements include, among others, the following:</w:t>
      </w:r>
    </w:p>
    <w:p>
      <w:pPr>
        <w:spacing w:after="0" w:line="31" w:lineRule="exact"/>
        <w:rPr>
          <w:sz w:val="20"/>
          <w:szCs w:val="20"/>
          <w:color w:val="auto"/>
        </w:rPr>
      </w:pPr>
    </w:p>
    <w:p>
      <w:pPr>
        <w:ind w:left="1040" w:right="240" w:hanging="228"/>
        <w:spacing w:after="0" w:line="268" w:lineRule="auto"/>
        <w:tabs>
          <w:tab w:leader="none" w:pos="10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volatile or adverse global economic and geopolitical conditions, health crises and dislocations in the credit markets could adversely affect economic conditions and/or restrict our access to cost-effective capital, which could have a material adverse effect on our business opportunities, results of operations and financial condition;</w:t>
      </w:r>
    </w:p>
    <w:p>
      <w:pPr>
        <w:spacing w:after="0" w:line="62" w:lineRule="exact"/>
        <w:rPr>
          <w:rFonts w:ascii="Arial" w:cs="Arial" w:eastAsia="Arial" w:hAnsi="Arial"/>
          <w:sz w:val="18"/>
          <w:szCs w:val="18"/>
          <w:color w:val="auto"/>
        </w:rPr>
      </w:pPr>
    </w:p>
    <w:p>
      <w:pPr>
        <w:ind w:left="1040" w:hanging="228"/>
        <w:spacing w:after="0" w:line="268" w:lineRule="auto"/>
        <w:tabs>
          <w:tab w:leader="none" w:pos="10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risks affecting the real estate industry (including, without limitation, the inability to enter into or renew leases on attractive terms, changes in client preferences and space utilization, dependence on clients’ financial condition, and competition from other developers, owners and operators of real estate);</w:t>
      </w:r>
    </w:p>
    <w:p>
      <w:pPr>
        <w:spacing w:after="0" w:line="62" w:lineRule="exact"/>
        <w:rPr>
          <w:rFonts w:ascii="Arial" w:cs="Arial" w:eastAsia="Arial" w:hAnsi="Arial"/>
          <w:sz w:val="18"/>
          <w:szCs w:val="18"/>
          <w:color w:val="auto"/>
        </w:rPr>
      </w:pPr>
    </w:p>
    <w:p>
      <w:pPr>
        <w:ind w:left="1040" w:right="480" w:hanging="228"/>
        <w:spacing w:after="0" w:line="287" w:lineRule="auto"/>
        <w:tabs>
          <w:tab w:leader="none" w:pos="10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manage effectively our growth and expansion into new markets and sub-markets or to integrate acquisitions and developments successfully;</w:t>
      </w:r>
    </w:p>
    <w:p>
      <w:pPr>
        <w:spacing w:after="0" w:line="44" w:lineRule="exact"/>
        <w:rPr>
          <w:rFonts w:ascii="Arial" w:cs="Arial" w:eastAsia="Arial" w:hAnsi="Arial"/>
          <w:sz w:val="18"/>
          <w:szCs w:val="18"/>
          <w:color w:val="auto"/>
        </w:rPr>
      </w:pPr>
    </w:p>
    <w:p>
      <w:pPr>
        <w:ind w:left="1040" w:hanging="22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joint venture partners to satisfy their obligations;</w:t>
      </w:r>
    </w:p>
    <w:p>
      <w:pPr>
        <w:spacing w:after="0" w:line="117" w:lineRule="exact"/>
        <w:rPr>
          <w:rFonts w:ascii="Arial" w:cs="Arial" w:eastAsia="Arial" w:hAnsi="Arial"/>
          <w:sz w:val="18"/>
          <w:szCs w:val="18"/>
          <w:color w:val="auto"/>
        </w:rPr>
      </w:pPr>
    </w:p>
    <w:p>
      <w:pPr>
        <w:ind w:left="1040" w:right="140" w:hanging="228"/>
        <w:spacing w:after="0" w:line="262" w:lineRule="auto"/>
        <w:tabs>
          <w:tab w:leader="none" w:pos="10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and uncertainties affecting property development and construction (including, without limitation, supply chain disruptions, labor shortages, construction delays, increased construction costs, cost overruns, inability to obtain necessary permits, client accounting considerations that may result in negotiated lease provisions that limit a client’s liability during construction, and public opposition to such activities);</w:t>
      </w:r>
    </w:p>
    <w:p>
      <w:pPr>
        <w:spacing w:after="0" w:line="68" w:lineRule="exact"/>
        <w:rPr>
          <w:rFonts w:ascii="Arial" w:cs="Arial" w:eastAsia="Arial" w:hAnsi="Arial"/>
          <w:sz w:val="18"/>
          <w:szCs w:val="18"/>
          <w:color w:val="auto"/>
        </w:rPr>
      </w:pPr>
    </w:p>
    <w:p>
      <w:pPr>
        <w:ind w:left="1040" w:right="580" w:hanging="228"/>
        <w:spacing w:after="0" w:line="287" w:lineRule="auto"/>
        <w:tabs>
          <w:tab w:leader="none" w:pos="10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the availability and terms of financing and the use of debt to fund acquisitions and developments or refinance existing indebtedness, including the impact of higher interest rates on the cost and/or availability of financing;</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40" w:hanging="22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forward interest rate contracts and derivatives and the effectiveness of such arrangements;</w:t>
      </w:r>
    </w:p>
    <w:p>
      <w:pPr>
        <w:spacing w:after="0" w:line="117" w:lineRule="exact"/>
        <w:rPr>
          <w:rFonts w:ascii="Arial" w:cs="Arial" w:eastAsia="Arial" w:hAnsi="Arial"/>
          <w:sz w:val="18"/>
          <w:szCs w:val="18"/>
          <w:color w:val="auto"/>
        </w:rPr>
      </w:pPr>
    </w:p>
    <w:p>
      <w:pPr>
        <w:ind w:left="1040" w:hanging="22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actual or threatened terrorist attacks;</w:t>
      </w:r>
    </w:p>
    <w:p>
      <w:pPr>
        <w:spacing w:after="0" w:line="117" w:lineRule="exact"/>
        <w:rPr>
          <w:rFonts w:ascii="Arial" w:cs="Arial" w:eastAsia="Arial" w:hAnsi="Arial"/>
          <w:sz w:val="18"/>
          <w:szCs w:val="18"/>
          <w:color w:val="auto"/>
        </w:rPr>
      </w:pPr>
    </w:p>
    <w:p>
      <w:pPr>
        <w:ind w:left="1040" w:hanging="22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compliance with the Americans with Disabilities Act and other similar laws;</w:t>
      </w:r>
    </w:p>
    <w:p>
      <w:pPr>
        <w:spacing w:after="0" w:line="117" w:lineRule="exact"/>
        <w:rPr>
          <w:rFonts w:ascii="Arial" w:cs="Arial" w:eastAsia="Arial" w:hAnsi="Arial"/>
          <w:sz w:val="18"/>
          <w:szCs w:val="18"/>
          <w:color w:val="auto"/>
        </w:rPr>
      </w:pPr>
    </w:p>
    <w:p>
      <w:pPr>
        <w:ind w:left="1040" w:hanging="22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117" w:lineRule="exact"/>
        <w:rPr>
          <w:rFonts w:ascii="Arial" w:cs="Arial" w:eastAsia="Arial" w:hAnsi="Arial"/>
          <w:sz w:val="18"/>
          <w:szCs w:val="18"/>
          <w:color w:val="auto"/>
        </w:rPr>
      </w:pPr>
    </w:p>
    <w:p>
      <w:pPr>
        <w:ind w:left="1040" w:right="80" w:hanging="228"/>
        <w:spacing w:after="0" w:line="287" w:lineRule="auto"/>
        <w:tabs>
          <w:tab w:leader="none" w:pos="10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climate change and severe weather events, as well as the regulatory efforts intended to reduce the effects of climate change;</w:t>
      </w:r>
    </w:p>
    <w:p>
      <w:pPr>
        <w:spacing w:after="0" w:line="44" w:lineRule="exact"/>
        <w:rPr>
          <w:rFonts w:ascii="Arial" w:cs="Arial" w:eastAsia="Arial" w:hAnsi="Arial"/>
          <w:sz w:val="18"/>
          <w:szCs w:val="18"/>
          <w:color w:val="auto"/>
        </w:rPr>
      </w:pPr>
    </w:p>
    <w:p>
      <w:pPr>
        <w:ind w:left="1040" w:right="300" w:hanging="228"/>
        <w:spacing w:after="0" w:line="268" w:lineRule="auto"/>
        <w:tabs>
          <w:tab w:leader="none" w:pos="10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security breaches, incidents, and compromises through cyber-attacks, cyber intrusions or otherwise, as well as other significant disruptions of our information technology (IT) networks and related systems, which support our operations and our buildings;</w:t>
      </w:r>
    </w:p>
    <w:p>
      <w:pPr>
        <w:spacing w:after="0" w:line="62" w:lineRule="exact"/>
        <w:rPr>
          <w:rFonts w:ascii="Arial" w:cs="Arial" w:eastAsia="Arial" w:hAnsi="Arial"/>
          <w:sz w:val="18"/>
          <w:szCs w:val="18"/>
          <w:color w:val="auto"/>
        </w:rPr>
      </w:pPr>
    </w:p>
    <w:p>
      <w:pPr>
        <w:ind w:left="1040" w:hanging="22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legal proceedings and other claims that could result in substantial monetary damages and other costs;</w:t>
      </w:r>
    </w:p>
    <w:p>
      <w:pPr>
        <w:spacing w:after="0" w:line="117" w:lineRule="exact"/>
        <w:rPr>
          <w:rFonts w:ascii="Arial" w:cs="Arial" w:eastAsia="Arial" w:hAnsi="Arial"/>
          <w:sz w:val="18"/>
          <w:szCs w:val="18"/>
          <w:color w:val="auto"/>
        </w:rPr>
      </w:pPr>
    </w:p>
    <w:p>
      <w:pPr>
        <w:ind w:left="1040" w:hanging="22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BXP’s potential failure to qualify as a REIT under the Internal Revenue Code of 1986, as amended;</w:t>
      </w:r>
    </w:p>
    <w:p>
      <w:pPr>
        <w:spacing w:after="0" w:line="117" w:lineRule="exact"/>
        <w:rPr>
          <w:rFonts w:ascii="Arial" w:cs="Arial" w:eastAsia="Arial" w:hAnsi="Arial"/>
          <w:sz w:val="18"/>
          <w:szCs w:val="18"/>
          <w:color w:val="auto"/>
        </w:rPr>
      </w:pPr>
    </w:p>
    <w:p>
      <w:pPr>
        <w:ind w:left="1040" w:hanging="22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adverse changes in tax and environmental laws;</w:t>
      </w:r>
    </w:p>
    <w:p>
      <w:pPr>
        <w:spacing w:after="0" w:line="117" w:lineRule="exact"/>
        <w:rPr>
          <w:rFonts w:ascii="Arial" w:cs="Arial" w:eastAsia="Arial" w:hAnsi="Arial"/>
          <w:sz w:val="18"/>
          <w:szCs w:val="18"/>
          <w:color w:val="auto"/>
        </w:rPr>
      </w:pPr>
    </w:p>
    <w:p>
      <w:pPr>
        <w:ind w:left="1040" w:right="200" w:hanging="228"/>
        <w:spacing w:after="0" w:line="287" w:lineRule="auto"/>
        <w:tabs>
          <w:tab w:leader="none" w:pos="10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newly adopted accounting principles on our accounting policies and on period-to-period comparisons of financial results;</w:t>
      </w:r>
    </w:p>
    <w:p>
      <w:pPr>
        <w:spacing w:after="0" w:line="44" w:lineRule="exact"/>
        <w:rPr>
          <w:rFonts w:ascii="Arial" w:cs="Arial" w:eastAsia="Arial" w:hAnsi="Arial"/>
          <w:sz w:val="18"/>
          <w:szCs w:val="18"/>
          <w:color w:val="auto"/>
        </w:rPr>
      </w:pPr>
    </w:p>
    <w:p>
      <w:pPr>
        <w:ind w:left="1040" w:hanging="22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possible state and local tax audits; and</w:t>
      </w:r>
    </w:p>
    <w:p>
      <w:pPr>
        <w:spacing w:after="0" w:line="117" w:lineRule="exact"/>
        <w:rPr>
          <w:rFonts w:ascii="Arial" w:cs="Arial" w:eastAsia="Arial" w:hAnsi="Arial"/>
          <w:sz w:val="18"/>
          <w:szCs w:val="18"/>
          <w:color w:val="auto"/>
        </w:rPr>
      </w:pPr>
    </w:p>
    <w:p>
      <w:pPr>
        <w:ind w:left="1040" w:hanging="22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our dependence on key personnel whose continued service is not guaranteed.</w:t>
      </w:r>
    </w:p>
    <w:p>
      <w:pPr>
        <w:spacing w:after="0" w:line="252"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risks set forth above are not exhaustive. Other sections of this report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unduly rely on forward-looking statements as a prediction of actual results. Investors should also refer to our most recent Annual Report on Form 10-K and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BXP is one of the largest publicly traded office real estate investment trusts (REITs) (based on total market capitalization as of September 30, 2024) in the U.S. that develops, owns, and manages primarily premier workplaces. Our properties are concentrated in six dynamic gateway markets in the U.S. - Boston, Los Angeles, New York, San Francisco, Seattle and Washington, DC. BPLP is the entity through which BXP conducts substantially all of its business and owns (either directly or through subsidiaries) substantially all of its assets. We generate revenue and cash primarily by leasing premier workplaces to our clients. When making leasing decisions, we consider, among other things, the creditworthiness of the client and the industry in which it conducts business, the length of the lease, the rental rate to be paid at inception and throughout the lease term, the amount of any security deposit or letter of credit posted by the client, the costs of tenant improvement allowances, free rent periods and other landlord concessions, anticipated operating expenses and real estate taxes, current and anticipated vacancy in our properties and the market overall (including sublease space), current and expected future demand for the space, the impact of other clients’ expansion rights and general economic factors.</w:t>
      </w:r>
    </w:p>
    <w:p>
      <w:pPr>
        <w:spacing w:after="0" w:line="131" w:lineRule="exact"/>
        <w:rPr>
          <w:sz w:val="20"/>
          <w:szCs w:val="20"/>
          <w:color w:val="auto"/>
        </w:rPr>
      </w:pPr>
    </w:p>
    <w:p>
      <w:pPr>
        <w:ind w:right="660" w:firstLine="405"/>
        <w:spacing w:after="0" w:line="262" w:lineRule="auto"/>
        <w:rPr>
          <w:sz w:val="20"/>
          <w:szCs w:val="20"/>
          <w:color w:val="auto"/>
        </w:rPr>
      </w:pPr>
      <w:r>
        <w:rPr>
          <w:rFonts w:ascii="Arial" w:cs="Arial" w:eastAsia="Arial" w:hAnsi="Arial"/>
          <w:sz w:val="18"/>
          <w:szCs w:val="18"/>
          <w:color w:val="auto"/>
        </w:rPr>
        <w:t>We believe our key competitive advantages are our commitment to the office asset class and to our clients as many competitors disinvest in the sector, a strong balance sheet with access to capital in the secured and unsecured debt and private and public equity markets, and one of the highest quality portfolios of premier workplaces in the U.S. assembled over several decades of intentional development, acquisitions and dispositions.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Today, clients and their advisors are more focused than ever on these attributes for their building owners, which distinguishes BXP among its competitors.</w:t>
      </w:r>
    </w:p>
    <w:p>
      <w:pPr>
        <w:spacing w:after="0" w:line="99"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We consider premier workplaces to be well-located buildings that are modern structures or have been modernized to compete with newer buildings, are professionally managed and maintained, and offer a number and type of amenities that are in high demand by clients that are focused on the importance of the physical work environment in recruiting and retaining the best and brightest employees. As such, these properties attract creditworthy clients and command upper-tier rental rates in their markets. We do not consider the expression “premier workplaces” a classification of our properties in accordance with any standard listing criteria in the real estate industry. We therefore caution investors that our use and definition of “premier workplaces” may be different than the use and definition of similar expressions and traditional classifications that may be used by other companies.</w:t>
      </w:r>
    </w:p>
    <w:p>
      <w:pPr>
        <w:spacing w:after="0" w:line="129"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Our core strategy has always been to develop, acquire and manage premier workplaces in gateway markets with high barriers-to-entry and attractive demand drivers, and to focus on executing long-term leases with financially strong clients that are diverse across market sectors. We believe this strategy provides a competitive advantage that helps BXP distinguish itself from competitors as our clients are interested in leasing space in vibrant, amenitized and accessible premier workplaces to encourage more in-person work. This interest has accelerated the flight to quality in the office industry. Over the past several years, BXP’s experience and performance has diverged from the larger market and media sentiment, as premier workplaces have outperformed the broader office market consistently and substantially in both rental rates achieved and occupancy. We believe this divergence validates our strategy and differentiates BXP from other office companies.</w:t>
      </w:r>
    </w:p>
    <w:p>
      <w:pPr>
        <w:spacing w:after="0" w:line="131"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Premier workplaces in our five traditional central business district (“CBD”) markets (Boston, New York, San Francisco, Seattle and Washington, DC) have consistently outperformed the broader office market in those CBDs on several key metrics, including occupancy, net absorption levels, rental rates and landlord concessions. This outperformance is evident in BXP’s portfolio where approximately 90% of our share of net operating income (“NOI”) comes from predominantly premier workplaces located in CBDs. As of September 30, 2024, these CBD assets are 90.1% occupied and 92.1% leased (including vacant space for which we have signed leases that have not yet commenced in accordance with generally accepted accounting principles (“GAAP”)). For a detailed discussion of our share of NOI, including the reasons management believes the metric is useful to investors and a reconciliation to the most comparable GAAP measure, see page 39.</w:t>
      </w:r>
    </w:p>
    <w:p>
      <w:pPr>
        <w:spacing w:after="0" w:line="129" w:lineRule="exact"/>
        <w:rPr>
          <w:sz w:val="20"/>
          <w:szCs w:val="20"/>
          <w:color w:val="auto"/>
        </w:rPr>
      </w:pPr>
    </w:p>
    <w:p>
      <w:pPr>
        <w:jc w:val="both"/>
        <w:ind w:right="400" w:firstLine="405"/>
        <w:spacing w:after="0" w:line="268" w:lineRule="auto"/>
        <w:rPr>
          <w:sz w:val="20"/>
          <w:szCs w:val="20"/>
          <w:color w:val="auto"/>
        </w:rPr>
      </w:pPr>
      <w:r>
        <w:rPr>
          <w:rFonts w:ascii="Arial" w:cs="Arial" w:eastAsia="Arial" w:hAnsi="Arial"/>
          <w:sz w:val="18"/>
          <w:szCs w:val="18"/>
          <w:color w:val="auto"/>
        </w:rPr>
        <w:t>As of September 30, 2024, the weighted-average remaining lease term (1) for our in-place leases, based on square feet, including those signed by our unconsolidated joint ventures but excluding residential units, was approximately 7.6 years, and (2) for our 20 largest clients, based on square feet, was approximately 10.0 years.</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Outlook</w:t>
      </w:r>
    </w:p>
    <w:p>
      <w:pPr>
        <w:spacing w:after="0" w:line="102"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color w:val="auto"/>
        </w:rPr>
        <w:t>We believe the most important market forces driving occupancy, rental rates and earnings for BXP are interest rates, corporate earnings growth, return-to-office behaviors, and outperformance of premier workplaces, all of which are currently trending in BXP’s favor, serving as tailwinds for BXP’s performance.</w:t>
      </w:r>
    </w:p>
    <w:p>
      <w:pPr>
        <w:spacing w:after="0" w:line="117"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In particular, corporate earnings growth is an important driver for BXP’s performance given its correlation to leasing activity. After remaining flat for all of 2023, S&amp;P 500 earnings, which are viewed as a proxy for corporate health, are expected to grow 9.9% in 2024. Our experience tells us that companies with earnings growth are much more likely to invest, hire and expand their leased space, as demonstrated in BXP’s growing leasing volumes this year. We do not currently see evidence of a looming recession in the decision-making of our clients.</w:t>
      </w:r>
    </w:p>
    <w:p>
      <w:pPr>
        <w:spacing w:after="0" w:line="12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Return-to-office behaviors continue to improve in the cities in which we operate. Several large companies have recently announced more stringent in-office work requirements for their employees, and 84% of the CEOs surveyed in a recent third-party study believe there will be a full return-to-office work at their companies within three years, up from 64% of those surveyed just one year ago. The reasons cited by the CEOs include concerns about diminished collaboration, innovation and productivity, inadequate supervision and training for younger employees, and the cost of maintaining vacant offices.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evolving operating environment impacts various aspects of our operating activities as:</w:t>
      </w:r>
    </w:p>
    <w:p>
      <w:pPr>
        <w:spacing w:after="0" w:line="90" w:lineRule="exact"/>
        <w:rPr>
          <w:sz w:val="20"/>
          <w:szCs w:val="20"/>
          <w:color w:val="auto"/>
        </w:rPr>
      </w:pPr>
    </w:p>
    <w:p>
      <w:pPr>
        <w:ind w:left="1040" w:hanging="22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labor market conditions shift, which has gradually increased employer demand for mandatory in-person workdays;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40" w:right="100" w:hanging="228"/>
        <w:spacing w:after="0" w:line="287" w:lineRule="auto"/>
        <w:tabs>
          <w:tab w:leader="none" w:pos="10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volatility in the capital markets has led companies to be more reticent in their capital outlays and slowed down decision-making, including capital required for leasing new space;</w:t>
      </w:r>
    </w:p>
    <w:p>
      <w:pPr>
        <w:spacing w:after="0" w:line="17" w:lineRule="exact"/>
        <w:rPr>
          <w:rFonts w:ascii="Arial" w:cs="Arial" w:eastAsia="Arial" w:hAnsi="Arial"/>
          <w:sz w:val="18"/>
          <w:szCs w:val="18"/>
          <w:color w:val="auto"/>
        </w:rPr>
      </w:pPr>
    </w:p>
    <w:p>
      <w:pPr>
        <w:ind w:left="1040" w:hanging="22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private market debt financing, both for construction and existing assets, is significantly more challenging to arrange; and</w:t>
      </w:r>
    </w:p>
    <w:p>
      <w:pPr>
        <w:spacing w:after="0" w:line="103" w:lineRule="exact"/>
        <w:rPr>
          <w:rFonts w:ascii="Arial" w:cs="Arial" w:eastAsia="Arial" w:hAnsi="Arial"/>
          <w:sz w:val="18"/>
          <w:szCs w:val="18"/>
          <w:color w:val="auto"/>
        </w:rPr>
      </w:pPr>
    </w:p>
    <w:p>
      <w:pPr>
        <w:ind w:left="1040" w:right="600" w:hanging="228"/>
        <w:spacing w:after="0" w:line="287" w:lineRule="auto"/>
        <w:tabs>
          <w:tab w:leader="none" w:pos="10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construction costs have increased and, although much of the cost for our active development pipeline is fixed, the cost of potential future construction activity continues to increase.</w:t>
      </w:r>
    </w:p>
    <w:p>
      <w:pPr>
        <w:spacing w:after="0" w:line="99"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In light of the uncertain trajectory of the U.S. and global economies, we continue to position BXP for success by ensuring ample liquidity, managing our leverage, pursuing additional capital raising opportunities and maintaining discipline in discretionary capital expenditures, while continuing to selectively invest (including through both acquisitions and developments) in premier workplace opportunities. We remain focused on:</w:t>
      </w:r>
    </w:p>
    <w:p>
      <w:pPr>
        <w:spacing w:after="0" w:line="55" w:lineRule="exact"/>
        <w:rPr>
          <w:sz w:val="20"/>
          <w:szCs w:val="20"/>
          <w:color w:val="auto"/>
        </w:rPr>
      </w:pPr>
    </w:p>
    <w:p>
      <w:pPr>
        <w:ind w:left="1040" w:right="100" w:hanging="228"/>
        <w:spacing w:after="0" w:line="287" w:lineRule="auto"/>
        <w:tabs>
          <w:tab w:leader="none" w:pos="10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continuing to embrace our leadership position in the premier workplace segment and leveraging our strength in portfolio quality, client relationships, development skills, market penetration and sustainability to profitably build market share;</w:t>
      </w:r>
    </w:p>
    <w:p>
      <w:pPr>
        <w:spacing w:after="0" w:line="17" w:lineRule="exact"/>
        <w:rPr>
          <w:rFonts w:ascii="Arial" w:cs="Arial" w:eastAsia="Arial" w:hAnsi="Arial"/>
          <w:sz w:val="18"/>
          <w:szCs w:val="18"/>
          <w:color w:val="auto"/>
        </w:rPr>
      </w:pPr>
    </w:p>
    <w:p>
      <w:pPr>
        <w:ind w:left="1040" w:hanging="228"/>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leasing available space in our in-service and development properties, as well as proactively focusing on future lease expirations;</w:t>
      </w:r>
    </w:p>
    <w:p>
      <w:pPr>
        <w:spacing w:after="0" w:line="103" w:lineRule="exact"/>
        <w:rPr>
          <w:rFonts w:ascii="Arial" w:cs="Arial" w:eastAsia="Arial" w:hAnsi="Arial"/>
          <w:sz w:val="18"/>
          <w:szCs w:val="18"/>
          <w:color w:val="auto"/>
        </w:rPr>
      </w:pPr>
    </w:p>
    <w:p>
      <w:pPr>
        <w:ind w:left="1040" w:hanging="228"/>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completing the construction and leasing of our development properties;</w:t>
      </w:r>
    </w:p>
    <w:p>
      <w:pPr>
        <w:spacing w:after="0" w:line="103" w:lineRule="exact"/>
        <w:rPr>
          <w:rFonts w:ascii="Arial" w:cs="Arial" w:eastAsia="Arial" w:hAnsi="Arial"/>
          <w:sz w:val="18"/>
          <w:szCs w:val="18"/>
          <w:color w:val="auto"/>
        </w:rPr>
      </w:pPr>
    </w:p>
    <w:p>
      <w:pPr>
        <w:ind w:left="1040" w:right="520" w:hanging="228"/>
        <w:spacing w:after="0" w:line="287" w:lineRule="auto"/>
        <w:tabs>
          <w:tab w:leader="none" w:pos="10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pursuing attractive asset class adjacencies where we have a track record of success, such as life sciences and residential development;</w:t>
      </w:r>
    </w:p>
    <w:p>
      <w:pPr>
        <w:spacing w:after="0" w:line="17" w:lineRule="exact"/>
        <w:rPr>
          <w:rFonts w:ascii="Arial" w:cs="Arial" w:eastAsia="Arial" w:hAnsi="Arial"/>
          <w:sz w:val="18"/>
          <w:szCs w:val="18"/>
          <w:color w:val="auto"/>
        </w:rPr>
      </w:pPr>
    </w:p>
    <w:p>
      <w:pPr>
        <w:jc w:val="both"/>
        <w:ind w:left="1040" w:right="580" w:hanging="228"/>
        <w:spacing w:after="0" w:line="318" w:lineRule="auto"/>
        <w:tabs>
          <w:tab w:leader="none" w:pos="1032"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continuing to enhance the overall quality of our portfolio and actively recycling capital by selling assets, subject to market conditions, that we believe no longer fit within our portfolio strategy or could attract premium pricing in the current market;</w:t>
      </w:r>
    </w:p>
    <w:p>
      <w:pPr>
        <w:spacing w:after="0" w:line="8" w:lineRule="exact"/>
        <w:rPr>
          <w:rFonts w:ascii="Arial" w:cs="Arial" w:eastAsia="Arial" w:hAnsi="Arial"/>
          <w:sz w:val="17"/>
          <w:szCs w:val="17"/>
          <w:color w:val="auto"/>
        </w:rPr>
      </w:pPr>
    </w:p>
    <w:p>
      <w:pPr>
        <w:ind w:left="1040" w:hanging="228"/>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actively managing our operations in a sustainable and responsible manner; and</w:t>
      </w:r>
    </w:p>
    <w:p>
      <w:pPr>
        <w:spacing w:after="0" w:line="103" w:lineRule="exact"/>
        <w:rPr>
          <w:rFonts w:ascii="Arial" w:cs="Arial" w:eastAsia="Arial" w:hAnsi="Arial"/>
          <w:sz w:val="18"/>
          <w:szCs w:val="18"/>
          <w:color w:val="auto"/>
        </w:rPr>
      </w:pPr>
    </w:p>
    <w:p>
      <w:pPr>
        <w:ind w:left="1040" w:right="60" w:hanging="228"/>
        <w:spacing w:after="0" w:line="287" w:lineRule="auto"/>
        <w:tabs>
          <w:tab w:leader="none" w:pos="10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prioritizing risk management by actively managing liquidity, investing more extensively with joint venture partners to manage our debt levels, and being highly selective in new investment commitments.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an overview of leasing and investment activity in the third quarter of 2024 and recent business highlights.</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Leasing Activity and Occupancy</w:t>
      </w:r>
    </w:p>
    <w:p>
      <w:pPr>
        <w:spacing w:after="0" w:line="169" w:lineRule="exact"/>
        <w:rPr>
          <w:sz w:val="20"/>
          <w:szCs w:val="20"/>
          <w:color w:val="auto"/>
        </w:rPr>
      </w:pPr>
    </w:p>
    <w:p>
      <w:pPr>
        <w:ind w:right="160" w:firstLine="405"/>
        <w:spacing w:after="0" w:line="287" w:lineRule="auto"/>
        <w:rPr>
          <w:sz w:val="20"/>
          <w:szCs w:val="20"/>
          <w:color w:val="auto"/>
        </w:rPr>
      </w:pPr>
      <w:r>
        <w:rPr>
          <w:rFonts w:ascii="Arial" w:cs="Arial" w:eastAsia="Arial" w:hAnsi="Arial"/>
          <w:sz w:val="18"/>
          <w:szCs w:val="18"/>
          <w:color w:val="auto"/>
        </w:rPr>
        <w:t>To be successful in any leasing environment, we believe we must consider all aspects of the client-landlord relationship. In this regard, we believe that our competitive leasing advantage is based on the following attributes:</w:t>
      </w:r>
    </w:p>
    <w:p>
      <w:pPr>
        <w:spacing w:after="0" w:line="18" w:lineRule="exact"/>
        <w:rPr>
          <w:sz w:val="20"/>
          <w:szCs w:val="20"/>
          <w:color w:val="auto"/>
        </w:rPr>
      </w:pPr>
    </w:p>
    <w:p>
      <w:pPr>
        <w:ind w:left="1040" w:hanging="22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understanding of our client’s short- and long-term space utilization and amenity needs in the local markets;</w:t>
      </w:r>
    </w:p>
    <w:p>
      <w:pPr>
        <w:spacing w:after="0" w:line="103" w:lineRule="exact"/>
        <w:rPr>
          <w:rFonts w:ascii="Arial" w:cs="Arial" w:eastAsia="Arial" w:hAnsi="Arial"/>
          <w:sz w:val="18"/>
          <w:szCs w:val="18"/>
          <w:color w:val="auto"/>
        </w:rPr>
      </w:pPr>
    </w:p>
    <w:p>
      <w:pPr>
        <w:ind w:left="1040" w:hanging="22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track record of developing and operating premier workplaces in a sustainable and responsible manner;</w:t>
      </w:r>
    </w:p>
    <w:p>
      <w:pPr>
        <w:spacing w:after="0" w:line="103" w:lineRule="exact"/>
        <w:rPr>
          <w:rFonts w:ascii="Arial" w:cs="Arial" w:eastAsia="Arial" w:hAnsi="Arial"/>
          <w:sz w:val="18"/>
          <w:szCs w:val="18"/>
          <w:color w:val="auto"/>
        </w:rPr>
      </w:pPr>
    </w:p>
    <w:p>
      <w:pPr>
        <w:ind w:left="1040" w:hanging="22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as a high-quality developer, owner and manager of premier workplaces in our markets;</w:t>
      </w:r>
    </w:p>
    <w:p>
      <w:pPr>
        <w:spacing w:after="0" w:line="90" w:lineRule="exact"/>
        <w:rPr>
          <w:rFonts w:ascii="Arial" w:cs="Arial" w:eastAsia="Arial" w:hAnsi="Arial"/>
          <w:sz w:val="18"/>
          <w:szCs w:val="18"/>
          <w:color w:val="auto"/>
        </w:rPr>
      </w:pPr>
    </w:p>
    <w:p>
      <w:pPr>
        <w:ind w:left="1040" w:hanging="22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financial strength, including our ability to fund our share of lease obligations and maintain premier building standards; and</w:t>
      </w:r>
    </w:p>
    <w:p>
      <w:pPr>
        <w:spacing w:after="0" w:line="103" w:lineRule="exact"/>
        <w:rPr>
          <w:rFonts w:ascii="Arial" w:cs="Arial" w:eastAsia="Arial" w:hAnsi="Arial"/>
          <w:sz w:val="18"/>
          <w:szCs w:val="18"/>
          <w:color w:val="auto"/>
        </w:rPr>
      </w:pPr>
    </w:p>
    <w:p>
      <w:pPr>
        <w:ind w:left="1040" w:hanging="22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relationships with local brokers.</w:t>
      </w:r>
    </w:p>
    <w:p>
      <w:pPr>
        <w:spacing w:after="0" w:line="1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Overall, the environments in which we operate are improving. Although all the markets in which we operate still need consistent incremental absorption to constitute a macro recovery, we have started to see pockets of strength where low availability is driving constructive client behavior. As clients choose premier workplaces in sound financial condition, with building owners that are committed for the long term to their properties operated by the best property management teams, we expect to continue to be successful in gaining market share.</w:t>
      </w:r>
    </w:p>
    <w:p>
      <w:pPr>
        <w:spacing w:after="0" w:line="125"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color w:val="auto"/>
        </w:rPr>
        <w:t>In the third quarter of 2024, we executed 74 leases totaling more than 1.1 million square feet with a weighted-average lease term of approximately 7.2 years. We signed leases for a total of approximately 3.3 million square feet in the first three quarters of 2024, representing a 25% increase compared to the same period in 2023.</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BXP’s CBD portfolio was 90.1% occupied and 92.1% leased (including vacant space for which we have signed leases that have not yet commenced in accordance with GAAP) at September 30, 2024. Approximately 90% of our share of NOI comes from assets located in our CBD portfolio, underscoring the strength of BXP’s strategy to invest in the highest quality buildings in dynamic urban gateway markets. For a detailed discussion of our share of NOI, including the reasons management believes the metric is useful to investors and a reconciliation to the most comparable GAAP measure, see page 39.</w:t>
      </w:r>
    </w:p>
    <w:p>
      <w:pPr>
        <w:spacing w:after="0" w:line="125"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overall occupancy of our in-service office and retail properties was 87.0% at September 30, 2024, a decrease of 10 basis points from June 30, 2024. We define occupancy as space with signed leases for which revenue recognition has commenced in accordance with GAAP. Including vacant space for which we have signed leases that have not yet commenced revenue recognition in accordance with GAAP, our in-service office and retail properties were approximately 89.1% leased at September 30, 2024.</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Activity</w:t>
      </w:r>
    </w:p>
    <w:p>
      <w:pPr>
        <w:spacing w:after="0" w:line="10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We remain in active pursuit of opportunities in our core markets and asset types with primarily two types of counterparties: lenders to highly leveraged assets that require recapitalization and institutional owners seeking to diversify from the office asset class. To date, there has been limited market transaction activity for higher-quality office assets, though owners are increasingly testing the market to understand pricing. With lenders, there are fewer premier workplaces that are struggling with leverage, and in the few cases involving premier workplaces, lenders are generally electing to extend loans to borrowers who agree to invest modestly in their assets. Institutional owners are less interested in selling their higher quality assets, and there remains a material bid-ask spread given that, in most cases, assets have not been marked down to market-clearing levels. Notwithstanding these current challenges, we expect that transactions and our investment activity will increase in the coming quarters given the volume of maturing financings and continued mark downs in institutional portfolios. Our pipeline of potential opportunities is growing, including property and note acquisitions, sites with near term preleasing potential and new residential developments. No agreements are imminent, but we are encouraged by the activity. We also have interest from institutional investors in co-investing with us for select opportunities.</w:t>
      </w:r>
    </w:p>
    <w:p>
      <w:pPr>
        <w:spacing w:after="0" w:line="128"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As of September 30, 2024, our development/redevelopment pipeline consisted of nine properties that, when completed, we expect will total approximately 2.7 million net rentable square feet. Our share of the estimated total cost for these projects is approximately $2.2 billion, of which approximately $1.1 billion remains to be invested. The commercial space in the pipeline, which excludes the residential projects, was 54% pre-leased as of October 31, 2024.</w:t>
      </w:r>
    </w:p>
    <w:p>
      <w:pPr>
        <w:spacing w:after="0" w:line="122"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In the third quarter of 2024, we completed and fully placed in-service 180 CityPoint, an approximately 329,000 square foot laboratory/life sciences project located in Waltham, Massachusetts. BXP also partially placed in-service Skymark, a luxury residential property in Reston, Virginia that consists of 508 residential units across a five-story low-rise building and an iconic 39-story tower, which is one of the tallest buildings in Northern Virginia. The residential property is owned by a joint venture in which BXP has a 20% ownership interest.</w:t>
      </w:r>
    </w:p>
    <w:p>
      <w:pPr>
        <w:spacing w:after="0" w:line="122" w:lineRule="exact"/>
        <w:rPr>
          <w:sz w:val="20"/>
          <w:szCs w:val="20"/>
          <w:color w:val="auto"/>
        </w:rPr>
      </w:pPr>
    </w:p>
    <w:p>
      <w:pPr>
        <w:jc w:val="both"/>
        <w:ind w:right="260" w:firstLine="405"/>
        <w:spacing w:after="0" w:line="262" w:lineRule="auto"/>
        <w:rPr>
          <w:sz w:val="20"/>
          <w:szCs w:val="20"/>
          <w:color w:val="auto"/>
        </w:rPr>
      </w:pPr>
      <w:r>
        <w:rPr>
          <w:rFonts w:ascii="Arial" w:cs="Arial" w:eastAsia="Arial" w:hAnsi="Arial"/>
          <w:sz w:val="18"/>
          <w:szCs w:val="18"/>
          <w:color w:val="auto"/>
        </w:rPr>
        <w:t>As we continue to focus on new investments to drive future growth, we regularly review our portfolio to identify properties as potential sales candidates that either no longer fit within our portfolio strategy or could attract premium pricing in the current market. In addition, the BXP regional teams are pursuing alternative uses for some of our suburban land holdings, which includes vacant office buildings for which the highest and best use may not be office.</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are currently in active negotiations for the disposition of three land positions which, if successful, would generate approximately</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$70.0 million of proceeds in 2025. However, there can be no assurance that we will complete any of these transactions on the terms currently contemplated or at all.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brief overview of each of our markets follows.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Boston</w:t>
      </w:r>
    </w:p>
    <w:p>
      <w:pPr>
        <w:spacing w:after="0" w:line="88" w:lineRule="exact"/>
        <w:rPr>
          <w:sz w:val="20"/>
          <w:szCs w:val="20"/>
          <w:color w:val="auto"/>
        </w:rPr>
      </w:pPr>
    </w:p>
    <w:p>
      <w:pPr>
        <w:jc w:val="both"/>
        <w:ind w:right="260" w:firstLine="405"/>
        <w:spacing w:after="0" w:line="268" w:lineRule="auto"/>
        <w:rPr>
          <w:sz w:val="20"/>
          <w:szCs w:val="20"/>
          <w:color w:val="auto"/>
        </w:rPr>
      </w:pPr>
      <w:r>
        <w:rPr>
          <w:rFonts w:ascii="Arial" w:cs="Arial" w:eastAsia="Arial" w:hAnsi="Arial"/>
          <w:sz w:val="18"/>
          <w:szCs w:val="18"/>
          <w:color w:val="auto"/>
        </w:rPr>
        <w:t>During the third quarter of 2024, we executed approximately 647,000 square feet of leases and approximately 421,000 square feet of leases commenced in the Boston region. Approximately 279,000 square feet of the leases that commenced had been vacant for less than one year and represent an increase in net rental obligations of approximately 3.1% over the prior leases.</w:t>
      </w:r>
    </w:p>
    <w:p>
      <w:pPr>
        <w:spacing w:after="0" w:line="117" w:lineRule="exact"/>
        <w:rPr>
          <w:sz w:val="20"/>
          <w:szCs w:val="20"/>
          <w:color w:val="auto"/>
        </w:rPr>
      </w:pPr>
    </w:p>
    <w:p>
      <w:pPr>
        <w:jc w:val="both"/>
        <w:ind w:right="680" w:firstLine="405"/>
        <w:spacing w:after="0" w:line="268" w:lineRule="auto"/>
        <w:rPr>
          <w:sz w:val="20"/>
          <w:szCs w:val="20"/>
          <w:color w:val="auto"/>
        </w:rPr>
      </w:pPr>
      <w:r>
        <w:rPr>
          <w:rFonts w:ascii="Arial" w:cs="Arial" w:eastAsia="Arial" w:hAnsi="Arial"/>
          <w:sz w:val="18"/>
          <w:szCs w:val="18"/>
          <w:color w:val="auto"/>
        </w:rPr>
        <w:t>As of September 30, 2024, our approximately 8.4 million square foot Boston CBD in-service portfolio was approximately 95.3% occupied and approximately 97.2% leased (including vacant space for which we have signed leases that have not yet commenced in accordance with GAAP).</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firstLine="405"/>
        <w:spacing w:after="0" w:line="268" w:lineRule="auto"/>
        <w:rPr>
          <w:sz w:val="20"/>
          <w:szCs w:val="20"/>
          <w:color w:val="auto"/>
        </w:rPr>
      </w:pPr>
      <w:r>
        <w:rPr>
          <w:rFonts w:ascii="Arial" w:cs="Arial" w:eastAsia="Arial" w:hAnsi="Arial"/>
          <w:sz w:val="18"/>
          <w:szCs w:val="18"/>
          <w:color w:val="auto"/>
        </w:rPr>
        <w:t>Our approximately 2.5 million square foot in-service CBD portfolio in Cambridge was approximately 96.7% occupied and 96.7% leased (including vacant space for which we have signed leases that have not yet commenced in accordance with GAAP) as of September 30, 2024.</w:t>
      </w:r>
    </w:p>
    <w:p>
      <w:pPr>
        <w:spacing w:after="0" w:line="117" w:lineRule="exact"/>
        <w:rPr>
          <w:sz w:val="20"/>
          <w:szCs w:val="20"/>
          <w:color w:val="auto"/>
        </w:rPr>
      </w:pPr>
    </w:p>
    <w:p>
      <w:pPr>
        <w:jc w:val="both"/>
        <w:ind w:right="60" w:firstLine="405"/>
        <w:spacing w:after="0" w:line="268" w:lineRule="auto"/>
        <w:rPr>
          <w:sz w:val="20"/>
          <w:szCs w:val="20"/>
          <w:color w:val="auto"/>
        </w:rPr>
      </w:pPr>
      <w:r>
        <w:rPr>
          <w:rFonts w:ascii="Arial" w:cs="Arial" w:eastAsia="Arial" w:hAnsi="Arial"/>
          <w:sz w:val="18"/>
          <w:szCs w:val="18"/>
          <w:color w:val="auto"/>
        </w:rPr>
        <w:t>As of September 30, 2024, our Route 128-Mass Turnpike in-service portfolio is comprised of approximately 4.7 million square feet and was approximately 77.1% occupied and approximately 79.2% leased (including vacant space for which we have signed leases that have not yet commenced in accordance with GAAP).</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 Angeles</w:t>
      </w:r>
    </w:p>
    <w:p>
      <w:pPr>
        <w:spacing w:after="0" w:line="102" w:lineRule="exact"/>
        <w:rPr>
          <w:sz w:val="20"/>
          <w:szCs w:val="20"/>
          <w:color w:val="auto"/>
        </w:rPr>
      </w:pPr>
    </w:p>
    <w:p>
      <w:pPr>
        <w:ind w:right="160" w:firstLine="405"/>
        <w:spacing w:after="0" w:line="282" w:lineRule="auto"/>
        <w:rPr>
          <w:sz w:val="20"/>
          <w:szCs w:val="20"/>
          <w:color w:val="auto"/>
        </w:rPr>
      </w:pPr>
      <w:r>
        <w:rPr>
          <w:rFonts w:ascii="Arial" w:cs="Arial" w:eastAsia="Arial" w:hAnsi="Arial"/>
          <w:sz w:val="17"/>
          <w:szCs w:val="17"/>
          <w:color w:val="auto"/>
        </w:rPr>
        <w:t>Our Los Angeles (“LA”) in-service portfolio of approximately 2.3 million square feet is currently focused in West LA and includes Colorado Center, an approximately 1.1 million square foot property of which we own 50%, and Santa Monica Business Park, a 21-building, approximately 1.2 million square foot property. As of September 30, 2024, our LA in-service properties were approximately 84.9% occupied and 86.3% leased (including vacant space for which we have signed leases that have not yet commenced in accordance with GAAP).</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New York</w:t>
      </w:r>
    </w:p>
    <w:p>
      <w:pPr>
        <w:spacing w:after="0" w:line="8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third quarter of 2024, we executed approximately 143,000 square feet of leases in the New York region and approximately 641,000 square feet of leases commenced. Approximately 551,000 square feet of the leases that commenced had been vacant for less than one year, and they represent a decrease in net rental obligations of approximately 10.6% over the prior leases. As of September 30, 2024, our New York CBD in-service portfolio was approximately 88.9% occupied and approximately 92.6% leased (including vacant space for which we have signed leases that have not yet commenced in accordance with GAAP).</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San Francisco</w:t>
      </w:r>
    </w:p>
    <w:p>
      <w:pPr>
        <w:spacing w:after="0" w:line="102" w:lineRule="exact"/>
        <w:rPr>
          <w:sz w:val="20"/>
          <w:szCs w:val="20"/>
          <w:color w:val="auto"/>
        </w:rPr>
      </w:pPr>
    </w:p>
    <w:p>
      <w:pPr>
        <w:ind w:right="280" w:firstLine="405"/>
        <w:spacing w:after="0" w:line="268" w:lineRule="auto"/>
        <w:rPr>
          <w:sz w:val="20"/>
          <w:szCs w:val="20"/>
          <w:color w:val="auto"/>
        </w:rPr>
      </w:pPr>
      <w:r>
        <w:rPr>
          <w:rFonts w:ascii="Arial" w:cs="Arial" w:eastAsia="Arial" w:hAnsi="Arial"/>
          <w:sz w:val="18"/>
          <w:szCs w:val="18"/>
          <w:color w:val="auto"/>
        </w:rPr>
        <w:t>During the third quarter of 2024, we executed leases for approximately 109,000 square feet and approximately 90,000 square feet commenced in the San Francisco region. Approximately 25,000 square feet of leases that commenced had been vacant for less than one year and represent a decrease in net rental obligations of approximately 6.7% over the prior leases.</w:t>
      </w:r>
    </w:p>
    <w:p>
      <w:pPr>
        <w:spacing w:after="0" w:line="117" w:lineRule="exact"/>
        <w:rPr>
          <w:sz w:val="20"/>
          <w:szCs w:val="20"/>
          <w:color w:val="auto"/>
        </w:rPr>
      </w:pPr>
    </w:p>
    <w:p>
      <w:pPr>
        <w:ind w:right="40" w:firstLine="405"/>
        <w:spacing w:after="0" w:line="287" w:lineRule="auto"/>
        <w:rPr>
          <w:sz w:val="20"/>
          <w:szCs w:val="20"/>
          <w:color w:val="auto"/>
        </w:rPr>
      </w:pPr>
      <w:r>
        <w:rPr>
          <w:rFonts w:ascii="Arial" w:cs="Arial" w:eastAsia="Arial" w:hAnsi="Arial"/>
          <w:sz w:val="18"/>
          <w:szCs w:val="18"/>
          <w:color w:val="auto"/>
        </w:rPr>
        <w:t>As of September 30, 2024, our San Francisco CBD in-service properties were approximately 84.2% occupied and approximately 84.5% leased (including vacant space for which we have signed leases that have not yet commenced in accordance with GAAP).</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Seattle</w:t>
      </w:r>
    </w:p>
    <w:p>
      <w:pPr>
        <w:spacing w:after="0" w:line="102"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Our Seattle in-service portfolio includes Safeco Plaza, an approximately 762,000 square foot property of which we own 33.67%, and Madison Centre, an approximately 755,000 square foot property. As of September 30, 2024, these in-service properties were approximately 80.2% occupied and approximately 83.0% leased (inclusive of vacant space with signed leases that have not yet commenced in accordance with GAAP).</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Washington, DC</w:t>
      </w:r>
    </w:p>
    <w:p>
      <w:pPr>
        <w:spacing w:after="0" w:line="8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During the third quarter of 2024, we executed leases for approximately 155,000 square feet and leases for approximately 66,000 square feet commenced in the Washington, DC region. Leases for approximately 14,000 square feet that commenced had been vacant for less than one year and represent a decrease in net rental obligations of approximately 15.3% over the prior leases.</w:t>
      </w:r>
    </w:p>
    <w:p>
      <w:pPr>
        <w:spacing w:after="0" w:line="117"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color w:val="auto"/>
        </w:rPr>
        <w:t>As of September 30, 2024, our Washington, DC CBD in-service properties were approximately 88.0% occupied and approximately 90.1% leased (inclusive of vacant space with signed leases that have not yet commenced in accordance with GAAP).</w:t>
      </w:r>
    </w:p>
    <w:p>
      <w:pPr>
        <w:spacing w:after="0" w:line="99" w:lineRule="exact"/>
        <w:rPr>
          <w:sz w:val="20"/>
          <w:szCs w:val="20"/>
          <w:color w:val="auto"/>
        </w:rPr>
      </w:pPr>
    </w:p>
    <w:p>
      <w:pPr>
        <w:jc w:val="both"/>
        <w:ind w:right="100" w:firstLine="405"/>
        <w:spacing w:after="0" w:line="262" w:lineRule="auto"/>
        <w:rPr>
          <w:sz w:val="20"/>
          <w:szCs w:val="20"/>
          <w:color w:val="auto"/>
        </w:rPr>
      </w:pPr>
      <w:r>
        <w:rPr>
          <w:rFonts w:ascii="Arial" w:cs="Arial" w:eastAsia="Arial" w:hAnsi="Arial"/>
          <w:sz w:val="18"/>
          <w:szCs w:val="18"/>
          <w:color w:val="auto"/>
        </w:rPr>
        <w:t>A significant component of our Washington, DC regional portfolio is in Reston Town Center, an award-winning mixed-use development in Northern Virginia. Reston is a hub for technology, cloud services, cybersecurity and defense intelligence companies. As of September 30, 2024, our Reston CBD portfolio was approximately 94.5% occupied and approximately 96.6% leased (inclusive of vacant space with signed leases that have not yet commenced in accordance with GAAP).</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Leasing Statistics</w:t>
      </w:r>
    </w:p>
    <w:p>
      <w:pPr>
        <w:spacing w:after="0" w:line="102"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The table below details the leasing activity, including 100% of the unconsolidated joint ventures, that commenced revenue recognition during the three and nine months ended September 30,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220" w:type="dxa"/>
            <w:vAlign w:val="bottom"/>
          </w:tcPr>
          <w:p>
            <w:pPr>
              <w:jc w:val="right"/>
              <w:ind w:right="271"/>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6520" w:type="dxa"/>
            <w:vAlign w:val="bottom"/>
          </w:tcPr>
          <w:p>
            <w:pPr>
              <w:spacing w:after="0"/>
              <w:rPr>
                <w:sz w:val="18"/>
                <w:szCs w:val="18"/>
                <w:color w:val="auto"/>
              </w:rPr>
            </w:pPr>
          </w:p>
        </w:tc>
        <w:tc>
          <w:tcPr>
            <w:tcW w:w="2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September 30, 2024</w:t>
            </w:r>
          </w:p>
        </w:tc>
        <w:tc>
          <w:tcPr>
            <w:tcW w:w="22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September 30, 2024</w:t>
            </w:r>
          </w:p>
        </w:tc>
      </w:tr>
      <w:tr>
        <w:trPr>
          <w:trHeight w:val="210"/>
        </w:trPr>
        <w:tc>
          <w:tcPr>
            <w:tcW w:w="6520" w:type="dxa"/>
            <w:vAlign w:val="bottom"/>
          </w:tcPr>
          <w:p>
            <w:pPr>
              <w:spacing w:after="0"/>
              <w:rPr>
                <w:sz w:val="18"/>
                <w:szCs w:val="18"/>
                <w:color w:val="auto"/>
              </w:rPr>
            </w:pPr>
          </w:p>
        </w:tc>
        <w:tc>
          <w:tcPr>
            <w:tcW w:w="4720" w:type="dxa"/>
            <w:vAlign w:val="bottom"/>
            <w:gridSpan w:val="3"/>
          </w:tcPr>
          <w:p>
            <w:pPr>
              <w:jc w:val="right"/>
              <w:ind w:right="1751"/>
              <w:spacing w:after="0"/>
              <w:rPr>
                <w:sz w:val="20"/>
                <w:szCs w:val="20"/>
                <w:color w:val="auto"/>
              </w:rPr>
            </w:pPr>
            <w:r>
              <w:rPr>
                <w:rFonts w:ascii="Arial" w:cs="Arial" w:eastAsia="Arial" w:hAnsi="Arial"/>
                <w:sz w:val="16"/>
                <w:szCs w:val="16"/>
                <w:b w:val="1"/>
                <w:bCs w:val="1"/>
                <w:color w:val="auto"/>
              </w:rPr>
              <w:t>(Square Feet)</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Vacant space available at the beginning of the period</w:t>
            </w:r>
          </w:p>
        </w:tc>
        <w:tc>
          <w:tcPr>
            <w:tcW w:w="2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6,289,299</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5,696,007</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Vacant space from property dispositions/properties taken out of service (1)</w:t>
            </w:r>
          </w:p>
        </w:tc>
        <w:tc>
          <w:tcPr>
            <w:tcW w:w="2200" w:type="dxa"/>
            <w:vAlign w:val="bottom"/>
          </w:tcPr>
          <w:p>
            <w:pPr>
              <w:jc w:val="right"/>
              <w:ind w:right="91"/>
              <w:spacing w:after="0"/>
              <w:rPr>
                <w:sz w:val="20"/>
                <w:szCs w:val="20"/>
                <w:color w:val="auto"/>
              </w:rPr>
            </w:pPr>
            <w:r>
              <w:rPr>
                <w:rFonts w:ascii="Arial" w:cs="Arial" w:eastAsia="Arial" w:hAnsi="Arial"/>
                <w:sz w:val="18"/>
                <w:szCs w:val="18"/>
                <w:color w:val="auto"/>
              </w:rPr>
              <w:t>(316,538)</w:t>
            </w:r>
          </w:p>
        </w:tc>
        <w:tc>
          <w:tcPr>
            <w:tcW w:w="300" w:type="dxa"/>
            <w:vAlign w:val="bottom"/>
          </w:tcPr>
          <w:p>
            <w:pPr>
              <w:spacing w:after="0"/>
              <w:rPr>
                <w:sz w:val="19"/>
                <w:szCs w:val="19"/>
                <w:color w:val="auto"/>
              </w:rPr>
            </w:pPr>
          </w:p>
        </w:tc>
        <w:tc>
          <w:tcPr>
            <w:tcW w:w="2220" w:type="dxa"/>
            <w:vAlign w:val="bottom"/>
          </w:tcPr>
          <w:p>
            <w:pPr>
              <w:jc w:val="right"/>
              <w:ind w:right="91"/>
              <w:spacing w:after="0"/>
              <w:rPr>
                <w:sz w:val="20"/>
                <w:szCs w:val="20"/>
                <w:color w:val="auto"/>
              </w:rPr>
            </w:pPr>
            <w:r>
              <w:rPr>
                <w:rFonts w:ascii="Arial" w:cs="Arial" w:eastAsia="Arial" w:hAnsi="Arial"/>
                <w:sz w:val="18"/>
                <w:szCs w:val="18"/>
                <w:color w:val="auto"/>
              </w:rPr>
              <w:t>(580,232)</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Vacant space from properties placed (and partially placed) in-service (2)</w:t>
            </w:r>
          </w:p>
        </w:tc>
        <w:tc>
          <w:tcPr>
            <w:tcW w:w="2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209,413</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371,972</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Leases expiring or terminated during the period</w:t>
            </w:r>
          </w:p>
        </w:tc>
        <w:tc>
          <w:tcPr>
            <w:tcW w:w="2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1,405,356</w:t>
            </w:r>
          </w:p>
        </w:tc>
        <w:tc>
          <w:tcPr>
            <w:tcW w:w="3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4,304,498</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space available for lease</w:t>
            </w:r>
          </w:p>
        </w:tc>
        <w:tc>
          <w:tcPr>
            <w:tcW w:w="2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7,587,530</w:t>
            </w:r>
          </w:p>
        </w:tc>
        <w:tc>
          <w:tcPr>
            <w:tcW w:w="3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9,792,245</w:t>
            </w:r>
          </w:p>
        </w:tc>
      </w:tr>
      <w:tr>
        <w:trPr>
          <w:trHeight w:val="223"/>
        </w:trPr>
        <w:tc>
          <w:tcPr>
            <w:tcW w:w="6520" w:type="dxa"/>
            <w:vAlign w:val="bottom"/>
          </w:tcPr>
          <w:p>
            <w:pPr>
              <w:ind w:left="20"/>
              <w:spacing w:after="0" w:line="223" w:lineRule="exact"/>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generation leases</w:t>
            </w:r>
          </w:p>
        </w:tc>
        <w:tc>
          <w:tcPr>
            <w:tcW w:w="2200" w:type="dxa"/>
            <w:vAlign w:val="bottom"/>
          </w:tcPr>
          <w:p>
            <w:pPr>
              <w:jc w:val="right"/>
              <w:ind w:right="131"/>
              <w:spacing w:after="0"/>
              <w:rPr>
                <w:sz w:val="20"/>
                <w:szCs w:val="20"/>
                <w:color w:val="auto"/>
              </w:rPr>
            </w:pPr>
            <w:r>
              <w:rPr>
                <w:rFonts w:ascii="Arial" w:cs="Arial" w:eastAsia="Arial" w:hAnsi="Arial"/>
                <w:sz w:val="18"/>
                <w:szCs w:val="18"/>
                <w:color w:val="auto"/>
              </w:rPr>
              <w:t>75,326</w:t>
            </w:r>
          </w:p>
        </w:tc>
        <w:tc>
          <w:tcPr>
            <w:tcW w:w="300" w:type="dxa"/>
            <w:vAlign w:val="bottom"/>
          </w:tcPr>
          <w:p>
            <w:pPr>
              <w:spacing w:after="0"/>
              <w:rPr>
                <w:sz w:val="19"/>
                <w:szCs w:val="19"/>
                <w:color w:val="auto"/>
              </w:rPr>
            </w:pPr>
          </w:p>
        </w:tc>
        <w:tc>
          <w:tcPr>
            <w:tcW w:w="2220" w:type="dxa"/>
            <w:vAlign w:val="bottom"/>
          </w:tcPr>
          <w:p>
            <w:pPr>
              <w:jc w:val="right"/>
              <w:ind w:right="151"/>
              <w:spacing w:after="0"/>
              <w:rPr>
                <w:sz w:val="20"/>
                <w:szCs w:val="20"/>
                <w:color w:val="auto"/>
              </w:rPr>
            </w:pPr>
            <w:r>
              <w:rPr>
                <w:rFonts w:ascii="Arial" w:cs="Arial" w:eastAsia="Arial" w:hAnsi="Arial"/>
                <w:sz w:val="18"/>
                <w:szCs w:val="18"/>
                <w:color w:val="auto"/>
              </w:rPr>
              <w:t>415,917</w:t>
            </w:r>
          </w:p>
        </w:tc>
      </w:tr>
      <w:tr>
        <w:trPr>
          <w:trHeight w:val="230"/>
        </w:trPr>
        <w:tc>
          <w:tcPr>
            <w:tcW w:w="6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generation leases with new clients</w:t>
            </w:r>
          </w:p>
        </w:tc>
        <w:tc>
          <w:tcPr>
            <w:tcW w:w="2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615,831</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1,359,801</w:t>
            </w:r>
          </w:p>
        </w:tc>
      </w:tr>
      <w:tr>
        <w:trPr>
          <w:trHeight w:val="229"/>
        </w:trPr>
        <w:tc>
          <w:tcPr>
            <w:tcW w:w="65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generation lease renewals</w:t>
            </w:r>
          </w:p>
        </w:tc>
        <w:tc>
          <w:tcPr>
            <w:tcW w:w="2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574,864</w:t>
            </w:r>
          </w:p>
        </w:tc>
        <w:tc>
          <w:tcPr>
            <w:tcW w:w="3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1,695,018</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space leased (3)</w:t>
            </w:r>
          </w:p>
        </w:tc>
        <w:tc>
          <w:tcPr>
            <w:tcW w:w="2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1,266,021</w:t>
            </w:r>
          </w:p>
        </w:tc>
        <w:tc>
          <w:tcPr>
            <w:tcW w:w="3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3,470,736</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Vacant space available for lease at the end of the period</w:t>
            </w:r>
          </w:p>
        </w:tc>
        <w:tc>
          <w:tcPr>
            <w:tcW w:w="2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6,321,509</w:t>
            </w:r>
          </w:p>
        </w:tc>
        <w:tc>
          <w:tcPr>
            <w:tcW w:w="300" w:type="dxa"/>
            <w:vAlign w:val="bottom"/>
          </w:tcPr>
          <w:p>
            <w:pPr>
              <w:spacing w:after="0"/>
              <w:rPr>
                <w:sz w:val="19"/>
                <w:szCs w:val="19"/>
                <w:color w:val="auto"/>
              </w:rPr>
            </w:pPr>
          </w:p>
        </w:tc>
        <w:tc>
          <w:tcPr>
            <w:tcW w:w="2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6,321,509</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Leases executed during the period (4)</w:t>
            </w:r>
          </w:p>
        </w:tc>
        <w:tc>
          <w:tcPr>
            <w:tcW w:w="2200" w:type="dxa"/>
            <w:vAlign w:val="bottom"/>
          </w:tcPr>
          <w:p>
            <w:pPr>
              <w:jc w:val="right"/>
              <w:ind w:right="131"/>
              <w:spacing w:after="0"/>
              <w:rPr>
                <w:sz w:val="20"/>
                <w:szCs w:val="20"/>
                <w:color w:val="auto"/>
              </w:rPr>
            </w:pPr>
            <w:r>
              <w:rPr>
                <w:rFonts w:ascii="Arial" w:cs="Arial" w:eastAsia="Arial" w:hAnsi="Arial"/>
                <w:sz w:val="18"/>
                <w:szCs w:val="18"/>
                <w:color w:val="auto"/>
              </w:rPr>
              <w:t>1,108,457</w:t>
            </w:r>
          </w:p>
        </w:tc>
        <w:tc>
          <w:tcPr>
            <w:tcW w:w="300" w:type="dxa"/>
            <w:vAlign w:val="bottom"/>
          </w:tcPr>
          <w:p>
            <w:pPr>
              <w:spacing w:after="0"/>
              <w:rPr>
                <w:sz w:val="19"/>
                <w:szCs w:val="19"/>
                <w:color w:val="auto"/>
              </w:rPr>
            </w:pPr>
          </w:p>
        </w:tc>
        <w:tc>
          <w:tcPr>
            <w:tcW w:w="2220" w:type="dxa"/>
            <w:vAlign w:val="bottom"/>
          </w:tcPr>
          <w:p>
            <w:pPr>
              <w:jc w:val="right"/>
              <w:ind w:right="151"/>
              <w:spacing w:after="0"/>
              <w:rPr>
                <w:sz w:val="20"/>
                <w:szCs w:val="20"/>
                <w:color w:val="auto"/>
              </w:rPr>
            </w:pPr>
            <w:r>
              <w:rPr>
                <w:rFonts w:ascii="Arial" w:cs="Arial" w:eastAsia="Arial" w:hAnsi="Arial"/>
                <w:sz w:val="18"/>
                <w:szCs w:val="18"/>
                <w:color w:val="auto"/>
              </w:rPr>
              <w:t>3,325,062</w:t>
            </w:r>
          </w:p>
        </w:tc>
      </w:tr>
      <w:tr>
        <w:trPr>
          <w:trHeight w:val="270"/>
        </w:trPr>
        <w:tc>
          <w:tcPr>
            <w:tcW w:w="652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Second generation leasing information</w:t>
            </w:r>
            <w:r>
              <w:rPr>
                <w:rFonts w:ascii="Arial" w:cs="Arial" w:eastAsia="Arial" w:hAnsi="Arial"/>
                <w:sz w:val="18"/>
                <w:szCs w:val="18"/>
                <w:color w:val="auto"/>
              </w:rPr>
              <w:t>: (5)</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 commencing during the period, in square feet</w:t>
            </w:r>
          </w:p>
        </w:tc>
        <w:tc>
          <w:tcPr>
            <w:tcW w:w="2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1,190,695</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3,054,819</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Weighted Average Lease Term</w:t>
            </w:r>
          </w:p>
        </w:tc>
        <w:tc>
          <w:tcPr>
            <w:tcW w:w="2500" w:type="dxa"/>
            <w:vAlign w:val="bottom"/>
            <w:gridSpan w:val="2"/>
          </w:tcPr>
          <w:p>
            <w:pPr>
              <w:jc w:val="right"/>
              <w:ind w:right="300"/>
              <w:spacing w:after="0"/>
              <w:rPr>
                <w:sz w:val="20"/>
                <w:szCs w:val="20"/>
                <w:color w:val="auto"/>
              </w:rPr>
            </w:pPr>
            <w:r>
              <w:rPr>
                <w:rFonts w:ascii="Arial" w:cs="Arial" w:eastAsia="Arial" w:hAnsi="Arial"/>
                <w:sz w:val="18"/>
                <w:szCs w:val="18"/>
                <w:color w:val="auto"/>
              </w:rPr>
              <w:t>76 Months</w:t>
            </w:r>
          </w:p>
        </w:tc>
        <w:tc>
          <w:tcPr>
            <w:tcW w:w="2220" w:type="dxa"/>
            <w:vAlign w:val="bottom"/>
          </w:tcPr>
          <w:p>
            <w:pPr>
              <w:jc w:val="right"/>
              <w:spacing w:after="0"/>
              <w:rPr>
                <w:sz w:val="20"/>
                <w:szCs w:val="20"/>
                <w:color w:val="auto"/>
              </w:rPr>
            </w:pPr>
            <w:r>
              <w:rPr>
                <w:rFonts w:ascii="Arial" w:cs="Arial" w:eastAsia="Arial" w:hAnsi="Arial"/>
                <w:sz w:val="18"/>
                <w:szCs w:val="18"/>
                <w:color w:val="auto"/>
              </w:rPr>
              <w:t>89 Months</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Free Rent Period</w:t>
            </w:r>
          </w:p>
        </w:tc>
        <w:tc>
          <w:tcPr>
            <w:tcW w:w="2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 Days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Days</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Total Transaction Costs Per Square Foot (6)</w:t>
            </w:r>
          </w:p>
        </w:tc>
        <w:tc>
          <w:tcPr>
            <w:tcW w:w="2200" w:type="dxa"/>
            <w:vAlign w:val="bottom"/>
          </w:tcPr>
          <w:p>
            <w:pPr>
              <w:jc w:val="right"/>
              <w:ind w:right="131"/>
              <w:spacing w:after="0"/>
              <w:rPr>
                <w:sz w:val="20"/>
                <w:szCs w:val="20"/>
                <w:color w:val="auto"/>
              </w:rPr>
            </w:pPr>
            <w:r>
              <w:rPr>
                <w:rFonts w:ascii="Arial" w:cs="Arial" w:eastAsia="Arial" w:hAnsi="Arial"/>
                <w:sz w:val="18"/>
                <w:szCs w:val="18"/>
                <w:color w:val="auto"/>
              </w:rPr>
              <w:t>$74.93</w:t>
            </w:r>
          </w:p>
        </w:tc>
        <w:tc>
          <w:tcPr>
            <w:tcW w:w="300" w:type="dxa"/>
            <w:vAlign w:val="bottom"/>
          </w:tcPr>
          <w:p>
            <w:pPr>
              <w:spacing w:after="0"/>
              <w:rPr>
                <w:sz w:val="19"/>
                <w:szCs w:val="19"/>
                <w:color w:val="auto"/>
              </w:rPr>
            </w:pPr>
          </w:p>
        </w:tc>
        <w:tc>
          <w:tcPr>
            <w:tcW w:w="2220" w:type="dxa"/>
            <w:vAlign w:val="bottom"/>
          </w:tcPr>
          <w:p>
            <w:pPr>
              <w:jc w:val="right"/>
              <w:ind w:right="151"/>
              <w:spacing w:after="0"/>
              <w:rPr>
                <w:sz w:val="20"/>
                <w:szCs w:val="20"/>
                <w:color w:val="auto"/>
              </w:rPr>
            </w:pPr>
            <w:r>
              <w:rPr>
                <w:rFonts w:ascii="Arial" w:cs="Arial" w:eastAsia="Arial" w:hAnsi="Arial"/>
                <w:sz w:val="18"/>
                <w:szCs w:val="18"/>
                <w:color w:val="auto"/>
              </w:rPr>
              <w:t>$74.44</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Gross Rents (7)</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r>
      <w:tr>
        <w:trPr>
          <w:trHeight w:val="239"/>
        </w:trPr>
        <w:tc>
          <w:tcPr>
            <w:tcW w:w="6520" w:type="dxa"/>
            <w:vAlign w:val="bottom"/>
          </w:tcPr>
          <w:p>
            <w:pPr>
              <w:ind w:left="20"/>
              <w:spacing w:after="0"/>
              <w:rPr>
                <w:sz w:val="20"/>
                <w:szCs w:val="20"/>
                <w:color w:val="auto"/>
              </w:rPr>
            </w:pPr>
            <w:r>
              <w:rPr>
                <w:rFonts w:ascii="Arial" w:cs="Arial" w:eastAsia="Arial" w:hAnsi="Arial"/>
                <w:sz w:val="18"/>
                <w:szCs w:val="18"/>
                <w:color w:val="auto"/>
              </w:rPr>
              <w:t>Increase in Net Rents (8)</w:t>
            </w:r>
          </w:p>
        </w:tc>
        <w:tc>
          <w:tcPr>
            <w:tcW w:w="2200" w:type="dxa"/>
            <w:vAlign w:val="bottom"/>
          </w:tcPr>
          <w:p>
            <w:pPr>
              <w:jc w:val="right"/>
              <w:spacing w:after="0"/>
              <w:rPr>
                <w:sz w:val="20"/>
                <w:szCs w:val="20"/>
                <w:color w:val="auto"/>
              </w:rPr>
            </w:pPr>
            <w:r>
              <w:rPr>
                <w:rFonts w:ascii="Arial" w:cs="Arial" w:eastAsia="Arial" w:hAnsi="Arial"/>
                <w:sz w:val="18"/>
                <w:szCs w:val="18"/>
                <w:color w:val="auto"/>
              </w:rPr>
              <w:t>(6.81)%</w:t>
            </w:r>
          </w:p>
        </w:tc>
        <w:tc>
          <w:tcPr>
            <w:tcW w:w="3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2.77 %</w:t>
            </w:r>
          </w:p>
        </w:tc>
      </w:tr>
    </w:tbl>
    <w:p>
      <w:pPr>
        <w:spacing w:after="0" w:line="5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__________________</w:t>
      </w:r>
    </w:p>
    <w:p>
      <w:pPr>
        <w:spacing w:after="0" w:line="35" w:lineRule="exact"/>
        <w:rPr>
          <w:sz w:val="20"/>
          <w:szCs w:val="20"/>
          <w:color w:val="auto"/>
        </w:rPr>
      </w:pPr>
    </w:p>
    <w:p>
      <w:pPr>
        <w:ind w:left="660" w:right="680" w:hanging="328"/>
        <w:spacing w:after="0" w:line="258"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Total square feet of properties taken out of service during the three months ended September 30, 2024 consists of 205,355 square feet at 1100 Winter Street and 111,183 square feet at Kingstowne One. Total square feet of properties taken out of service during the nine months ended September 30, 2024 consists of 205,355 square feet at 1100 Winter Street, 162,274 square feet at 1050 Winter Street, 111,183 square feet at Kingstowne One, 71,420 square feet at 15825 Shady Grove Road and 30,000 square feet at 17 Hartwell Avenue.</w:t>
      </w:r>
    </w:p>
    <w:p>
      <w:pPr>
        <w:spacing w:after="0" w:line="56" w:lineRule="exact"/>
        <w:rPr>
          <w:rFonts w:ascii="Arial" w:cs="Arial" w:eastAsia="Arial" w:hAnsi="Arial"/>
          <w:sz w:val="16"/>
          <w:szCs w:val="16"/>
          <w:color w:val="auto"/>
        </w:rPr>
      </w:pPr>
    </w:p>
    <w:p>
      <w:pPr>
        <w:ind w:left="660" w:right="760" w:hanging="328"/>
        <w:spacing w:after="0" w:line="265"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Total square feet of properties placed in service during the three months ended September 30, 2024 consists of 187,048 square feet at 180 CityPoint and 22,365 square feet at 651 Gateway. Total square feet of properties placed in service during the nine months ended September 30, 2024 consists of 187,048 square feet at 180 CityPoint, 117,907 square feet at 760 Boylston Street and 67,017 square feet at 651 Gateway.</w:t>
      </w:r>
    </w:p>
    <w:p>
      <w:pPr>
        <w:spacing w:after="0" w:line="51" w:lineRule="exact"/>
        <w:rPr>
          <w:rFonts w:ascii="Arial" w:cs="Arial" w:eastAsia="Arial" w:hAnsi="Arial"/>
          <w:sz w:val="16"/>
          <w:szCs w:val="16"/>
          <w:color w:val="auto"/>
        </w:rPr>
      </w:pPr>
    </w:p>
    <w:p>
      <w:pPr>
        <w:ind w:left="660" w:right="1120" w:hanging="328"/>
        <w:spacing w:after="0" w:line="304"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leases for which lease revenue recognition has commenced in accordance with GAAP during the three and nine months ended September 30, 2024.</w:t>
      </w:r>
    </w:p>
    <w:p>
      <w:pPr>
        <w:spacing w:after="0" w:line="19" w:lineRule="exact"/>
        <w:rPr>
          <w:rFonts w:ascii="Arial" w:cs="Arial" w:eastAsia="Arial" w:hAnsi="Arial"/>
          <w:sz w:val="16"/>
          <w:szCs w:val="16"/>
          <w:color w:val="auto"/>
        </w:rPr>
      </w:pPr>
    </w:p>
    <w:p>
      <w:pPr>
        <w:ind w:left="660" w:right="780" w:hanging="328"/>
        <w:spacing w:after="0" w:line="265"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leases executed during the three and nine months ended September 30, 2024 for which we either (1) commenced lease revenue recognition in such period or (2) will commence lease revenue recognition in subsequent periods, in accordance with GAAP, and includes leases at properties currently under development. The total square feet of leases executed and for which revenue recognition commenced during the three and nine months ended September 30, 2024 are 319,985 and 796,152 square feet, respectively.</w:t>
      </w:r>
    </w:p>
    <w:p>
      <w:pPr>
        <w:spacing w:after="0" w:line="51" w:lineRule="exact"/>
        <w:rPr>
          <w:rFonts w:ascii="Arial" w:cs="Arial" w:eastAsia="Arial" w:hAnsi="Arial"/>
          <w:sz w:val="16"/>
          <w:szCs w:val="16"/>
          <w:color w:val="auto"/>
        </w:rPr>
      </w:pPr>
    </w:p>
    <w:p>
      <w:pPr>
        <w:jc w:val="both"/>
        <w:ind w:left="660" w:right="700" w:hanging="328"/>
        <w:spacing w:after="0" w:line="275"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Second generation leases are defined as leases for space that we have previously leased. Of the 1,190,695 and 3,054,819 square feet of second generation leases that commenced during the three and nine months ended September 30, 2024, respectively, leases for 881,793 and 2,278,081 square feet, respectively, were signed in prior periods.</w:t>
      </w:r>
    </w:p>
    <w:p>
      <w:pPr>
        <w:spacing w:after="0" w:line="42" w:lineRule="exact"/>
        <w:rPr>
          <w:rFonts w:ascii="Arial" w:cs="Arial" w:eastAsia="Arial" w:hAnsi="Arial"/>
          <w:sz w:val="16"/>
          <w:szCs w:val="16"/>
          <w:color w:val="auto"/>
        </w:rPr>
      </w:pPr>
    </w:p>
    <w:p>
      <w:pPr>
        <w:ind w:left="660" w:right="700" w:hanging="328"/>
        <w:spacing w:after="0" w:line="286"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Total transaction costs include tenant improvements and leasing commissions but exclude free rent concessions and other inducements in accordance with GAAP.</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740" w:hanging="328"/>
        <w:spacing w:after="0" w:line="265"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increase (decrease) in gross rent (base rent plus expense reimbursements) on the new versus expired leases on the 896,196 and 2,323,471 square feet of second generation leases that had been occupied within the prior 12 months for the three and nine months ended September 30, 2024, respectively; excludes leases that management considers temporary because the client is not expected to occupy the space on a long-term basis.</w:t>
      </w:r>
    </w:p>
    <w:p>
      <w:pPr>
        <w:spacing w:after="0" w:line="51" w:lineRule="exact"/>
        <w:rPr>
          <w:rFonts w:ascii="Arial" w:cs="Arial" w:eastAsia="Arial" w:hAnsi="Arial"/>
          <w:sz w:val="16"/>
          <w:szCs w:val="16"/>
          <w:color w:val="auto"/>
        </w:rPr>
      </w:pPr>
    </w:p>
    <w:p>
      <w:pPr>
        <w:jc w:val="both"/>
        <w:ind w:left="660" w:right="620" w:hanging="328"/>
        <w:spacing w:after="0" w:line="275"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increase (decrease) in net rent (gross rent less operating expenses) on the new versus expired leases on the 896,196 and 2,323,471 square feet of second generation leases that had been occupied within the prior 12 months for the three and nine months ended September 30, 2024, respectively.</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during the three months ended September 30, 2024 included the following:</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Development activities</w:t>
      </w:r>
    </w:p>
    <w:p>
      <w:pPr>
        <w:spacing w:after="0" w:line="88" w:lineRule="exact"/>
        <w:rPr>
          <w:sz w:val="20"/>
          <w:szCs w:val="20"/>
          <w:color w:val="auto"/>
        </w:rPr>
      </w:pPr>
    </w:p>
    <w:p>
      <w:pPr>
        <w:ind w:left="1040" w:right="120" w:hanging="228"/>
        <w:spacing w:after="0" w:line="287" w:lineRule="auto"/>
        <w:tabs>
          <w:tab w:leader="none" w:pos="10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July 17, 2024, we partially placed in-service Reston Next Office Phase II, an approximately 90,000 net rentable square foot development project comprised of office and retail space located in Reston, Virginia.</w:t>
      </w:r>
    </w:p>
    <w:p>
      <w:pPr>
        <w:spacing w:after="0" w:line="98" w:lineRule="exact"/>
        <w:rPr>
          <w:rFonts w:ascii="Arial" w:cs="Arial" w:eastAsia="Arial" w:hAnsi="Arial"/>
          <w:sz w:val="18"/>
          <w:szCs w:val="18"/>
          <w:color w:val="auto"/>
        </w:rPr>
      </w:pPr>
    </w:p>
    <w:p>
      <w:pPr>
        <w:ind w:left="1040" w:right="900" w:hanging="228"/>
        <w:spacing w:after="0" w:line="287" w:lineRule="auto"/>
        <w:tabs>
          <w:tab w:leader="none" w:pos="10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September 26, 2024, we fully placed in-service 180 CityPoint, an approximately 329,000 net rentable square foot laboratory/life sciences project located in Waltham, Massachusetts.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Pending disposition activity</w:t>
      </w:r>
    </w:p>
    <w:p>
      <w:pPr>
        <w:spacing w:after="0" w:line="102" w:lineRule="exact"/>
        <w:rPr>
          <w:sz w:val="20"/>
          <w:szCs w:val="20"/>
          <w:color w:val="auto"/>
        </w:rPr>
      </w:pPr>
    </w:p>
    <w:p>
      <w:pPr>
        <w:ind w:left="1040" w:right="40" w:hanging="228"/>
        <w:spacing w:after="0" w:line="259" w:lineRule="auto"/>
        <w:tabs>
          <w:tab w:leader="none" w:pos="10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July 22, 2024, we executed an amendment to an agreement with a third-party developer for the sale of a portion of our Shady Grove property for an aggregate gross sale price of approximately $24.7 million (See Note 3 to the Consolidated Financial Statements). The properties under agreement consist of 2 Choke Cherry Road, 2094 Gaither Road and a land parcel, located in Rockville, Maryland. The disposition is subject to satisfaction of certain closing conditions and there can be no assurance that this transaction will be consummated on the terms currently contemplated or at all.</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Unconsolidated joint ventures activities</w:t>
      </w:r>
    </w:p>
    <w:p>
      <w:pPr>
        <w:spacing w:after="0" w:line="102" w:lineRule="exact"/>
        <w:rPr>
          <w:sz w:val="20"/>
          <w:szCs w:val="20"/>
          <w:color w:val="auto"/>
        </w:rPr>
      </w:pPr>
    </w:p>
    <w:p>
      <w:pPr>
        <w:ind w:left="1040" w:right="320" w:hanging="228"/>
        <w:spacing w:after="0" w:line="262" w:lineRule="auto"/>
        <w:tabs>
          <w:tab w:leader="none" w:pos="10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July 12, 2024, a joint venture in which we have a 20% ownership interest partially placed in-service Skymark, a luxury residential property located in Reston, Virginia, that consists of 508 residential units aggregating approximately 417,000 net rentable square feet across a five-story, low-rise building and an iconic 39-story tower, which is one of the tallest buildings in Northern Virginia.</w:t>
      </w:r>
    </w:p>
    <w:p>
      <w:pPr>
        <w:spacing w:after="0" w:line="122" w:lineRule="exact"/>
        <w:rPr>
          <w:rFonts w:ascii="Arial" w:cs="Arial" w:eastAsia="Arial" w:hAnsi="Arial"/>
          <w:sz w:val="18"/>
          <w:szCs w:val="18"/>
          <w:color w:val="auto"/>
        </w:rPr>
      </w:pPr>
    </w:p>
    <w:p>
      <w:pPr>
        <w:ind w:left="1040" w:right="20" w:hanging="228"/>
        <w:spacing w:after="0" w:line="272" w:lineRule="auto"/>
        <w:tabs>
          <w:tab w:leader="none" w:pos="1032"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July 18, 2024, a joint venture in which we have a 50% ownership interest extended by one year the maturity date of its loan collateralized by 100 Causeway Street. At the time of the extension, the loan had an outstanding balance totaling approximately $333.6 million, bore interest at Term SOFR plus 1.48% per annum, and was scheduled to mature on September 5, 2024.</w:t>
      </w:r>
    </w:p>
    <w:p>
      <w:pPr>
        <w:spacing w:after="0" w:line="1" w:lineRule="exact"/>
        <w:rPr>
          <w:rFonts w:ascii="Arial" w:cs="Arial" w:eastAsia="Arial" w:hAnsi="Arial"/>
          <w:sz w:val="17"/>
          <w:szCs w:val="17"/>
          <w:color w:val="auto"/>
        </w:rPr>
      </w:pPr>
    </w:p>
    <w:p>
      <w:pPr>
        <w:ind w:left="1040" w:right="180"/>
        <w:spacing w:after="0" w:line="258" w:lineRule="auto"/>
        <w:rPr>
          <w:rFonts w:ascii="Arial" w:cs="Arial" w:eastAsia="Arial" w:hAnsi="Arial"/>
          <w:sz w:val="17"/>
          <w:szCs w:val="17"/>
          <w:color w:val="auto"/>
        </w:rPr>
      </w:pPr>
      <w:r>
        <w:rPr>
          <w:rFonts w:ascii="Arial" w:cs="Arial" w:eastAsia="Arial" w:hAnsi="Arial"/>
          <w:sz w:val="18"/>
          <w:szCs w:val="18"/>
          <w:color w:val="auto"/>
        </w:rPr>
        <w:t>Following the extension, the loan will continue to bear interest at Term SOFR plus 1.48% per annum, and is scheduled to mature on September 5, 2025. 100 Causeway Street is an approximately 634,000 net rentable square foot premier workplace located in Boston, Massachusetts.</w:t>
      </w:r>
    </w:p>
    <w:p>
      <w:pPr>
        <w:spacing w:after="0" w:line="124" w:lineRule="exact"/>
        <w:rPr>
          <w:rFonts w:ascii="Arial" w:cs="Arial" w:eastAsia="Arial" w:hAnsi="Arial"/>
          <w:sz w:val="17"/>
          <w:szCs w:val="17"/>
          <w:color w:val="auto"/>
        </w:rPr>
      </w:pPr>
    </w:p>
    <w:p>
      <w:pPr>
        <w:ind w:left="1040" w:right="200" w:hanging="228"/>
        <w:spacing w:after="0" w:line="268" w:lineRule="auto"/>
        <w:tabs>
          <w:tab w:leader="none" w:pos="10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August 8, 2024, a joint venture in which we have a 71.11% ownership interest partially placed in-service 360 Park Avenue South, a 20-story, premier workplace building with ground floor retail located in New York City, New York, aggregating approximately 450,000 net rentable square feet.</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Debt activities</w:t>
      </w:r>
    </w:p>
    <w:p>
      <w:pPr>
        <w:spacing w:after="0" w:line="88" w:lineRule="exact"/>
        <w:rPr>
          <w:sz w:val="20"/>
          <w:szCs w:val="20"/>
          <w:color w:val="auto"/>
        </w:rPr>
      </w:pPr>
    </w:p>
    <w:p>
      <w:pPr>
        <w:ind w:left="1040" w:hanging="228"/>
        <w:spacing w:after="0" w:line="259" w:lineRule="auto"/>
        <w:tabs>
          <w:tab w:leader="none" w:pos="10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August 26, 2024, BPLP completed a public offering of $850.0 million in aggregate principal amount of its 5.750% unsecured senior notes due 2035. The notes were priced at 99.961% of the principal amount to yield an effective rate (including financing fees) of approximately 5.842% per annum to maturity. The notes will mature on January 15, 2035, unless earlier redeemed. The aggregate net proceeds from the offering were approximately $841.9 million after deducting underwriting discounts and transaction expenses.</w:t>
      </w:r>
    </w:p>
    <w:p>
      <w:pPr>
        <w:spacing w:after="0" w:line="125" w:lineRule="exact"/>
        <w:rPr>
          <w:rFonts w:ascii="Arial" w:cs="Arial" w:eastAsia="Arial" w:hAnsi="Arial"/>
          <w:sz w:val="18"/>
          <w:szCs w:val="18"/>
          <w:color w:val="auto"/>
        </w:rPr>
      </w:pPr>
    </w:p>
    <w:p>
      <w:pPr>
        <w:ind w:left="1040" w:right="60" w:hanging="228"/>
        <w:spacing w:after="0" w:line="259" w:lineRule="auto"/>
        <w:tabs>
          <w:tab w:leader="none" w:pos="10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September 27, 2024, BPLP entered into a credit agreement that provides for a $100.0 million unsecured term loan facility (the “2024 Unsecured Term Loan”) with a lender (the “Lender”) under the mortgage loan collateralized by our Santa Monica Business Park properties located in Santa Monica, California (the “SMBP Loan”). Upon entry into the credit agreement, BPLP exercised its option to draw $100.0 million under the 2024 Unsecured Term Loan. The proceeds were used to repay the portion of the SMBP Loan held by the Lender. After the repayment, the SMBP Loan had a remaining principal</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40" w:right="80"/>
        <w:spacing w:after="0" w:line="262" w:lineRule="auto"/>
        <w:rPr>
          <w:sz w:val="20"/>
          <w:szCs w:val="20"/>
          <w:color w:val="auto"/>
        </w:rPr>
      </w:pPr>
      <w:r>
        <w:rPr>
          <w:rFonts w:ascii="Arial" w:cs="Arial" w:eastAsia="Arial" w:hAnsi="Arial"/>
          <w:sz w:val="18"/>
          <w:szCs w:val="18"/>
          <w:color w:val="auto"/>
        </w:rPr>
        <w:t>balance of $200.0 million. The 2024 Unsecured Term Loan bears interest at a variable rate, matures on September 26, 2025 with three, one-year extension options, subject to customary conditions (See Note 6 to the Consolidated Financial Statements). The interest rate is subject to an existing interest rate swap to fix Daily Simple SOFR at a fixed interest rate of approximately 2.688% per annum for a period that ends on April 1, 2025.</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Transactions completed subsequent to September 30, 2024 included the following:</w:t>
      </w:r>
    </w:p>
    <w:p>
      <w:pPr>
        <w:spacing w:after="0" w:line="90" w:lineRule="exact"/>
        <w:rPr>
          <w:sz w:val="20"/>
          <w:szCs w:val="20"/>
          <w:color w:val="auto"/>
        </w:rPr>
      </w:pPr>
    </w:p>
    <w:p>
      <w:pPr>
        <w:ind w:left="1040" w:right="140" w:hanging="228"/>
        <w:spacing w:after="0" w:line="287" w:lineRule="auto"/>
        <w:tabs>
          <w:tab w:leader="none" w:pos="10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October 5, 2024, we fully placed in-service 103 CityPoint, an approximately 113,000 net rentable square foot laboratory/life sciences project located in Waltham, Massachusetts.</w:t>
      </w:r>
    </w:p>
    <w:p>
      <w:pPr>
        <w:spacing w:after="0" w:line="98" w:lineRule="exact"/>
        <w:rPr>
          <w:rFonts w:ascii="Arial" w:cs="Arial" w:eastAsia="Arial" w:hAnsi="Arial"/>
          <w:sz w:val="18"/>
          <w:szCs w:val="18"/>
          <w:color w:val="auto"/>
        </w:rPr>
      </w:pPr>
    </w:p>
    <w:p>
      <w:pPr>
        <w:ind w:left="1040" w:right="20" w:hanging="228"/>
        <w:spacing w:after="0" w:line="255" w:lineRule="auto"/>
        <w:tabs>
          <w:tab w:leader="none" w:pos="10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October 8, 2024, we modified the SMBP Loan. The SMBP Loan had an outstanding principal balance of $200.0 million, bore interest at a variable rate equal to Daily Simple SOFR + 1.38% per annum and was scheduled to mature on July 19, 2025 (See “</w:t>
      </w:r>
      <w:r>
        <w:rPr>
          <w:rFonts w:ascii="Arial" w:cs="Arial" w:eastAsia="Arial" w:hAnsi="Arial"/>
          <w:sz w:val="18"/>
          <w:szCs w:val="18"/>
          <w:i w:val="1"/>
          <w:iCs w:val="1"/>
          <w:color w:val="auto"/>
        </w:rPr>
        <w:t>Debt Activities</w:t>
      </w:r>
      <w:r>
        <w:rPr>
          <w:rFonts w:ascii="Arial" w:cs="Arial" w:eastAsia="Arial" w:hAnsi="Arial"/>
          <w:sz w:val="18"/>
          <w:szCs w:val="18"/>
          <w:color w:val="auto"/>
        </w:rPr>
        <w:t>” above). The modified loan is scheduled to mature on October 8, 2028 and continues to bear interest at a variable rate equal to Daily Simple SOFR + 1.38% per annum until July 19, 2025. Beginning July 19, 2025, the mortgage loan will bear interest at Daily Simple SOFR + 1.60% per annum through the maturity date. The entire principal is subject to interest rate swap contracts to fix Daily Simple SOFR at a weighted-average fixed interest rate of approximately 2.675% per annum through April 1, 2025 (See Note 7 to the Consolidated Financial Statements). The mortgage loan requires monthly interest-only payments during the term of the loan, with the entire principal due at maturity. Santa Monica Business Park is an office park consisting of 21 buildings totaling approximately 1.2 million net rentable square feet.</w:t>
      </w:r>
    </w:p>
    <w:p>
      <w:pPr>
        <w:spacing w:after="0" w:line="126" w:lineRule="exact"/>
        <w:rPr>
          <w:rFonts w:ascii="Arial" w:cs="Arial" w:eastAsia="Arial" w:hAnsi="Arial"/>
          <w:sz w:val="18"/>
          <w:szCs w:val="18"/>
          <w:color w:val="auto"/>
        </w:rPr>
      </w:pPr>
    </w:p>
    <w:p>
      <w:pPr>
        <w:ind w:left="1040" w:right="140" w:hanging="228"/>
        <w:spacing w:after="0" w:line="268" w:lineRule="auto"/>
        <w:tabs>
          <w:tab w:leader="none" w:pos="10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October 31, 2024, we completed and fully placed in-service 300 Binney Street, a laboratory/life sciences redevelopment project with approximately 236,000 net rentable square feet located in Cambridge, Massachusetts. The property is fully leased to a life sciences client.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4"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discuss our Consolidated Financial Statements, which have been prepared in accordance with generally accepted accounting principles (“GAAP”). The preparation of these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 and assumptions.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Annual Report on Form 10-K for the year ended December 31, 2023 contains a discussion of our critical accounting estimates.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critical accounting estimates since the year ended December 31,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2024 and 2023</w:t>
      </w:r>
    </w:p>
    <w:p>
      <w:pPr>
        <w:spacing w:after="0" w:line="104"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Net income attributable to BXP, Inc. and net income attributable to Boston Properties Limited Partnership increased by approximately $172.8 million and $ 192.6 million, respectively, for the nine months ended September 30, 2024 compared to 2023, as set forth in the following tables and for the reasons discussed below under the heading “</w:t>
      </w:r>
      <w:r>
        <w:rPr>
          <w:rFonts w:ascii="Arial" w:cs="Arial" w:eastAsia="Arial" w:hAnsi="Arial"/>
          <w:sz w:val="18"/>
          <w:szCs w:val="18"/>
          <w:i w:val="1"/>
          <w:iCs w:val="1"/>
          <w:color w:val="auto"/>
        </w:rPr>
        <w:t>Comparison of the nine months ended September 30, 2024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nine months ended September 30, 2023” </w:t>
      </w:r>
      <w:r>
        <w:rPr>
          <w:rFonts w:ascii="Arial" w:cs="Arial" w:eastAsia="Arial" w:hAnsi="Arial"/>
          <w:sz w:val="18"/>
          <w:szCs w:val="18"/>
          <w:color w:val="auto"/>
        </w:rPr>
        <w:t>within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w:t>
      </w:r>
    </w:p>
    <w:p>
      <w:pPr>
        <w:spacing w:after="0" w:line="12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following are reconciliations of Net Income Attributable to BXP, Inc. to Net Operating Income and Net Income Attributable to Boston Properties Limited Partnership to Net Operating Income for the nine months ended September 30, 2024 and 2023. For a detailed discussion of Net Operating Income (“NOI”), including the reasons management believes NOI is useful to investors, see page 61</w:t>
      </w:r>
      <w:r>
        <w:rPr>
          <w:rFonts w:ascii="Arial" w:cs="Arial" w:eastAsia="Arial" w:hAnsi="Arial"/>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Nine months ended September 30,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Increase/</w:t>
            </w:r>
          </w:p>
        </w:tc>
        <w:tc>
          <w:tcPr>
            <w:tcW w:w="1200" w:type="dxa"/>
            <w:vAlign w:val="bottom"/>
          </w:tcPr>
          <w:p>
            <w:pPr>
              <w:jc w:val="right"/>
              <w:ind w:right="43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(Decrease)</w:t>
            </w: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9"/>
              </w:rPr>
              <w:t>(in thousands)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BXP, Inc.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243,126</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172,836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245.89 %</w:t>
            </w: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230.90 %</w:t>
            </w:r>
          </w:p>
        </w:tc>
        <w:tc>
          <w:tcPr>
            <w:tcW w:w="0" w:type="dxa"/>
            <w:vAlign w:val="bottom"/>
          </w:tcPr>
          <w:p>
            <w:pPr>
              <w:spacing w:after="0"/>
              <w:rPr>
                <w:sz w:val="1"/>
                <w:szCs w:val="1"/>
                <w:color w:val="auto"/>
              </w:rPr>
            </w:pPr>
          </w:p>
        </w:tc>
      </w:tr>
      <w:tr>
        <w:trPr>
          <w:trHeight w:val="215"/>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50,283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183,736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132.88 %</w:t>
            </w: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474,727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424,492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50,235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11.83 %</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loss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340"/>
              <w:spacing w:after="0"/>
              <w:rPr>
                <w:sz w:val="20"/>
                <w:szCs w:val="20"/>
                <w:color w:val="auto"/>
              </w:rPr>
            </w:pPr>
            <w:r>
              <w:rPr>
                <w:rFonts w:ascii="Arial" w:cs="Arial" w:eastAsia="Arial" w:hAnsi="Arial"/>
                <w:sz w:val="16"/>
                <w:szCs w:val="16"/>
                <w:color w:val="auto"/>
              </w:rPr>
              <w:t>Unrealized gain on non-real estate investment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65.06 %</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from investments in securities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107.05 %</w:t>
            </w:r>
          </w:p>
        </w:tc>
        <w:tc>
          <w:tcPr>
            <w:tcW w:w="0" w:type="dxa"/>
            <w:vAlign w:val="bottom"/>
          </w:tcPr>
          <w:p>
            <w:pPr>
              <w:spacing w:after="0"/>
              <w:rPr>
                <w:sz w:val="1"/>
                <w:szCs w:val="1"/>
                <w:color w:val="auto"/>
              </w:rPr>
            </w:pPr>
          </w:p>
        </w:tc>
      </w:tr>
      <w:tr>
        <w:trPr>
          <w:trHeight w:val="215"/>
        </w:trPr>
        <w:tc>
          <w:tcPr>
            <w:tcW w:w="604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39,747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48,999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(9,252)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6040" w:type="dxa"/>
            <w:vAlign w:val="bottom"/>
          </w:tcPr>
          <w:p>
            <w:pPr>
              <w:ind w:left="340"/>
              <w:spacing w:after="0"/>
              <w:rPr>
                <w:sz w:val="20"/>
                <w:szCs w:val="20"/>
                <w:color w:val="auto"/>
              </w:rPr>
            </w:pPr>
            <w:r>
              <w:rPr>
                <w:rFonts w:ascii="Arial" w:cs="Arial" w:eastAsia="Arial" w:hAnsi="Arial"/>
                <w:sz w:val="16"/>
                <w:szCs w:val="16"/>
                <w:color w:val="auto"/>
              </w:rPr>
              <w:t>Income (loss) from unconsolidated joint ventures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(261,793)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268,169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102.44 %</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661,148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618,746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6.85 %</w:t>
            </w:r>
          </w:p>
        </w:tc>
        <w:tc>
          <w:tcPr>
            <w:tcW w:w="0" w:type="dxa"/>
            <w:vAlign w:val="bottom"/>
          </w:tcPr>
          <w:p>
            <w:pPr>
              <w:spacing w:after="0"/>
              <w:rPr>
                <w:sz w:val="1"/>
                <w:szCs w:val="1"/>
                <w:color w:val="auto"/>
              </w:rPr>
            </w:pPr>
          </w:p>
        </w:tc>
      </w:tr>
      <w:tr>
        <w:trPr>
          <w:trHeight w:val="215"/>
        </w:trPr>
        <w:tc>
          <w:tcPr>
            <w:tcW w:w="604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(54.82)%</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15"/>
        </w:trPr>
        <w:tc>
          <w:tcPr>
            <w:tcW w:w="6040" w:type="dxa"/>
            <w:vAlign w:val="bottom"/>
          </w:tcPr>
          <w:p>
            <w:pPr>
              <w:ind w:left="3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127,479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131,387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40" w:type="dxa"/>
            <w:vAlign w:val="bottom"/>
            <w:shd w:val="clear" w:color="auto" w:fill="CCEEFF"/>
          </w:tcPr>
          <w:p>
            <w:pPr>
              <w:ind w:left="340"/>
              <w:spacing w:after="0" w:line="163" w:lineRule="exact"/>
              <w:rPr>
                <w:sz w:val="20"/>
                <w:szCs w:val="20"/>
                <w:color w:val="auto"/>
              </w:rPr>
            </w:pPr>
            <w:r>
              <w:rPr>
                <w:rFonts w:ascii="Arial" w:cs="Arial" w:eastAsia="Arial" w:hAnsi="Arial"/>
                <w:sz w:val="16"/>
                <w:szCs w:val="16"/>
                <w:color w:val="auto"/>
              </w:rPr>
              <w:t>Direct reimbursements of payroll and related costs from management</w:t>
            </w: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12,090</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services contracts</w:t>
            </w: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3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1,528,615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1,496,376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32,239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2.15 %</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Nine months ended September 30,</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Increase/</w:t>
            </w:r>
          </w:p>
        </w:tc>
        <w:tc>
          <w:tcPr>
            <w:tcW w:w="1240" w:type="dxa"/>
            <w:vAlign w:val="bottom"/>
          </w:tcPr>
          <w:p>
            <w:pPr>
              <w:jc w:val="right"/>
              <w:ind w:right="45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(Decrease)</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276,826</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192,594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228.65 %</w:t>
            </w: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50,283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59,337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(9,054)</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09"/>
        </w:trPr>
        <w:tc>
          <w:tcPr>
            <w:tcW w:w="6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327,109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143,569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183,540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127.84 %</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Add: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474,727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424,492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50,235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11.83 %</w:t>
            </w:r>
          </w:p>
        </w:tc>
        <w:tc>
          <w:tcPr>
            <w:tcW w:w="0" w:type="dxa"/>
            <w:vAlign w:val="bottom"/>
          </w:tcPr>
          <w:p>
            <w:pPr>
              <w:spacing w:after="0"/>
              <w:rPr>
                <w:sz w:val="1"/>
                <w:szCs w:val="1"/>
                <w:color w:val="auto"/>
              </w:rPr>
            </w:pPr>
          </w:p>
        </w:tc>
      </w:tr>
      <w:tr>
        <w:trPr>
          <w:trHeight w:val="215"/>
        </w:trPr>
        <w:tc>
          <w:tcPr>
            <w:tcW w:w="6040" w:type="dxa"/>
            <w:vAlign w:val="bottom"/>
          </w:tcPr>
          <w:p>
            <w:pPr>
              <w:ind w:left="360"/>
              <w:spacing w:after="0"/>
              <w:rPr>
                <w:sz w:val="20"/>
                <w:szCs w:val="20"/>
                <w:color w:val="auto"/>
              </w:rPr>
            </w:pPr>
            <w:r>
              <w:rPr>
                <w:rFonts w:ascii="Arial" w:cs="Arial" w:eastAsia="Arial" w:hAnsi="Arial"/>
                <w:sz w:val="16"/>
                <w:szCs w:val="16"/>
                <w:color w:val="auto"/>
              </w:rPr>
              <w:t>Impairment loss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13,615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Less: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65.06 %</w:t>
            </w:r>
          </w:p>
        </w:tc>
        <w:tc>
          <w:tcPr>
            <w:tcW w:w="0" w:type="dxa"/>
            <w:vAlign w:val="bottom"/>
          </w:tcPr>
          <w:p>
            <w:pPr>
              <w:spacing w:after="0"/>
              <w:rPr>
                <w:sz w:val="1"/>
                <w:szCs w:val="1"/>
                <w:color w:val="auto"/>
              </w:rPr>
            </w:pPr>
          </w:p>
        </w:tc>
      </w:tr>
      <w:tr>
        <w:trPr>
          <w:trHeight w:val="215"/>
        </w:trPr>
        <w:tc>
          <w:tcPr>
            <w:tcW w:w="6040" w:type="dxa"/>
            <w:vAlign w:val="bottom"/>
          </w:tcPr>
          <w:p>
            <w:pPr>
              <w:ind w:left="360"/>
              <w:spacing w:after="0"/>
              <w:rPr>
                <w:sz w:val="20"/>
                <w:szCs w:val="20"/>
                <w:color w:val="auto"/>
              </w:rPr>
            </w:pPr>
            <w:r>
              <w:rPr>
                <w:rFonts w:ascii="Arial" w:cs="Arial" w:eastAsia="Arial" w:hAnsi="Arial"/>
                <w:sz w:val="16"/>
                <w:szCs w:val="16"/>
                <w:color w:val="auto"/>
              </w:rPr>
              <w:t>Gains from investments in securities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2,474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107.05 %</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and other income (loss)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215"/>
        </w:trPr>
        <w:tc>
          <w:tcPr>
            <w:tcW w:w="6040" w:type="dxa"/>
            <w:vAlign w:val="bottom"/>
          </w:tcPr>
          <w:p>
            <w:pPr>
              <w:ind w:left="360"/>
              <w:spacing w:after="0"/>
              <w:rPr>
                <w:sz w:val="20"/>
                <w:szCs w:val="20"/>
                <w:color w:val="auto"/>
              </w:rPr>
            </w:pPr>
            <w:r>
              <w:rPr>
                <w:rFonts w:ascii="Arial" w:cs="Arial" w:eastAsia="Arial" w:hAnsi="Arial"/>
                <w:sz w:val="16"/>
                <w:szCs w:val="16"/>
                <w:color w:val="auto"/>
              </w:rPr>
              <w:t>Gains on sales of real estate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(loss) from unconsolidated joint ventures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268,169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102.44 %</w:t>
            </w: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36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656,044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613,446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42,598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6.94 %</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Transaction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w:t>
            </w:r>
          </w:p>
        </w:tc>
        <w:tc>
          <w:tcPr>
            <w:tcW w:w="0" w:type="dxa"/>
            <w:vAlign w:val="bottom"/>
          </w:tcPr>
          <w:p>
            <w:pPr>
              <w:spacing w:after="0"/>
              <w:rPr>
                <w:sz w:val="1"/>
                <w:szCs w:val="1"/>
                <w:color w:val="auto"/>
              </w:rPr>
            </w:pPr>
          </w:p>
        </w:tc>
      </w:tr>
      <w:tr>
        <w:trPr>
          <w:trHeight w:val="215"/>
        </w:trPr>
        <w:tc>
          <w:tcPr>
            <w:tcW w:w="6040" w:type="dxa"/>
            <w:vAlign w:val="bottom"/>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40" w:type="dxa"/>
            <w:vAlign w:val="bottom"/>
          </w:tcPr>
          <w:p>
            <w:pPr>
              <w:ind w:left="360"/>
              <w:spacing w:after="0" w:line="162" w:lineRule="exact"/>
              <w:rPr>
                <w:sz w:val="20"/>
                <w:szCs w:val="20"/>
                <w:color w:val="auto"/>
              </w:rPr>
            </w:pPr>
            <w:r>
              <w:rPr>
                <w:rFonts w:ascii="Arial" w:cs="Arial" w:eastAsia="Arial" w:hAnsi="Arial"/>
                <w:sz w:val="16"/>
                <w:szCs w:val="16"/>
                <w:color w:val="auto"/>
              </w:rPr>
              <w:t>Direct reimbursements of payroll and related costs from management</w:t>
            </w: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12,090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13,750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(1,660)</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15"/>
        </w:trPr>
        <w:tc>
          <w:tcPr>
            <w:tcW w:w="6040" w:type="dxa"/>
            <w:vAlign w:val="bottom"/>
          </w:tcPr>
          <w:p>
            <w:pPr>
              <w:ind w:left="520"/>
              <w:spacing w:after="0"/>
              <w:rPr>
                <w:sz w:val="20"/>
                <w:szCs w:val="20"/>
                <w:color w:val="auto"/>
              </w:rPr>
            </w:pPr>
            <w:r>
              <w:rPr>
                <w:rFonts w:ascii="Arial" w:cs="Arial" w:eastAsia="Arial" w:hAnsi="Arial"/>
                <w:sz w:val="16"/>
                <w:szCs w:val="16"/>
                <w:color w:val="auto"/>
              </w:rPr>
              <w:t>services contracts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management services revenue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19,276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28,122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(8,846)</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1,528,615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1,496,376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32,239</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2.15 %</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At September 30, 2024 and 2023, we owned or had joint venture interests in a portfolio of 184 and 190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nine months ended September 30, 2024 and 2023 show separately the changes attributable to the properties that were owned by us and in-service throughout each period compared (the “Same Property Portfolio”) and the changes attributable to the properties included in the Acquired, Placed In-Service, In or Held for Development or Redevelopment or Sold Portfolios.</w:t>
      </w:r>
    </w:p>
    <w:p>
      <w:pPr>
        <w:spacing w:after="0" w:line="13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In our analysis of operating results, particularly to make comparisons of NOI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or held for development or redevelopment after the beginning of the earliest period presented or disposed of prior to the end of the latest period presented.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NOI is a non-GAAP financial measure equal to net income attributable to BXP, Inc. and net income attributable to Boston Properties Limited Partnership, as applicable, the most directly comparable GAAP financial measures, plus (1) net income attributable to noncontrolling interests, interest expense, impairment loss, depreciation and amortization expense, transaction costs, payroll and related costs from management services contracts and corporate general and administrative expense less (2) unrealized gain on non-real estate investment, gains from investments in securities, interest and other income (loss), gains on sales of real estate, income (loss) from unconsolidated joint ventures,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BXP,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16"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We believe that in order to understand our operating results, NOI should be examined in conjunction with net income attributable to BXP, Inc. and net income attributable to Boston Properties Limited Partnership as presented in our Consolidated Financial Statements. NOI should not be considered as a substitute for net income attributable to BXP,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1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redemptions of common units of limited partnership interest of BPLP (“OP Units”).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when those properties are sold. For additional information see the Explanatory Note that immediately follows the cover page of this Quarterly Report on Form 10-Q.</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the nine months ended September 30, 2024 to the nine months ended September 30, 2023</w:t>
      </w:r>
    </w:p>
    <w:p>
      <w:pPr>
        <w:spacing w:after="0" w:line="88" w:lineRule="exact"/>
        <w:rPr>
          <w:sz w:val="20"/>
          <w:szCs w:val="20"/>
          <w:color w:val="auto"/>
        </w:rPr>
      </w:pPr>
    </w:p>
    <w:p>
      <w:pPr>
        <w:ind w:right="320" w:firstLine="445"/>
        <w:spacing w:after="0" w:line="255" w:lineRule="auto"/>
        <w:rPr>
          <w:sz w:val="20"/>
          <w:szCs w:val="20"/>
          <w:color w:val="auto"/>
        </w:rPr>
      </w:pPr>
      <w:r>
        <w:rPr>
          <w:rFonts w:ascii="Arial" w:cs="Arial" w:eastAsia="Arial" w:hAnsi="Arial"/>
          <w:sz w:val="18"/>
          <w:szCs w:val="18"/>
          <w:color w:val="auto"/>
        </w:rPr>
        <w:t>The table below shows selected operating information for the Same Property Portfolio and the Total Property Portfolio. The Same Property Portfolio consists of 127 properties totaling approximately 40.3 million net rentable square feet, excluding unconsolidated joint ventures. The Same Property Portfolio includes properties acquired or placed in-service on or prior to January 1, 2023 and owned and in service through September 30, 2024. The Total Property Portfolio includes the effects of the other properties either acquired, placed in-service, in or held for development or redevelopment after January 1, 2023 or disposed of on or prior to September 30, 2024. This table includes a reconciliation from the Same Property Portfolio to the Total Property Portfolio by also providing information for the nine months ended September 30, 2024 and 2023 with respect to the properties that were acquired, placed in-service, in or held for development or redevelopment or sold. We did not sell any properties during the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5"/>
              </w:rPr>
              <w:t>Properties in or</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restart"/>
          </w:tcPr>
          <w:p>
            <w:pPr>
              <w:jc w:val="center"/>
              <w:ind w:left="157"/>
              <w:spacing w:after="0"/>
              <w:rPr>
                <w:sz w:val="20"/>
                <w:szCs w:val="20"/>
                <w:color w:val="auto"/>
              </w:rPr>
            </w:pPr>
            <w:r>
              <w:rPr>
                <w:rFonts w:ascii="Arial" w:cs="Arial" w:eastAsia="Arial" w:hAnsi="Arial"/>
                <w:sz w:val="13"/>
                <w:szCs w:val="13"/>
                <w:b w:val="1"/>
                <w:bCs w:val="1"/>
                <w:color w:val="auto"/>
                <w:w w:val="96"/>
              </w:rPr>
              <w:t>Properties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6"/>
              </w:rPr>
              <w:t>Properties</w:t>
            </w:r>
          </w:p>
        </w:tc>
        <w:tc>
          <w:tcPr>
            <w:tcW w:w="1220" w:type="dxa"/>
            <w:vAlign w:val="bottom"/>
            <w:gridSpan w:val="5"/>
          </w:tcPr>
          <w:p>
            <w:pPr>
              <w:jc w:val="center"/>
              <w:ind w:right="100"/>
              <w:spacing w:after="0" w:line="131" w:lineRule="exact"/>
              <w:rPr>
                <w:sz w:val="20"/>
                <w:szCs w:val="20"/>
                <w:color w:val="auto"/>
              </w:rPr>
            </w:pPr>
            <w:r>
              <w:rPr>
                <w:rFonts w:ascii="Arial" w:cs="Arial" w:eastAsia="Arial" w:hAnsi="Arial"/>
                <w:sz w:val="13"/>
                <w:szCs w:val="13"/>
                <w:b w:val="1"/>
                <w:bCs w:val="1"/>
                <w:color w:val="auto"/>
                <w:w w:val="97"/>
              </w:rPr>
              <w:t>Held for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220" w:type="dxa"/>
            <w:vAlign w:val="bottom"/>
            <w:gridSpan w:val="5"/>
          </w:tcPr>
          <w:p>
            <w:pPr>
              <w:jc w:val="center"/>
              <w:ind w:right="100"/>
              <w:spacing w:after="0" w:line="126" w:lineRule="exact"/>
              <w:rPr>
                <w:sz w:val="20"/>
                <w:szCs w:val="20"/>
                <w:color w:val="auto"/>
              </w:rPr>
            </w:pPr>
            <w:r>
              <w:rPr>
                <w:rFonts w:ascii="Arial" w:cs="Arial" w:eastAsia="Arial" w:hAnsi="Arial"/>
                <w:sz w:val="13"/>
                <w:szCs w:val="13"/>
                <w:b w:val="1"/>
                <w:bCs w:val="1"/>
                <w:color w:val="auto"/>
                <w:w w:val="97"/>
              </w:rPr>
              <w:t>Development or</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6"/>
            <w:vMerge w:val="restart"/>
          </w:tcPr>
          <w:p>
            <w:pPr>
              <w:ind w:left="60"/>
              <w:spacing w:after="0"/>
              <w:rPr>
                <w:sz w:val="20"/>
                <w:szCs w:val="20"/>
                <w:color w:val="auto"/>
              </w:rPr>
            </w:pPr>
            <w:r>
              <w:rPr>
                <w:rFonts w:ascii="Arial" w:cs="Arial" w:eastAsia="Arial" w:hAnsi="Arial"/>
                <w:sz w:val="13"/>
                <w:szCs w:val="13"/>
                <w:b w:val="1"/>
                <w:bCs w:val="1"/>
                <w:color w:val="auto"/>
              </w:rPr>
              <w:t>Same Property Portfolio</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left="157"/>
              <w:spacing w:after="0" w:line="122" w:lineRule="exact"/>
              <w:rPr>
                <w:sz w:val="20"/>
                <w:szCs w:val="20"/>
                <w:color w:val="auto"/>
              </w:rPr>
            </w:pPr>
            <w:r>
              <w:rPr>
                <w:rFonts w:ascii="Arial" w:cs="Arial" w:eastAsia="Arial" w:hAnsi="Arial"/>
                <w:sz w:val="13"/>
                <w:szCs w:val="13"/>
                <w:b w:val="1"/>
                <w:bCs w:val="1"/>
                <w:color w:val="auto"/>
                <w:w w:val="95"/>
              </w:rPr>
              <w:t>Acquired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Placed In-Service</w:t>
            </w:r>
          </w:p>
        </w:tc>
        <w:tc>
          <w:tcPr>
            <w:tcW w:w="1220" w:type="dxa"/>
            <w:vAlign w:val="bottom"/>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94"/>
              </w:rPr>
              <w:t>Redevelopment</w:t>
            </w:r>
          </w:p>
        </w:tc>
        <w:tc>
          <w:tcPr>
            <w:tcW w:w="740" w:type="dxa"/>
            <w:vAlign w:val="bottom"/>
          </w:tcPr>
          <w:p>
            <w:pPr>
              <w:spacing w:after="0"/>
              <w:rPr>
                <w:sz w:val="10"/>
                <w:szCs w:val="10"/>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b w:val="1"/>
                <w:bCs w:val="1"/>
                <w:color w:val="auto"/>
              </w:rPr>
              <w:t>Total Property Portfolio</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gridSpan w:val="3"/>
          </w:tcPr>
          <w:p>
            <w:pPr>
              <w:jc w:val="center"/>
              <w:ind w:left="157"/>
              <w:spacing w:after="0"/>
              <w:rPr>
                <w:sz w:val="20"/>
                <w:szCs w:val="20"/>
                <w:color w:val="auto"/>
              </w:rPr>
            </w:pPr>
            <w:r>
              <w:rPr>
                <w:rFonts w:ascii="Arial" w:cs="Arial" w:eastAsia="Arial" w:hAnsi="Arial"/>
                <w:sz w:val="13"/>
                <w:szCs w:val="13"/>
                <w:b w:val="1"/>
                <w:bCs w:val="1"/>
                <w:color w:val="auto"/>
                <w:w w:val="93"/>
              </w:rPr>
              <w:t>Portfolio</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Portfolio</w:t>
            </w:r>
          </w:p>
        </w:tc>
        <w:tc>
          <w:tcPr>
            <w:tcW w:w="100" w:type="dxa"/>
            <w:vAlign w:val="bottom"/>
          </w:tcPr>
          <w:p>
            <w:pPr>
              <w:spacing w:after="0"/>
              <w:rPr>
                <w:sz w:val="16"/>
                <w:szCs w:val="16"/>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Portfolio</w:t>
            </w: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7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2024</w:t>
            </w:r>
          </w:p>
        </w:tc>
        <w:tc>
          <w:tcPr>
            <w:tcW w:w="820" w:type="dxa"/>
            <w:vAlign w:val="bottom"/>
            <w:gridSpan w:val="2"/>
            <w:vMerge w:val="restart"/>
          </w:tcPr>
          <w:p>
            <w:pPr>
              <w:jc w:val="right"/>
              <w:ind w:right="15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0"/>
                <w:szCs w:val="10"/>
                <w:color w:val="auto"/>
              </w:rPr>
            </w:pPr>
          </w:p>
        </w:tc>
        <w:tc>
          <w:tcPr>
            <w:tcW w:w="78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2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5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0"/>
                <w:szCs w:val="10"/>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680" w:type="dxa"/>
            <w:vAlign w:val="bottom"/>
            <w:gridSpan w:val="2"/>
            <w:vMerge w:val="restart"/>
          </w:tcPr>
          <w:p>
            <w:pPr>
              <w:jc w:val="right"/>
              <w:ind w:right="97"/>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0"/>
                <w:szCs w:val="10"/>
                <w:color w:val="auto"/>
              </w:rPr>
            </w:pPr>
          </w:p>
        </w:tc>
        <w:tc>
          <w:tcPr>
            <w:tcW w:w="5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74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2024</w:t>
            </w:r>
          </w:p>
        </w:tc>
        <w:tc>
          <w:tcPr>
            <w:tcW w:w="820" w:type="dxa"/>
            <w:vAlign w:val="bottom"/>
            <w:gridSpan w:val="2"/>
            <w:vMerge w:val="restart"/>
          </w:tcPr>
          <w:p>
            <w:pPr>
              <w:jc w:val="right"/>
              <w:ind w:right="15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0"/>
                <w:szCs w:val="10"/>
                <w:color w:val="auto"/>
              </w:rPr>
            </w:pPr>
          </w:p>
        </w:tc>
        <w:tc>
          <w:tcPr>
            <w:tcW w:w="78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2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(Decrease)</w:t>
            </w: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Change</w:t>
            </w: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(Decrease)</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5"/>
          </w:tcPr>
          <w:p>
            <w:pPr>
              <w:ind w:left="80"/>
              <w:spacing w:after="0"/>
              <w:rPr>
                <w:sz w:val="20"/>
                <w:szCs w:val="20"/>
                <w:color w:val="auto"/>
              </w:rPr>
            </w:pPr>
            <w:r>
              <w:rPr>
                <w:rFonts w:ascii="Arial" w:cs="Arial" w:eastAsia="Arial" w:hAnsi="Arial"/>
                <w:sz w:val="13"/>
                <w:szCs w:val="13"/>
                <w:b w:val="1"/>
                <w:bCs w:val="1"/>
                <w:color w:val="auto"/>
                <w:w w:val="97"/>
              </w:rPr>
              <w:t>(dollars in thousands)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Rental Revenue: (1)</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320" w:type="dxa"/>
            <w:vAlign w:val="bottom"/>
          </w:tcPr>
          <w:p>
            <w:pPr>
              <w:ind w:left="180"/>
              <w:spacing w:after="0" w:line="122" w:lineRule="exact"/>
              <w:rPr>
                <w:sz w:val="20"/>
                <w:szCs w:val="20"/>
                <w:color w:val="auto"/>
              </w:rPr>
            </w:pPr>
            <w:r>
              <w:rPr>
                <w:rFonts w:ascii="Arial" w:cs="Arial" w:eastAsia="Arial" w:hAnsi="Arial"/>
                <w:sz w:val="13"/>
                <w:szCs w:val="13"/>
                <w:color w:val="auto"/>
              </w:rPr>
              <w:t>Lease Revenue</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20" w:type="dxa"/>
            <w:vAlign w:val="bottom"/>
          </w:tcPr>
          <w:p>
            <w:pPr>
              <w:ind w:left="360"/>
              <w:spacing w:after="0" w:line="131" w:lineRule="exact"/>
              <w:rPr>
                <w:sz w:val="20"/>
                <w:szCs w:val="20"/>
                <w:color w:val="auto"/>
              </w:rPr>
            </w:pPr>
            <w:r>
              <w:rPr>
                <w:rFonts w:ascii="Arial" w:cs="Arial" w:eastAsia="Arial" w:hAnsi="Arial"/>
                <w:sz w:val="13"/>
                <w:szCs w:val="13"/>
                <w:color w:val="auto"/>
              </w:rPr>
              <w:t>(Excluding</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20" w:type="dxa"/>
            <w:vAlign w:val="bottom"/>
          </w:tcPr>
          <w:p>
            <w:pPr>
              <w:ind w:left="360"/>
              <w:spacing w:after="0" w:line="126" w:lineRule="exact"/>
              <w:rPr>
                <w:sz w:val="20"/>
                <w:szCs w:val="20"/>
                <w:color w:val="auto"/>
              </w:rPr>
            </w:pPr>
            <w:r>
              <w:rPr>
                <w:rFonts w:ascii="Arial" w:cs="Arial" w:eastAsia="Arial" w:hAnsi="Arial"/>
                <w:sz w:val="13"/>
                <w:szCs w:val="13"/>
                <w:color w:val="auto"/>
              </w:rPr>
              <w:t>Termination</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w w:val="96"/>
              </w:rPr>
              <w:t>$ 2,199,822</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$ 2,223,951</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(24,129)</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w w:val="98"/>
              </w:rPr>
              <w:t>$ 75,697</w:t>
            </w:r>
          </w:p>
        </w:tc>
        <w:tc>
          <w:tcPr>
            <w:tcW w:w="80" w:type="dxa"/>
            <w:vAlign w:val="bottom"/>
          </w:tcPr>
          <w:p>
            <w:pPr>
              <w:spacing w:after="0"/>
              <w:rPr>
                <w:sz w:val="10"/>
                <w:szCs w:val="10"/>
                <w:color w:val="auto"/>
              </w:rPr>
            </w:pP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68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$ 46,434</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4"/>
              </w:rPr>
              <w:t>$ 16,582</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w w:val="96"/>
              </w:rPr>
              <w:t>$ 6,066</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8,366</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w w:val="96"/>
              </w:rPr>
              <w:t>$ 2,328,019</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$ 2,248,899</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79,120</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3.52 %</w:t>
            </w:r>
          </w:p>
        </w:tc>
        <w:tc>
          <w:tcPr>
            <w:tcW w:w="0" w:type="dxa"/>
            <w:vAlign w:val="bottom"/>
          </w:tcPr>
          <w:p>
            <w:pPr>
              <w:spacing w:after="0"/>
              <w:rPr>
                <w:sz w:val="1"/>
                <w:szCs w:val="1"/>
                <w:color w:val="auto"/>
              </w:rPr>
            </w:pPr>
          </w:p>
        </w:tc>
      </w:tr>
      <w:tr>
        <w:trPr>
          <w:trHeight w:val="171"/>
        </w:trPr>
        <w:tc>
          <w:tcPr>
            <w:tcW w:w="1320" w:type="dxa"/>
            <w:vAlign w:val="bottom"/>
          </w:tcPr>
          <w:p>
            <w:pPr>
              <w:ind w:left="360"/>
              <w:spacing w:after="0"/>
              <w:rPr>
                <w:sz w:val="20"/>
                <w:szCs w:val="20"/>
                <w:color w:val="auto"/>
              </w:rPr>
            </w:pPr>
            <w:r>
              <w:rPr>
                <w:rFonts w:ascii="Arial" w:cs="Arial" w:eastAsia="Arial" w:hAnsi="Arial"/>
                <w:sz w:val="13"/>
                <w:szCs w:val="13"/>
                <w:color w:val="auto"/>
              </w:rPr>
              <w:t>Income)</w:t>
            </w:r>
          </w:p>
        </w:tc>
        <w:tc>
          <w:tcPr>
            <w:tcW w:w="7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3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Termination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2,597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221.95 %</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2,597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476.01 %</w:t>
            </w:r>
          </w:p>
        </w:tc>
        <w:tc>
          <w:tcPr>
            <w:tcW w:w="0" w:type="dxa"/>
            <w:vAlign w:val="bottom"/>
          </w:tcPr>
          <w:p>
            <w:pPr>
              <w:spacing w:after="0"/>
              <w:rPr>
                <w:sz w:val="1"/>
                <w:szCs w:val="1"/>
                <w:color w:val="auto"/>
              </w:rPr>
            </w:pPr>
          </w:p>
        </w:tc>
      </w:tr>
      <w:tr>
        <w:trPr>
          <w:trHeight w:val="164"/>
        </w:trPr>
        <w:tc>
          <w:tcPr>
            <w:tcW w:w="1320" w:type="dxa"/>
            <w:vAlign w:val="bottom"/>
          </w:tcPr>
          <w:p>
            <w:pPr>
              <w:ind w:left="180"/>
              <w:spacing w:after="0"/>
              <w:rPr>
                <w:sz w:val="20"/>
                <w:szCs w:val="20"/>
                <w:color w:val="auto"/>
              </w:rPr>
            </w:pPr>
            <w:r>
              <w:rPr>
                <w:rFonts w:ascii="Arial" w:cs="Arial" w:eastAsia="Arial" w:hAnsi="Arial"/>
                <w:sz w:val="13"/>
                <w:szCs w:val="13"/>
                <w:color w:val="auto"/>
              </w:rPr>
              <w:t>Lease Revenue</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2,208,183</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2,226,548</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(18,365)</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(0.82)%</w:t>
            </w:r>
          </w:p>
        </w:tc>
        <w:tc>
          <w:tcPr>
            <w:tcW w:w="8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75,886</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46,434</w:t>
            </w: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16,582</w:t>
            </w:r>
          </w:p>
        </w:tc>
        <w:tc>
          <w:tcPr>
            <w:tcW w:w="1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12,475</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8,366</w:t>
            </w:r>
          </w:p>
        </w:tc>
        <w:tc>
          <w:tcPr>
            <w:tcW w:w="10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2,342,978</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2,251,496</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91,482</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4.06 %</w:t>
            </w:r>
          </w:p>
        </w:tc>
        <w:tc>
          <w:tcPr>
            <w:tcW w:w="0" w:type="dxa"/>
            <w:vAlign w:val="bottom"/>
          </w:tcPr>
          <w:p>
            <w:pPr>
              <w:spacing w:after="0"/>
              <w:rPr>
                <w:sz w:val="1"/>
                <w:szCs w:val="1"/>
                <w:color w:val="auto"/>
              </w:rPr>
            </w:pPr>
          </w:p>
        </w:tc>
      </w:tr>
      <w:tr>
        <w:trPr>
          <w:trHeight w:val="180"/>
        </w:trPr>
        <w:tc>
          <w:tcPr>
            <w:tcW w:w="1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Parking and Other</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79,110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16.31 %</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1,337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79,946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24.71 %</w:t>
            </w:r>
          </w:p>
        </w:tc>
        <w:tc>
          <w:tcPr>
            <w:tcW w:w="0" w:type="dxa"/>
            <w:vAlign w:val="bottom"/>
          </w:tcPr>
          <w:p>
            <w:pPr>
              <w:spacing w:after="0"/>
              <w:rPr>
                <w:sz w:val="1"/>
                <w:szCs w:val="1"/>
                <w:color w:val="auto"/>
              </w:rPr>
            </w:pPr>
          </w:p>
        </w:tc>
      </w:tr>
      <w:tr>
        <w:trPr>
          <w:trHeight w:val="102"/>
        </w:trPr>
        <w:tc>
          <w:tcPr>
            <w:tcW w:w="1320" w:type="dxa"/>
            <w:vAlign w:val="bottom"/>
          </w:tcPr>
          <w:p>
            <w:pPr>
              <w:ind w:left="20"/>
              <w:spacing w:after="0" w:line="102" w:lineRule="exact"/>
              <w:rPr>
                <w:sz w:val="20"/>
                <w:szCs w:val="20"/>
                <w:color w:val="auto"/>
              </w:rPr>
            </w:pPr>
            <w:r>
              <w:rPr>
                <w:rFonts w:ascii="Arial" w:cs="Arial" w:eastAsia="Arial" w:hAnsi="Arial"/>
                <w:sz w:val="10"/>
                <w:szCs w:val="10"/>
                <w:color w:val="auto"/>
              </w:rPr>
              <w:t>Total Rental Revenue</w:t>
            </w: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320" w:type="dxa"/>
            <w:vAlign w:val="bottom"/>
          </w:tcPr>
          <w:p>
            <w:pPr>
              <w:ind w:left="20"/>
              <w:spacing w:after="0"/>
              <w:rPr>
                <w:sz w:val="20"/>
                <w:szCs w:val="20"/>
                <w:color w:val="auto"/>
              </w:rPr>
            </w:pPr>
            <w:r>
              <w:rPr>
                <w:rFonts w:ascii="Arial" w:cs="Arial" w:eastAsia="Arial" w:hAnsi="Arial"/>
                <w:sz w:val="13"/>
                <w:szCs w:val="13"/>
                <w:color w:val="auto"/>
              </w:rPr>
              <w:t>(1)</w:t>
            </w:r>
          </w:p>
        </w:tc>
        <w:tc>
          <w:tcPr>
            <w:tcW w:w="740" w:type="dxa"/>
            <w:vAlign w:val="bottom"/>
          </w:tcPr>
          <w:p>
            <w:pPr>
              <w:jc w:val="right"/>
              <w:spacing w:after="0"/>
              <w:rPr>
                <w:sz w:val="20"/>
                <w:szCs w:val="20"/>
                <w:color w:val="auto"/>
              </w:rPr>
            </w:pPr>
            <w:r>
              <w:rPr>
                <w:rFonts w:ascii="Arial" w:cs="Arial" w:eastAsia="Arial" w:hAnsi="Arial"/>
                <w:sz w:val="13"/>
                <w:szCs w:val="13"/>
                <w:color w:val="auto"/>
              </w:rPr>
              <w:t>2,300,197</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2,305,658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(5,461)</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(0.24)%</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82,122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80" w:type="dxa"/>
            <w:vAlign w:val="bottom"/>
            <w:gridSpan w:val="2"/>
          </w:tcPr>
          <w:p>
            <w:pPr>
              <w:jc w:val="right"/>
              <w:ind w:right="17"/>
              <w:spacing w:after="0"/>
              <w:rPr>
                <w:sz w:val="20"/>
                <w:szCs w:val="20"/>
                <w:color w:val="auto"/>
              </w:rPr>
            </w:pPr>
            <w:r>
              <w:rPr>
                <w:rFonts w:ascii="Arial" w:cs="Arial" w:eastAsia="Arial" w:hAnsi="Arial"/>
                <w:sz w:val="13"/>
                <w:szCs w:val="13"/>
                <w:color w:val="auto"/>
              </w:rPr>
              <w:t>47,771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17,416</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12,585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8,368</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2,442,675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2,331,442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111,233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4.77 %</w:t>
            </w:r>
          </w:p>
        </w:tc>
        <w:tc>
          <w:tcPr>
            <w:tcW w:w="0" w:type="dxa"/>
            <w:vAlign w:val="bottom"/>
          </w:tcPr>
          <w:p>
            <w:pPr>
              <w:spacing w:after="0"/>
              <w:rPr>
                <w:sz w:val="1"/>
                <w:szCs w:val="1"/>
                <w:color w:val="auto"/>
              </w:rPr>
            </w:pPr>
          </w:p>
        </w:tc>
      </w:tr>
      <w:tr>
        <w:trPr>
          <w:trHeight w:val="128"/>
        </w:trPr>
        <w:tc>
          <w:tcPr>
            <w:tcW w:w="13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Real Estate Operating</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892,274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846,956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45,318</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5.35 %</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15,833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11,299</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946,067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865,552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80,515</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9.30 %</w:t>
            </w:r>
          </w:p>
        </w:tc>
        <w:tc>
          <w:tcPr>
            <w:tcW w:w="0" w:type="dxa"/>
            <w:vAlign w:val="bottom"/>
          </w:tcPr>
          <w:p>
            <w:pPr>
              <w:spacing w:after="0"/>
              <w:rPr>
                <w:sz w:val="1"/>
                <w:szCs w:val="1"/>
                <w:color w:val="auto"/>
              </w:rPr>
            </w:pPr>
          </w:p>
        </w:tc>
      </w:tr>
      <w:tr>
        <w:trPr>
          <w:trHeight w:val="102"/>
        </w:trPr>
        <w:tc>
          <w:tcPr>
            <w:tcW w:w="1320" w:type="dxa"/>
            <w:vAlign w:val="bottom"/>
          </w:tcPr>
          <w:p>
            <w:pPr>
              <w:ind w:left="20"/>
              <w:spacing w:after="0" w:line="102" w:lineRule="exact"/>
              <w:rPr>
                <w:sz w:val="20"/>
                <w:szCs w:val="20"/>
                <w:color w:val="auto"/>
              </w:rPr>
            </w:pPr>
            <w:r>
              <w:rPr>
                <w:rFonts w:ascii="Arial" w:cs="Arial" w:eastAsia="Arial" w:hAnsi="Arial"/>
                <w:sz w:val="10"/>
                <w:szCs w:val="10"/>
                <w:color w:val="auto"/>
              </w:rPr>
              <w:t>Net Operating Income</w:t>
            </w: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20" w:type="dxa"/>
            <w:vAlign w:val="bottom"/>
          </w:tcPr>
          <w:p>
            <w:pPr>
              <w:ind w:left="180"/>
              <w:spacing w:after="0" w:line="131" w:lineRule="exact"/>
              <w:rPr>
                <w:sz w:val="20"/>
                <w:szCs w:val="20"/>
                <w:color w:val="auto"/>
              </w:rPr>
            </w:pPr>
            <w:r>
              <w:rPr>
                <w:rFonts w:ascii="Arial" w:cs="Arial" w:eastAsia="Arial" w:hAnsi="Arial"/>
                <w:sz w:val="13"/>
                <w:szCs w:val="13"/>
                <w:color w:val="auto"/>
              </w:rPr>
              <w:t>(Loss), Excluding</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20" w:type="dxa"/>
            <w:vAlign w:val="bottom"/>
          </w:tcPr>
          <w:p>
            <w:pPr>
              <w:ind w:left="180"/>
              <w:spacing w:after="0" w:line="126" w:lineRule="exact"/>
              <w:rPr>
                <w:sz w:val="20"/>
                <w:szCs w:val="20"/>
                <w:color w:val="auto"/>
              </w:rPr>
            </w:pPr>
            <w:r>
              <w:rPr>
                <w:rFonts w:ascii="Arial" w:cs="Arial" w:eastAsia="Arial" w:hAnsi="Arial"/>
                <w:sz w:val="13"/>
                <w:szCs w:val="13"/>
                <w:color w:val="auto"/>
              </w:rPr>
              <w:t>Residential and</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1,407,923</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1,458,702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(50,779)</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(3.48)%</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52,281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68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31,938</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10,119</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4,466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97"/>
              </w:rPr>
              <w:t>(2,931)</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1,496,608</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1,465,890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30,718</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2.10 %</w:t>
            </w:r>
          </w:p>
        </w:tc>
        <w:tc>
          <w:tcPr>
            <w:tcW w:w="0" w:type="dxa"/>
            <w:vAlign w:val="bottom"/>
          </w:tcPr>
          <w:p>
            <w:pPr>
              <w:spacing w:after="0"/>
              <w:rPr>
                <w:sz w:val="1"/>
                <w:szCs w:val="1"/>
                <w:color w:val="auto"/>
              </w:rPr>
            </w:pPr>
          </w:p>
        </w:tc>
      </w:tr>
      <w:tr>
        <w:trPr>
          <w:trHeight w:val="171"/>
        </w:trPr>
        <w:tc>
          <w:tcPr>
            <w:tcW w:w="1320" w:type="dxa"/>
            <w:vAlign w:val="bottom"/>
          </w:tcPr>
          <w:p>
            <w:pPr>
              <w:ind w:left="180"/>
              <w:spacing w:after="0"/>
              <w:rPr>
                <w:sz w:val="20"/>
                <w:szCs w:val="20"/>
                <w:color w:val="auto"/>
              </w:rPr>
            </w:pPr>
            <w:r>
              <w:rPr>
                <w:rFonts w:ascii="Arial" w:cs="Arial" w:eastAsia="Arial" w:hAnsi="Arial"/>
                <w:sz w:val="13"/>
                <w:szCs w:val="13"/>
                <w:color w:val="auto"/>
              </w:rPr>
              <w:t>Hotel</w:t>
            </w:r>
          </w:p>
        </w:tc>
        <w:tc>
          <w:tcPr>
            <w:tcW w:w="7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Residential Net</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20" w:type="dxa"/>
            <w:vAlign w:val="bottom"/>
            <w:shd w:val="clear" w:color="auto" w:fill="CCEEFF"/>
          </w:tcPr>
          <w:p>
            <w:pPr>
              <w:ind w:left="180"/>
              <w:spacing w:after="0" w:line="131" w:lineRule="exact"/>
              <w:rPr>
                <w:sz w:val="20"/>
                <w:szCs w:val="20"/>
                <w:color w:val="auto"/>
              </w:rPr>
            </w:pPr>
            <w:r>
              <w:rPr>
                <w:rFonts w:ascii="Arial" w:cs="Arial" w:eastAsia="Arial" w:hAnsi="Arial"/>
                <w:sz w:val="13"/>
                <w:szCs w:val="13"/>
                <w:color w:val="auto"/>
              </w:rPr>
              <w:t>Operating Income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18,784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4.42 %</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18,784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4.42 %</w:t>
            </w:r>
          </w:p>
        </w:tc>
        <w:tc>
          <w:tcPr>
            <w:tcW w:w="0" w:type="dxa"/>
            <w:vAlign w:val="bottom"/>
          </w:tcPr>
          <w:p>
            <w:pPr>
              <w:spacing w:after="0"/>
              <w:rPr>
                <w:sz w:val="1"/>
                <w:szCs w:val="1"/>
                <w:color w:val="auto"/>
              </w:rPr>
            </w:pPr>
          </w:p>
        </w:tc>
      </w:tr>
      <w:tr>
        <w:trPr>
          <w:trHeight w:val="122"/>
        </w:trPr>
        <w:tc>
          <w:tcPr>
            <w:tcW w:w="1320" w:type="dxa"/>
            <w:vAlign w:val="bottom"/>
          </w:tcPr>
          <w:p>
            <w:pPr>
              <w:ind w:left="20"/>
              <w:spacing w:after="0" w:line="122" w:lineRule="exact"/>
              <w:rPr>
                <w:sz w:val="20"/>
                <w:szCs w:val="20"/>
                <w:color w:val="auto"/>
              </w:rPr>
            </w:pPr>
            <w:r>
              <w:rPr>
                <w:rFonts w:ascii="Arial" w:cs="Arial" w:eastAsia="Arial" w:hAnsi="Arial"/>
                <w:sz w:val="13"/>
                <w:szCs w:val="13"/>
                <w:color w:val="auto"/>
              </w:rPr>
              <w:t>Hotel Net Operating</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320" w:type="dxa"/>
            <w:vAlign w:val="bottom"/>
          </w:tcPr>
          <w:p>
            <w:pPr>
              <w:ind w:left="180"/>
              <w:spacing w:after="0"/>
              <w:rPr>
                <w:sz w:val="20"/>
                <w:szCs w:val="20"/>
                <w:color w:val="auto"/>
              </w:rPr>
            </w:pPr>
            <w:r>
              <w:rPr>
                <w:rFonts w:ascii="Arial" w:cs="Arial" w:eastAsia="Arial" w:hAnsi="Arial"/>
                <w:sz w:val="13"/>
                <w:szCs w:val="13"/>
                <w:color w:val="auto"/>
              </w:rPr>
              <w:t>Income (2)</w:t>
            </w:r>
          </w:p>
        </w:tc>
        <w:tc>
          <w:tcPr>
            <w:tcW w:w="740" w:type="dxa"/>
            <w:vAlign w:val="bottom"/>
          </w:tcPr>
          <w:p>
            <w:pPr>
              <w:jc w:val="right"/>
              <w:spacing w:after="0"/>
              <w:rPr>
                <w:sz w:val="20"/>
                <w:szCs w:val="20"/>
                <w:color w:val="auto"/>
              </w:rPr>
            </w:pPr>
            <w:r>
              <w:rPr>
                <w:rFonts w:ascii="Arial" w:cs="Arial" w:eastAsia="Arial" w:hAnsi="Arial"/>
                <w:sz w:val="13"/>
                <w:szCs w:val="13"/>
                <w:color w:val="auto"/>
              </w:rPr>
              <w:t>12,393</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11,702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691</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5.90 %</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12,393</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11,702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691</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5.90 %</w:t>
            </w:r>
          </w:p>
        </w:tc>
        <w:tc>
          <w:tcPr>
            <w:tcW w:w="0" w:type="dxa"/>
            <w:vAlign w:val="bottom"/>
          </w:tcPr>
          <w:p>
            <w:pPr>
              <w:spacing w:after="0"/>
              <w:rPr>
                <w:sz w:val="1"/>
                <w:szCs w:val="1"/>
                <w:color w:val="auto"/>
              </w:rPr>
            </w:pPr>
          </w:p>
        </w:tc>
      </w:tr>
      <w:tr>
        <w:trPr>
          <w:trHeight w:val="108"/>
        </w:trPr>
        <w:tc>
          <w:tcPr>
            <w:tcW w:w="132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color w:val="auto"/>
              </w:rPr>
              <w:t>Net Operating Income</w:t>
            </w: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$ 1,439,930</w:t>
            </w:r>
          </w:p>
        </w:tc>
        <w:tc>
          <w:tcPr>
            <w:tcW w:w="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$ 1,489,188</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(49,258)</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$ 52,281</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4"/>
              </w:rPr>
              <w:t>$ 31,938</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$ 10,119</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$ 4,466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(2,931)</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$ 1,528,615</w:t>
            </w:r>
          </w:p>
        </w:tc>
        <w:tc>
          <w:tcPr>
            <w:tcW w:w="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$ 1,496,376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32,239</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2" w:lineRule="exact"/>
        <w:rPr>
          <w:sz w:val="20"/>
          <w:szCs w:val="20"/>
          <w:color w:val="auto"/>
        </w:rPr>
      </w:pPr>
    </w:p>
    <w:p>
      <w:pPr>
        <w:ind w:left="660" w:right="60" w:hanging="328"/>
        <w:spacing w:after="0" w:line="263" w:lineRule="auto"/>
        <w:tabs>
          <w:tab w:leader="none" w:pos="647"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159" w:lineRule="exact"/>
        <w:rPr>
          <w:rFonts w:ascii="Arial" w:cs="Arial" w:eastAsia="Arial" w:hAnsi="Arial"/>
          <w:sz w:val="14"/>
          <w:szCs w:val="14"/>
          <w:color w:val="auto"/>
        </w:rPr>
      </w:pPr>
    </w:p>
    <w:p>
      <w:pPr>
        <w:ind w:left="660" w:hanging="328"/>
        <w:spacing w:after="0" w:line="262" w:lineRule="auto"/>
        <w:tabs>
          <w:tab w:leader="none" w:pos="647"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61. Residential Net Operating Income for the nine months ended September 30, 2024 and 2023 is comprised of Residential Revenue of $37,027 and $35,768 less Residential Expenses of $17,413 and $16,984, respectively. Hotel Net Operating Income for the nine months ended September 30, 2024 and 2023 is comprised of Hotel Revenue of $38,080 and $35,554 less Hotel Expenses of $25,687 and $23,852, respectively, per the Consolidated Statements of Operations.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Same Property Portfolio</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Revenue (Excluding Termination Income)</w:t>
      </w:r>
    </w:p>
    <w:p>
      <w:pPr>
        <w:spacing w:after="0" w:line="102" w:lineRule="exact"/>
        <w:rPr>
          <w:sz w:val="20"/>
          <w:szCs w:val="20"/>
          <w:color w:val="auto"/>
        </w:rPr>
      </w:pPr>
    </w:p>
    <w:p>
      <w:pPr>
        <w:ind w:right="120" w:firstLine="445"/>
        <w:spacing w:after="0" w:line="276" w:lineRule="auto"/>
        <w:rPr>
          <w:sz w:val="20"/>
          <w:szCs w:val="20"/>
          <w:color w:val="auto"/>
        </w:rPr>
      </w:pPr>
      <w:r>
        <w:rPr>
          <w:rFonts w:ascii="Arial" w:cs="Arial" w:eastAsia="Arial" w:hAnsi="Arial"/>
          <w:sz w:val="17"/>
          <w:szCs w:val="17"/>
          <w:color w:val="auto"/>
        </w:rPr>
        <w:t>Lease revenue (excluding termination income) from the Same Property Portfolio decreased by approximately $24.1 million for the nine months ended September 30, 2024 compared to 2023. The decrease was a result of our average occupancy decreasing from 90.9% to</w:t>
      </w:r>
    </w:p>
    <w:p>
      <w:pPr>
        <w:ind w:right="140"/>
        <w:spacing w:after="0" w:line="266" w:lineRule="auto"/>
        <w:rPr>
          <w:sz w:val="20"/>
          <w:szCs w:val="20"/>
          <w:color w:val="auto"/>
        </w:rPr>
      </w:pPr>
      <w:r>
        <w:rPr>
          <w:rFonts w:ascii="Arial" w:cs="Arial" w:eastAsia="Arial" w:hAnsi="Arial"/>
          <w:sz w:val="18"/>
          <w:szCs w:val="18"/>
          <w:color w:val="auto"/>
        </w:rPr>
        <w:t>89.0%, resulting in a decrease of approximately $45.8 million, partially offset by revenue per square foot increasing by approximately $0.82, contributing approximately $21.7 million.</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Termination Income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Termination income increased by approximately $5.8 million for the nine months ended September 30, 2024 compared to 2023.</w:t>
      </w:r>
    </w:p>
    <w:p>
      <w:pPr>
        <w:spacing w:after="0" w:line="171"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Termination income for the nine months ended September 30, 2024 related to 24 clients across the Same Property Portfolio and totaled approximately $8.4 million, which was primarily related to a retail client that terminated its lease early in Boston.</w:t>
      </w:r>
    </w:p>
    <w:p>
      <w:pPr>
        <w:spacing w:after="0" w:line="99"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Termination income for the nine months ended September 30, 2023 related to 22 clients across the Same Property Portfolio and totaled approximately $2.6 million, which was primarily related to clients that terminated leases early in Seattle and Washington, DC.</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Parking and Other Revenue</w:t>
      </w:r>
    </w:p>
    <w:p>
      <w:pPr>
        <w:spacing w:after="0" w:line="88" w:lineRule="exact"/>
        <w:rPr>
          <w:sz w:val="20"/>
          <w:szCs w:val="20"/>
          <w:color w:val="auto"/>
        </w:rPr>
      </w:pPr>
    </w:p>
    <w:p>
      <w:pPr>
        <w:ind w:right="40" w:firstLine="405"/>
        <w:spacing w:after="0" w:line="268" w:lineRule="auto"/>
        <w:rPr>
          <w:sz w:val="20"/>
          <w:szCs w:val="20"/>
          <w:color w:val="auto"/>
        </w:rPr>
      </w:pPr>
      <w:r>
        <w:rPr>
          <w:rFonts w:ascii="Arial" w:cs="Arial" w:eastAsia="Arial" w:hAnsi="Arial"/>
          <w:sz w:val="18"/>
          <w:szCs w:val="18"/>
          <w:color w:val="auto"/>
        </w:rPr>
        <w:t>Parking and other revenue increased by approximately $12.9 million for the nine months ended September 30, 2024 compared to 2023. Parking and other revenue increased by approximately $1.0 million and $11.9 million, respectively. The increase in other revenue primarily related to the View Boston observatory.</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Real Estate Operating Expenses</w:t>
      </w:r>
    </w:p>
    <w:p>
      <w:pPr>
        <w:spacing w:after="0" w:line="102"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Real estate operating expenses from the Same Property Portfolio increased by approximately $45.3 million, or 5.4%, for the nine months ended September 30, 2024 compared to 2023, due primarily to increases in (1) repairs and maintenance of approximately $15.1 million, or 11.0%, (2) utilities fluctuation of approximately $8.7 million, or 10.1%, and (3) increases in other real estate operating expenses of approximately $12.6 million, or 2.0%. The increase in repairs and maintenance related primarily to properties in our Boston region. The increase in utilities related primarily to properties in our New York City region. In addition, approximately $8.9 million of the increase related to marketing and operating expenses associated with the View Boston observatory.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Properties Acquired Portfolio</w:t>
      </w:r>
    </w:p>
    <w:p>
      <w:pPr>
        <w:spacing w:after="0" w:line="102"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The table below lists the properties acquired between January 1, 2023 and September 30, 2024. Rental revenue and real estate operating expenses increased by approximately $82.1 million and $29.8 million, respectively, for the nine months ended September 30, 2024 compared to 2023, as detailed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Rental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center"/>
              <w:ind w:right="129"/>
              <w:spacing w:after="0"/>
              <w:rPr>
                <w:sz w:val="20"/>
                <w:szCs w:val="20"/>
                <w:color w:val="auto"/>
              </w:rPr>
            </w:pPr>
            <w:r>
              <w:rPr>
                <w:rFonts w:ascii="Arial" w:cs="Arial" w:eastAsia="Arial" w:hAnsi="Arial"/>
                <w:sz w:val="13"/>
                <w:szCs w:val="13"/>
                <w:b w:val="1"/>
                <w:bCs w:val="1"/>
                <w:color w:val="auto"/>
              </w:rPr>
              <w:t>Real Estate Operating Expenses</w:t>
            </w:r>
          </w:p>
        </w:tc>
      </w:tr>
      <w:tr>
        <w:trPr>
          <w:trHeight w:val="250"/>
        </w:trPr>
        <w:tc>
          <w:tcPr>
            <w:tcW w:w="2460" w:type="dxa"/>
            <w:vAlign w:val="bottom"/>
            <w:gridSpan w:val="2"/>
          </w:tcPr>
          <w:p>
            <w:pPr>
              <w:ind w:left="1000"/>
              <w:spacing w:after="0"/>
              <w:rPr>
                <w:sz w:val="20"/>
                <w:szCs w:val="20"/>
                <w:color w:val="auto"/>
              </w:rPr>
            </w:pPr>
            <w:r>
              <w:rPr>
                <w:rFonts w:ascii="Arial" w:cs="Arial" w:eastAsia="Arial" w:hAnsi="Arial"/>
                <w:sz w:val="13"/>
                <w:szCs w:val="13"/>
                <w:b w:val="1"/>
                <w:bCs w:val="1"/>
                <w:color w:val="auto"/>
              </w:rPr>
              <w:t>Name</w:t>
            </w:r>
          </w:p>
        </w:tc>
        <w:tc>
          <w:tcPr>
            <w:tcW w:w="17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Date acquired</w:t>
            </w: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21"/>
                <w:szCs w:val="21"/>
                <w:color w:val="auto"/>
              </w:rPr>
            </w:pPr>
          </w:p>
        </w:tc>
        <w:tc>
          <w:tcPr>
            <w:tcW w:w="680" w:type="dxa"/>
            <w:vAlign w:val="bottom"/>
          </w:tcPr>
          <w:p>
            <w:pPr>
              <w:jc w:val="right"/>
              <w:ind w:right="22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209"/>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21"/>
                <w:szCs w:val="21"/>
                <w:color w:val="auto"/>
              </w:rPr>
            </w:pPr>
          </w:p>
        </w:tc>
        <w:tc>
          <w:tcPr>
            <w:tcW w:w="720" w:type="dxa"/>
            <w:vAlign w:val="bottom"/>
          </w:tcPr>
          <w:p>
            <w:pPr>
              <w:jc w:val="right"/>
              <w:ind w:right="23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20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9"/>
              <w:spacing w:after="0"/>
              <w:rPr>
                <w:sz w:val="20"/>
                <w:szCs w:val="20"/>
                <w:color w:val="auto"/>
              </w:rPr>
            </w:pPr>
            <w:r>
              <w:rPr>
                <w:rFonts w:ascii="Arial" w:cs="Arial" w:eastAsia="Arial" w:hAnsi="Arial"/>
                <w:sz w:val="13"/>
                <w:szCs w:val="13"/>
                <w:b w:val="1"/>
                <w:bCs w:val="1"/>
                <w:color w:val="auto"/>
              </w:rPr>
              <w:t>Change</w:t>
            </w:r>
          </w:p>
        </w:tc>
      </w:tr>
      <w:tr>
        <w:trPr>
          <w:trHeight w:val="183"/>
        </w:trPr>
        <w:tc>
          <w:tcPr>
            <w:tcW w:w="2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4"/>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 Monica Business Park (1)</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December 14, 2023</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1,181,298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57,534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20,684</w:t>
            </w:r>
          </w:p>
        </w:tc>
      </w:tr>
      <w:tr>
        <w:trPr>
          <w:trHeight w:val="198"/>
        </w:trPr>
        <w:tc>
          <w:tcPr>
            <w:tcW w:w="2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901 New York Avenue</w:t>
            </w:r>
          </w:p>
        </w:tc>
        <w:tc>
          <w:tcPr>
            <w:tcW w:w="17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January 8, 2024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523,939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24,588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24,588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9,157</w:t>
            </w:r>
          </w:p>
        </w:tc>
      </w:tr>
      <w:tr>
        <w:trPr>
          <w:trHeight w:val="216"/>
        </w:trPr>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1,705,237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82,122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29,841</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580" w:hanging="329"/>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Rental revenue for the nine months ended September 30, 2024 includes approximately $0.2 million of termination income.</w:t>
      </w:r>
    </w:p>
    <w:p>
      <w:pPr>
        <w:spacing w:after="0" w:line="200" w:lineRule="exact"/>
        <w:rPr>
          <w:rFonts w:ascii="Arial" w:cs="Arial" w:eastAsia="Arial" w:hAnsi="Arial"/>
          <w:sz w:val="16"/>
          <w:szCs w:val="16"/>
          <w:color w:val="auto"/>
        </w:rPr>
      </w:pPr>
    </w:p>
    <w:p>
      <w:pPr>
        <w:spacing w:after="0" w:line="337"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Properties Placed In-Service Portfolio</w:t>
      </w:r>
    </w:p>
    <w:p>
      <w:pPr>
        <w:spacing w:after="0" w:line="88"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The table below lists the properties that were placed in-service or partially placed in-service between January 1, 2023 and September 30, 2024. Rental revenue and real estate operating expenses from our Properties Placed In-Service Portfolio increased by approximately $30.4 million and $8.5 million, respectively, for the nine months ended September 30, 2024 compared to 2023, as detailed below.</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Rental Revenue</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22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32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5"/>
                <w:szCs w:val="15"/>
                <w:color w:val="auto"/>
              </w:rPr>
            </w:pPr>
          </w:p>
        </w:tc>
        <w:tc>
          <w:tcPr>
            <w:tcW w:w="1440" w:type="dxa"/>
            <w:vAlign w:val="bottom"/>
            <w:gridSpan w:val="2"/>
          </w:tcPr>
          <w:p>
            <w:pPr>
              <w:ind w:left="160"/>
              <w:spacing w:after="0"/>
              <w:rPr>
                <w:sz w:val="20"/>
                <w:szCs w:val="20"/>
                <w:color w:val="auto"/>
              </w:rPr>
            </w:pPr>
            <w:r>
              <w:rPr>
                <w:rFonts w:ascii="Arial" w:cs="Arial" w:eastAsia="Arial" w:hAnsi="Arial"/>
                <w:sz w:val="13"/>
                <w:szCs w:val="13"/>
                <w:b w:val="1"/>
                <w:bCs w:val="1"/>
                <w:color w:val="auto"/>
              </w:rPr>
              <w:t>Quarter Initially</w:t>
            </w:r>
          </w:p>
        </w:tc>
        <w:tc>
          <w:tcPr>
            <w:tcW w:w="1460" w:type="dxa"/>
            <w:vAlign w:val="bottom"/>
            <w:gridSpan w:val="2"/>
          </w:tcPr>
          <w:p>
            <w:pPr>
              <w:ind w:left="260"/>
              <w:spacing w:after="0"/>
              <w:rPr>
                <w:sz w:val="20"/>
                <w:szCs w:val="20"/>
                <w:color w:val="auto"/>
              </w:rPr>
            </w:pPr>
            <w:r>
              <w:rPr>
                <w:rFonts w:ascii="Arial" w:cs="Arial" w:eastAsia="Arial" w:hAnsi="Arial"/>
                <w:sz w:val="13"/>
                <w:szCs w:val="13"/>
                <w:b w:val="1"/>
                <w:bCs w:val="1"/>
                <w:color w:val="auto"/>
              </w:rPr>
              <w:t>Quarter Fully</w:t>
            </w: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15"/>
                <w:szCs w:val="15"/>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5"/>
                <w:szCs w:val="15"/>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3"/>
                <w:szCs w:val="13"/>
                <w:b w:val="1"/>
                <w:bCs w:val="1"/>
                <w:color w:val="auto"/>
              </w:rPr>
              <w:t>Placed In-Service</w:t>
            </w:r>
          </w:p>
        </w:tc>
        <w:tc>
          <w:tcPr>
            <w:tcW w:w="1460" w:type="dxa"/>
            <w:vAlign w:val="bottom"/>
            <w:gridSpan w:val="2"/>
          </w:tcPr>
          <w:p>
            <w:pPr>
              <w:ind w:left="120"/>
              <w:spacing w:after="0"/>
              <w:rPr>
                <w:sz w:val="20"/>
                <w:szCs w:val="20"/>
                <w:color w:val="auto"/>
              </w:rPr>
            </w:pPr>
            <w:r>
              <w:rPr>
                <w:rFonts w:ascii="Arial" w:cs="Arial" w:eastAsia="Arial" w:hAnsi="Arial"/>
                <w:sz w:val="13"/>
                <w:szCs w:val="13"/>
                <w:b w:val="1"/>
                <w:bCs w:val="1"/>
                <w:color w:val="auto"/>
              </w:rPr>
              <w:t>Placed In-Service</w:t>
            </w: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0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2100 Pennsylvania</w:t>
            </w: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Second Quarter,</w:t>
            </w:r>
          </w:p>
        </w:tc>
        <w:tc>
          <w:tcPr>
            <w:tcW w:w="146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Second Quarter,</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475,849</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26,894</w:t>
            </w:r>
          </w:p>
        </w:tc>
        <w:tc>
          <w:tcPr>
            <w:tcW w:w="3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15,911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10,983</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8,630</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6,752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185"/>
        </w:trPr>
        <w:tc>
          <w:tcPr>
            <w:tcW w:w="16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Avenue</w:t>
            </w: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 w:type="dxa"/>
            <w:vAlign w:val="bottom"/>
          </w:tcPr>
          <w:p>
            <w:pPr>
              <w:ind w:left="20"/>
              <w:spacing w:after="0" w:line="153" w:lineRule="exact"/>
              <w:rPr>
                <w:sz w:val="20"/>
                <w:szCs w:val="20"/>
                <w:color w:val="auto"/>
              </w:rPr>
            </w:pPr>
            <w:r>
              <w:rPr>
                <w:rFonts w:ascii="Arial" w:cs="Arial" w:eastAsia="Arial" w:hAnsi="Arial"/>
                <w:sz w:val="14"/>
                <w:szCs w:val="14"/>
                <w:color w:val="auto"/>
              </w:rPr>
              <w:t>140</w:t>
            </w: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Kendrick Street -</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Third Quarter, 2023</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Third Quarter, 2023</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104,166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5,787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4,282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1,820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85"/>
        </w:trPr>
        <w:tc>
          <w:tcPr>
            <w:tcW w:w="1600" w:type="dxa"/>
            <w:vAlign w:val="bottom"/>
            <w:gridSpan w:val="2"/>
          </w:tcPr>
          <w:p>
            <w:pPr>
              <w:ind w:left="180"/>
              <w:spacing w:after="0"/>
              <w:rPr>
                <w:sz w:val="20"/>
                <w:szCs w:val="20"/>
                <w:color w:val="auto"/>
              </w:rPr>
            </w:pPr>
            <w:r>
              <w:rPr>
                <w:rFonts w:ascii="Arial" w:cs="Arial" w:eastAsia="Arial" w:hAnsi="Arial"/>
                <w:sz w:val="14"/>
                <w:szCs w:val="14"/>
                <w:color w:val="auto"/>
              </w:rPr>
              <w:t>Building A</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180</w:t>
            </w: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CityPoint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Third Quarter, 2023</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Third Quarter, 2024</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329,195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10,475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0" w:type="dxa"/>
            <w:vAlign w:val="bottom"/>
          </w:tcPr>
          <w:p>
            <w:pPr>
              <w:spacing w:after="0"/>
              <w:rPr>
                <w:sz w:val="1"/>
                <w:szCs w:val="1"/>
                <w:color w:val="auto"/>
              </w:rPr>
            </w:pPr>
          </w:p>
        </w:tc>
      </w:tr>
      <w:tr>
        <w:trPr>
          <w:trHeight w:val="153"/>
        </w:trPr>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103</w:t>
            </w:r>
          </w:p>
        </w:tc>
        <w:tc>
          <w:tcPr>
            <w:tcW w:w="1320" w:type="dxa"/>
            <w:vAlign w:val="bottom"/>
            <w:vMerge w:val="restart"/>
          </w:tcPr>
          <w:p>
            <w:pPr>
              <w:ind w:left="20"/>
              <w:spacing w:after="0"/>
              <w:rPr>
                <w:sz w:val="20"/>
                <w:szCs w:val="20"/>
                <w:color w:val="auto"/>
              </w:rPr>
            </w:pPr>
            <w:r>
              <w:rPr>
                <w:rFonts w:ascii="Arial" w:cs="Arial" w:eastAsia="Arial" w:hAnsi="Arial"/>
                <w:sz w:val="14"/>
                <w:szCs w:val="14"/>
                <w:color w:val="auto"/>
              </w:rPr>
              <w:t>CityPoint (1)</w:t>
            </w:r>
          </w:p>
        </w:tc>
        <w:tc>
          <w:tcPr>
            <w:tcW w:w="120" w:type="dxa"/>
            <w:vAlign w:val="bottom"/>
          </w:tcPr>
          <w:p>
            <w:pPr>
              <w:spacing w:after="0"/>
              <w:rPr>
                <w:sz w:val="13"/>
                <w:szCs w:val="13"/>
                <w:color w:val="auto"/>
              </w:rPr>
            </w:pPr>
          </w:p>
        </w:tc>
        <w:tc>
          <w:tcPr>
            <w:tcW w:w="14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Fourth Quarter,</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N/A</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113,000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85"/>
        </w:trPr>
        <w:tc>
          <w:tcPr>
            <w:tcW w:w="28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760</w:t>
            </w:r>
          </w:p>
        </w:tc>
        <w:tc>
          <w:tcPr>
            <w:tcW w:w="1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Boylston Street</w:t>
            </w: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Second Quarter,</w:t>
            </w:r>
          </w:p>
        </w:tc>
        <w:tc>
          <w:tcPr>
            <w:tcW w:w="14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Second Quarter,</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118,000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4,613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85"/>
        </w:trPr>
        <w:tc>
          <w:tcPr>
            <w:tcW w:w="28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6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Reston Next Office</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Third Quarter, 2024</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N/A</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90,000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5"/>
        </w:trPr>
        <w:tc>
          <w:tcPr>
            <w:tcW w:w="1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Phase II</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gridSpan w:val="2"/>
            <w:vMerge w:val="continue"/>
          </w:tcPr>
          <w:p>
            <w:pPr>
              <w:spacing w:after="0"/>
              <w:rPr>
                <w:sz w:val="16"/>
                <w:szCs w:val="16"/>
                <w:color w:val="auto"/>
              </w:rPr>
            </w:pPr>
          </w:p>
        </w:tc>
        <w:tc>
          <w:tcPr>
            <w:tcW w:w="1460" w:type="dxa"/>
            <w:vAlign w:val="bottom"/>
            <w:tcBorders>
              <w:bottom w:val="single" w:sz="8" w:color="CCEEFF"/>
            </w:tcBorders>
            <w:gridSpan w:val="2"/>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47,771</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30,355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8,536</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  On October 5, 2024, 103 CityPoint was fully placed in-service.</w:t>
      </w:r>
    </w:p>
    <w:p>
      <w:pPr>
        <w:spacing w:after="0" w:line="35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Properties in or Held for Development or Redevelopment Portfolio</w:t>
      </w:r>
    </w:p>
    <w:p>
      <w:pPr>
        <w:spacing w:after="0" w:line="102"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The table below lists the properties that were in or held for development or redevelopment between January 1, 2023 and September 30, 2024. Rental revenue from our Properties in or Held for Development or Redevelopment Portfolio increased by approximately $4.2 million and real estate operating expenses decreased by approximately $3.2 million for the nine months ended September 30, 2024 compared to 2023, as detailed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Rental Revenue</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328"/>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Date Commenced Held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gridSpan w:val="2"/>
            <w:vMerge w:val="restart"/>
          </w:tcPr>
          <w:p>
            <w:pPr>
              <w:ind w:left="960"/>
              <w:spacing w:after="0"/>
              <w:rPr>
                <w:sz w:val="20"/>
                <w:szCs w:val="20"/>
                <w:color w:val="auto"/>
              </w:rPr>
            </w:pPr>
            <w:r>
              <w:rPr>
                <w:rFonts w:ascii="Arial" w:cs="Arial" w:eastAsia="Arial" w:hAnsi="Arial"/>
                <w:sz w:val="13"/>
                <w:szCs w:val="13"/>
                <w:b w:val="1"/>
                <w:bCs w:val="1"/>
                <w:color w:val="auto"/>
              </w:rPr>
              <w:t>Name</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rPr>
              <w:t>for Development /</w:t>
            </w: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1"/>
                <w:szCs w:val="11"/>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48"/>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1"/>
                <w:szCs w:val="11"/>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2380" w:type="dxa"/>
            <w:vAlign w:val="bottom"/>
            <w:gridSpan w:val="2"/>
            <w:vMerge w:val="continue"/>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Redevelopment</w:t>
            </w: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105 Carnegie Center (1)</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30, 2022</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49"/>
        </w:trPr>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Kendall Center Blue Parking</w:t>
            </w:r>
          </w:p>
        </w:tc>
        <w:tc>
          <w:tcPr>
            <w:tcW w:w="1800" w:type="dxa"/>
            <w:vAlign w:val="bottom"/>
            <w:gridSpan w:val="2"/>
            <w:vMerge w:val="restart"/>
          </w:tcPr>
          <w:p>
            <w:pPr>
              <w:ind w:left="20"/>
              <w:spacing w:after="0"/>
              <w:rPr>
                <w:sz w:val="20"/>
                <w:szCs w:val="20"/>
                <w:color w:val="auto"/>
              </w:rPr>
            </w:pPr>
            <w:r>
              <w:rPr>
                <w:rFonts w:ascii="Arial" w:cs="Arial" w:eastAsia="Arial" w:hAnsi="Arial"/>
                <w:sz w:val="14"/>
                <w:szCs w:val="14"/>
                <w:color w:val="auto"/>
              </w:rPr>
              <w:t>January 4, 2023</w:t>
            </w:r>
          </w:p>
        </w:tc>
        <w:tc>
          <w:tcPr>
            <w:tcW w:w="1080" w:type="dxa"/>
            <w:vAlign w:val="bottom"/>
            <w:gridSpan w:val="2"/>
            <w:vMerge w:val="restart"/>
          </w:tcPr>
          <w:p>
            <w:pPr>
              <w:ind w:left="72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2,395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189"/>
        </w:trPr>
        <w:tc>
          <w:tcPr>
            <w:tcW w:w="2380" w:type="dxa"/>
            <w:vAlign w:val="bottom"/>
            <w:gridSpan w:val="2"/>
          </w:tcPr>
          <w:p>
            <w:pPr>
              <w:ind w:left="180"/>
              <w:spacing w:after="0"/>
              <w:rPr>
                <w:sz w:val="20"/>
                <w:szCs w:val="20"/>
                <w:color w:val="auto"/>
              </w:rPr>
            </w:pPr>
            <w:r>
              <w:rPr>
                <w:rFonts w:ascii="Arial" w:cs="Arial" w:eastAsia="Arial" w:hAnsi="Arial"/>
                <w:sz w:val="14"/>
                <w:szCs w:val="14"/>
                <w:color w:val="auto"/>
              </w:rPr>
              <w:t>Garage (2)</w:t>
            </w:r>
          </w:p>
        </w:tc>
        <w:tc>
          <w:tcPr>
            <w:tcW w:w="18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300 Binney Street (3)</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30, 2023</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Shady Grove Innovation District</w:t>
            </w:r>
          </w:p>
        </w:tc>
        <w:tc>
          <w:tcPr>
            <w:tcW w:w="1800" w:type="dxa"/>
            <w:vAlign w:val="bottom"/>
            <w:gridSpan w:val="2"/>
            <w:vMerge w:val="restart"/>
          </w:tcPr>
          <w:p>
            <w:pPr>
              <w:ind w:left="20"/>
              <w:spacing w:after="0"/>
              <w:rPr>
                <w:sz w:val="20"/>
                <w:szCs w:val="20"/>
                <w:color w:val="auto"/>
              </w:rPr>
            </w:pPr>
            <w:r>
              <w:rPr>
                <w:rFonts w:ascii="Arial" w:cs="Arial" w:eastAsia="Arial" w:hAnsi="Arial"/>
                <w:sz w:val="14"/>
                <w:szCs w:val="14"/>
                <w:color w:val="auto"/>
              </w:rPr>
              <w:t>March 31, 2023</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184,000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1,604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703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89"/>
        </w:trPr>
        <w:tc>
          <w:tcPr>
            <w:tcW w:w="2280" w:type="dxa"/>
            <w:vAlign w:val="bottom"/>
          </w:tcPr>
          <w:p>
            <w:pPr>
              <w:ind w:left="18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Lexington Office Park (4)</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2023</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99"/>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171 Dartmouth Street</w:t>
            </w:r>
          </w:p>
        </w:tc>
        <w:tc>
          <w:tcPr>
            <w:tcW w:w="1800" w:type="dxa"/>
            <w:vAlign w:val="bottom"/>
            <w:gridSpan w:val="2"/>
          </w:tcPr>
          <w:p>
            <w:pPr>
              <w:ind w:left="20"/>
              <w:spacing w:after="0"/>
              <w:rPr>
                <w:sz w:val="20"/>
                <w:szCs w:val="20"/>
                <w:color w:val="auto"/>
              </w:rPr>
            </w:pPr>
            <w:r>
              <w:rPr>
                <w:rFonts w:ascii="Arial" w:cs="Arial" w:eastAsia="Arial" w:hAnsi="Arial"/>
                <w:sz w:val="14"/>
                <w:szCs w:val="14"/>
                <w:color w:val="auto"/>
              </w:rPr>
              <w:t>March 28, 2024</w:t>
            </w: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53"/>
        </w:trPr>
        <w:tc>
          <w:tcPr>
            <w:tcW w:w="23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1050 and 1100 Winter Street (4)</w:t>
            </w:r>
          </w:p>
        </w:tc>
        <w:tc>
          <w:tcPr>
            <w:tcW w:w="18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March 31, 2024</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455,000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9,548</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3,237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6,311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80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17 Hartwell Avenue (4)</w:t>
            </w:r>
          </w:p>
        </w:tc>
        <w:tc>
          <w:tcPr>
            <w:tcW w:w="1800" w:type="dxa"/>
            <w:vAlign w:val="bottom"/>
            <w:gridSpan w:val="2"/>
          </w:tcPr>
          <w:p>
            <w:pPr>
              <w:ind w:left="20"/>
              <w:spacing w:after="0"/>
              <w:rPr>
                <w:sz w:val="20"/>
                <w:szCs w:val="20"/>
                <w:color w:val="auto"/>
              </w:rPr>
            </w:pPr>
            <w:r>
              <w:rPr>
                <w:rFonts w:ascii="Arial" w:cs="Arial" w:eastAsia="Arial" w:hAnsi="Arial"/>
                <w:sz w:val="14"/>
                <w:szCs w:val="14"/>
                <w:color w:val="auto"/>
              </w:rPr>
              <w:t>June 30, 2024</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2"/>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Kingstowne One (4)</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30, 2024</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154,000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1,299,000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4,217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30" w:lineRule="exact"/>
        <w:rPr>
          <w:sz w:val="20"/>
          <w:szCs w:val="20"/>
          <w:color w:val="auto"/>
        </w:rPr>
      </w:pPr>
    </w:p>
    <w:p>
      <w:pPr>
        <w:ind w:left="580" w:right="120" w:hanging="329"/>
        <w:spacing w:after="0" w:line="255" w:lineRule="auto"/>
        <w:tabs>
          <w:tab w:leader="none" w:pos="5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November 30, 2023, we elected to suspend redevelopment. Although no longer in redevelopment, this property is not considered “in-service” as we are not actively leasing this property in anticipation of restarting redevelopment in the future.</w:t>
      </w:r>
    </w:p>
    <w:p>
      <w:pPr>
        <w:ind w:left="580" w:right="360" w:hanging="329"/>
        <w:spacing w:after="0" w:line="252" w:lineRule="auto"/>
        <w:tabs>
          <w:tab w:leader="none" w:pos="5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Kendall Center Blue Parking Garage was taken out of service on January 4, 2023 and then demolished to support the development of 290 Binney Street. Real estate operating expenses for the nine months ended September 30, 2023 included approximately $2.4 million of demolition costs.</w:t>
      </w:r>
    </w:p>
    <w:p>
      <w:pPr>
        <w:ind w:left="580" w:hanging="329"/>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October 31, 2024, 300 Binney Street was fully placed in service.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580" w:right="20" w:hanging="329"/>
        <w:spacing w:after="0" w:line="259" w:lineRule="auto"/>
        <w:tabs>
          <w:tab w:leader="none" w:pos="5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Lexington Office Park, 1050 and 1100 Winter Street, 17 Hartwell Avenue, Kingstowne One and a portion of Shady Grove Innovation District are no longer considered “in-service” because each property’s occupied percentage is less than 50% and we are no longer actively leasing the properties in anticipation of a future development/redevelopment. The properties will be considered held for development or redevelopment until the last client has vacated the property and the property is no longer revenue producing. This portion of Shady Grove Innovation District is comprised of three buildings, 2092 and 2098 Gaither Road and 15825 Shady Grove Road that were taken out of service between January 1, 2023 and September 30, 2024.</w:t>
      </w:r>
    </w:p>
    <w:p>
      <w:pPr>
        <w:spacing w:after="0" w:line="184" w:lineRule="exact"/>
        <w:rPr>
          <w:rFonts w:ascii="Arial" w:cs="Arial" w:eastAsia="Arial" w:hAnsi="Arial"/>
          <w:sz w:val="16"/>
          <w:szCs w:val="16"/>
          <w:color w:val="auto"/>
        </w:rPr>
      </w:pPr>
    </w:p>
    <w:p>
      <w:pPr>
        <w:ind w:left="580" w:right="120" w:hanging="329"/>
        <w:spacing w:after="0" w:line="283" w:lineRule="auto"/>
        <w:tabs>
          <w:tab w:leader="none" w:pos="5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1100 Winter Street was taken out of service as of September 30, 2024. Rental revenue at 1100 Winter Street for the nine months ended September 30, 2024 includes approximately $6.4 million of termination income.</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Residential Net Operating Income</w:t>
      </w:r>
    </w:p>
    <w:p>
      <w:pPr>
        <w:spacing w:after="0" w:line="88"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Net operating income for our residential same properties increased by approximately $0.8 million for the nine months ended September 30, 2024 compared to 2023.</w:t>
      </w:r>
    </w:p>
    <w:p>
      <w:pPr>
        <w:spacing w:after="0" w:line="99" w:lineRule="exact"/>
        <w:rPr>
          <w:sz w:val="20"/>
          <w:szCs w:val="20"/>
          <w:color w:val="auto"/>
        </w:rPr>
      </w:pPr>
    </w:p>
    <w:p>
      <w:pPr>
        <w:ind w:right="80" w:firstLine="445"/>
        <w:spacing w:after="0" w:line="287" w:lineRule="auto"/>
        <w:rPr>
          <w:sz w:val="20"/>
          <w:szCs w:val="20"/>
          <w:color w:val="auto"/>
        </w:rPr>
      </w:pPr>
      <w:r>
        <w:rPr>
          <w:rFonts w:ascii="Arial" w:cs="Arial" w:eastAsia="Arial" w:hAnsi="Arial"/>
          <w:sz w:val="18"/>
          <w:szCs w:val="18"/>
          <w:color w:val="auto"/>
        </w:rPr>
        <w:t>The following reflects our occupancy and rate information for our residential same properties for the nine months ended September 30, 2024 and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6"/>
            <w:vMerge w:val="restart"/>
          </w:tcPr>
          <w:p>
            <w:pPr>
              <w:jc w:val="center"/>
              <w:ind w:right="140"/>
              <w:spacing w:after="0"/>
              <w:rPr>
                <w:sz w:val="20"/>
                <w:szCs w:val="20"/>
                <w:color w:val="auto"/>
              </w:rPr>
            </w:pPr>
            <w:r>
              <w:rPr>
                <w:rFonts w:ascii="Arial" w:cs="Arial" w:eastAsia="Arial" w:hAnsi="Arial"/>
                <w:sz w:val="13"/>
                <w:szCs w:val="13"/>
                <w:b w:val="1"/>
                <w:bCs w:val="1"/>
                <w:color w:val="auto"/>
              </w:rPr>
              <w:t>Average Monthly Rental Rate (1)</w:t>
            </w:r>
          </w:p>
        </w:tc>
        <w:tc>
          <w:tcPr>
            <w:tcW w:w="140" w:type="dxa"/>
            <w:vAlign w:val="bottom"/>
          </w:tcPr>
          <w:p>
            <w:pPr>
              <w:spacing w:after="0"/>
              <w:rPr>
                <w:sz w:val="13"/>
                <w:szCs w:val="13"/>
                <w:color w:val="auto"/>
              </w:rPr>
            </w:pPr>
          </w:p>
        </w:tc>
        <w:tc>
          <w:tcPr>
            <w:tcW w:w="2160" w:type="dxa"/>
            <w:vAlign w:val="bottom"/>
            <w:gridSpan w:val="5"/>
          </w:tcPr>
          <w:p>
            <w:pPr>
              <w:ind w:left="160"/>
              <w:spacing w:after="0"/>
              <w:rPr>
                <w:sz w:val="20"/>
                <w:szCs w:val="20"/>
                <w:color w:val="auto"/>
              </w:rPr>
            </w:pPr>
            <w:r>
              <w:rPr>
                <w:rFonts w:ascii="Arial" w:cs="Arial" w:eastAsia="Arial" w:hAnsi="Arial"/>
                <w:sz w:val="13"/>
                <w:szCs w:val="13"/>
                <w:b w:val="1"/>
                <w:bCs w:val="1"/>
                <w:color w:val="auto"/>
              </w:rPr>
              <w:t>Average Rental Rate Per</w:t>
            </w:r>
          </w:p>
        </w:tc>
        <w:tc>
          <w:tcPr>
            <w:tcW w:w="248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Average Physical Occupancy (2)</w:t>
            </w:r>
          </w:p>
        </w:tc>
        <w:tc>
          <w:tcPr>
            <w:tcW w:w="2380" w:type="dxa"/>
            <w:vAlign w:val="bottom"/>
            <w:gridSpan w:val="3"/>
            <w:vMerge w:val="restart"/>
          </w:tcPr>
          <w:p>
            <w:pPr>
              <w:jc w:val="right"/>
              <w:ind w:right="29"/>
              <w:spacing w:after="0"/>
              <w:rPr>
                <w:sz w:val="20"/>
                <w:szCs w:val="20"/>
                <w:color w:val="auto"/>
              </w:rPr>
            </w:pPr>
            <w:r>
              <w:rPr>
                <w:rFonts w:ascii="Arial" w:cs="Arial" w:eastAsia="Arial" w:hAnsi="Arial"/>
                <w:sz w:val="13"/>
                <w:szCs w:val="13"/>
                <w:b w:val="1"/>
                <w:bCs w:val="1"/>
                <w:color w:val="auto"/>
              </w:rPr>
              <w:t>Average Economic Occupancy (3)</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rPr>
              <w:t>Occupied Square Foot</w:t>
            </w:r>
          </w:p>
        </w:tc>
        <w:tc>
          <w:tcPr>
            <w:tcW w:w="2480" w:type="dxa"/>
            <w:vAlign w:val="bottom"/>
            <w:gridSpan w:val="4"/>
            <w:vMerge w:val="continue"/>
          </w:tcPr>
          <w:p>
            <w:pPr>
              <w:spacing w:after="0"/>
              <w:rPr>
                <w:sz w:val="16"/>
                <w:szCs w:val="16"/>
                <w:color w:val="auto"/>
              </w:rPr>
            </w:pPr>
          </w:p>
        </w:tc>
        <w:tc>
          <w:tcPr>
            <w:tcW w:w="23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2024</w:t>
            </w:r>
          </w:p>
        </w:tc>
        <w:tc>
          <w:tcPr>
            <w:tcW w:w="68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9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Proto Kendall Square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3,060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5.62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95.1 %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95.1 %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3"/>
        </w:trPr>
        <w:tc>
          <w:tcPr>
            <w:tcW w:w="17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The Lofts at Atlantic</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4,368</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center"/>
              <w:spacing w:after="0"/>
              <w:rPr>
                <w:sz w:val="20"/>
                <w:szCs w:val="20"/>
                <w:color w:val="auto"/>
              </w:rPr>
            </w:pPr>
            <w:r>
              <w:rPr>
                <w:rFonts w:ascii="Arial" w:cs="Arial" w:eastAsia="Arial" w:hAnsi="Arial"/>
                <w:sz w:val="14"/>
                <w:szCs w:val="14"/>
                <w:color w:val="auto"/>
              </w:rPr>
              <w:t>4,443</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ind w:left="160"/>
              <w:spacing w:after="0"/>
              <w:rPr>
                <w:sz w:val="20"/>
                <w:szCs w:val="20"/>
                <w:color w:val="auto"/>
              </w:rPr>
            </w:pPr>
            <w:r>
              <w:rPr>
                <w:rFonts w:ascii="Arial" w:cs="Arial" w:eastAsia="Arial" w:hAnsi="Arial"/>
                <w:sz w:val="14"/>
                <w:szCs w:val="14"/>
                <w:color w:val="auto"/>
              </w:rPr>
              <w:t>4.86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center"/>
              <w:ind w:left="49"/>
              <w:spacing w:after="0"/>
              <w:rPr>
                <w:sz w:val="20"/>
                <w:szCs w:val="20"/>
                <w:color w:val="auto"/>
              </w:rPr>
            </w:pPr>
            <w:r>
              <w:rPr>
                <w:rFonts w:ascii="Arial" w:cs="Arial" w:eastAsia="Arial" w:hAnsi="Arial"/>
                <w:sz w:val="14"/>
                <w:szCs w:val="14"/>
                <w:color w:val="auto"/>
              </w:rPr>
              <w:t>4.92</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3"/>
                <w:szCs w:val="13"/>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95.2 %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96.3 %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3"/>
                <w:szCs w:val="13"/>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94.3 %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96.1 %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5"/>
        </w:trPr>
        <w:tc>
          <w:tcPr>
            <w:tcW w:w="1760" w:type="dxa"/>
            <w:vAlign w:val="bottom"/>
            <w:gridSpan w:val="2"/>
          </w:tcPr>
          <w:p>
            <w:pPr>
              <w:ind w:left="180"/>
              <w:spacing w:after="0"/>
              <w:rPr>
                <w:sz w:val="20"/>
                <w:szCs w:val="20"/>
                <w:color w:val="auto"/>
              </w:rPr>
            </w:pPr>
            <w:r>
              <w:rPr>
                <w:rFonts w:ascii="Arial" w:cs="Arial" w:eastAsia="Arial" w:hAnsi="Arial"/>
                <w:sz w:val="14"/>
                <w:szCs w:val="14"/>
                <w:color w:val="auto"/>
              </w:rPr>
              <w:t>Wharf</w:t>
            </w:r>
          </w:p>
        </w:tc>
        <w:tc>
          <w:tcPr>
            <w:tcW w:w="1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Signature at Reston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2,689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2.90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2.79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95.8 %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95.8 %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9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The Skylyne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3,419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rPr>
              <w:t>3,467</w:t>
            </w: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ind w:left="160"/>
              <w:spacing w:after="0"/>
              <w:rPr>
                <w:sz w:val="20"/>
                <w:szCs w:val="20"/>
                <w:color w:val="auto"/>
              </w:rPr>
            </w:pPr>
            <w:r>
              <w:rPr>
                <w:rFonts w:ascii="Arial" w:cs="Arial" w:eastAsia="Arial" w:hAnsi="Arial"/>
                <w:sz w:val="14"/>
                <w:szCs w:val="14"/>
                <w:color w:val="auto"/>
              </w:rPr>
              <w:t>4.31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ind w:left="49"/>
              <w:spacing w:after="0"/>
              <w:rPr>
                <w:sz w:val="20"/>
                <w:szCs w:val="20"/>
                <w:color w:val="auto"/>
              </w:rPr>
            </w:pPr>
            <w:r>
              <w:rPr>
                <w:rFonts w:ascii="Arial" w:cs="Arial" w:eastAsia="Arial" w:hAnsi="Arial"/>
                <w:sz w:val="14"/>
                <w:szCs w:val="14"/>
                <w:color w:val="auto"/>
              </w:rPr>
              <w:t>4.41</w:t>
            </w: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6"/>
                <w:szCs w:val="16"/>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88.3 %</w:t>
            </w:r>
          </w:p>
        </w:tc>
        <w:tc>
          <w:tcPr>
            <w:tcW w:w="660" w:type="dxa"/>
            <w:vAlign w:val="bottom"/>
          </w:tcPr>
          <w:p>
            <w:pPr>
              <w:jc w:val="right"/>
              <w:spacing w:after="0"/>
              <w:rPr>
                <w:sz w:val="20"/>
                <w:szCs w:val="20"/>
                <w:color w:val="auto"/>
              </w:rPr>
            </w:pPr>
            <w:r>
              <w:rPr>
                <w:rFonts w:ascii="Arial" w:cs="Arial" w:eastAsia="Arial" w:hAnsi="Arial"/>
                <w:sz w:val="14"/>
                <w:szCs w:val="14"/>
                <w:color w:val="auto"/>
              </w:rPr>
              <w:t>92.3 %</w:t>
            </w:r>
          </w:p>
        </w:tc>
        <w:tc>
          <w:tcPr>
            <w:tcW w:w="84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6"/>
                <w:szCs w:val="16"/>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86.5 %</w:t>
            </w:r>
          </w:p>
        </w:tc>
        <w:tc>
          <w:tcPr>
            <w:tcW w:w="680" w:type="dxa"/>
            <w:vAlign w:val="bottom"/>
          </w:tcPr>
          <w:p>
            <w:pPr>
              <w:jc w:val="right"/>
              <w:spacing w:after="0"/>
              <w:rPr>
                <w:sz w:val="20"/>
                <w:szCs w:val="20"/>
                <w:color w:val="auto"/>
              </w:rPr>
            </w:pPr>
            <w:r>
              <w:rPr>
                <w:rFonts w:ascii="Arial" w:cs="Arial" w:eastAsia="Arial" w:hAnsi="Arial"/>
                <w:sz w:val="14"/>
                <w:szCs w:val="14"/>
                <w:color w:val="auto"/>
              </w:rPr>
              <w:t>90.2 %</w:t>
            </w:r>
          </w:p>
        </w:tc>
        <w:tc>
          <w:tcPr>
            <w:tcW w:w="84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30" w:lineRule="exact"/>
        <w:rPr>
          <w:sz w:val="20"/>
          <w:szCs w:val="20"/>
          <w:color w:val="auto"/>
        </w:rPr>
      </w:pPr>
    </w:p>
    <w:p>
      <w:pPr>
        <w:ind w:left="580" w:right="80" w:hanging="329"/>
        <w:spacing w:after="0" w:line="252" w:lineRule="auto"/>
        <w:tabs>
          <w:tab w:leader="none" w:pos="5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spacing w:after="0" w:line="1" w:lineRule="exact"/>
        <w:rPr>
          <w:rFonts w:ascii="Arial" w:cs="Arial" w:eastAsia="Arial" w:hAnsi="Arial"/>
          <w:sz w:val="16"/>
          <w:szCs w:val="16"/>
          <w:color w:val="auto"/>
        </w:rPr>
      </w:pPr>
    </w:p>
    <w:p>
      <w:pPr>
        <w:ind w:left="580" w:right="620" w:hanging="329"/>
        <w:spacing w:after="0" w:line="255" w:lineRule="auto"/>
        <w:tabs>
          <w:tab w:leader="none" w:pos="5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Average Physical Occupancy is defined as (1) the average number of occupied units divided by (2) the total number of units, expressed as a percentage.</w:t>
      </w:r>
    </w:p>
    <w:p>
      <w:pPr>
        <w:ind w:left="580" w:right="260" w:hanging="329"/>
        <w:spacing w:after="0" w:line="255" w:lineRule="auto"/>
        <w:tabs>
          <w:tab w:leader="none" w:pos="5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Hotel Net Operating Income</w:t>
      </w:r>
    </w:p>
    <w:p>
      <w:pPr>
        <w:spacing w:after="0" w:line="102" w:lineRule="exact"/>
        <w:rPr>
          <w:sz w:val="20"/>
          <w:szCs w:val="20"/>
          <w:color w:val="auto"/>
        </w:rPr>
      </w:pPr>
    </w:p>
    <w:p>
      <w:pPr>
        <w:ind w:right="260" w:firstLine="445"/>
        <w:spacing w:after="0" w:line="287" w:lineRule="auto"/>
        <w:rPr>
          <w:sz w:val="20"/>
          <w:szCs w:val="20"/>
          <w:color w:val="auto"/>
        </w:rPr>
      </w:pPr>
      <w:r>
        <w:rPr>
          <w:rFonts w:ascii="Arial" w:cs="Arial" w:eastAsia="Arial" w:hAnsi="Arial"/>
          <w:sz w:val="18"/>
          <w:szCs w:val="18"/>
          <w:color w:val="auto"/>
        </w:rPr>
        <w:t>The Boston Marriott Cambridge hotel had net operating income of approximately $12.4 million for the nine months ended September 30, 2024, representing an increase of approximately $0.7 million compared to the nine months ended September 30, 2023.</w:t>
      </w:r>
    </w:p>
    <w:p>
      <w:pPr>
        <w:spacing w:after="0" w:line="99" w:lineRule="exact"/>
        <w:rPr>
          <w:sz w:val="20"/>
          <w:szCs w:val="20"/>
          <w:color w:val="auto"/>
        </w:rPr>
      </w:pPr>
    </w:p>
    <w:p>
      <w:pPr>
        <w:ind w:right="880" w:firstLine="445"/>
        <w:spacing w:after="0" w:line="287" w:lineRule="auto"/>
        <w:rPr>
          <w:sz w:val="20"/>
          <w:szCs w:val="20"/>
          <w:color w:val="auto"/>
        </w:rPr>
      </w:pPr>
      <w:r>
        <w:rPr>
          <w:rFonts w:ascii="Arial" w:cs="Arial" w:eastAsia="Arial" w:hAnsi="Arial"/>
          <w:sz w:val="18"/>
          <w:szCs w:val="18"/>
          <w:color w:val="auto"/>
        </w:rPr>
        <w:t>The following reflects our occupancy and rate information for the Boston Marriott Cambridge hotel for the nine months ended September 30, 2024 and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 (%)</w:t>
            </w: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25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78.1 %</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60" w:type="dxa"/>
            <w:vAlign w:val="bottom"/>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Average daily rate</w:t>
            </w:r>
          </w:p>
        </w:tc>
        <w:tc>
          <w:tcPr>
            <w:tcW w:w="2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331.19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326.22</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1.5 %</w:t>
            </w:r>
          </w:p>
        </w:tc>
        <w:tc>
          <w:tcPr>
            <w:tcW w:w="60" w:type="dxa"/>
            <w:vAlign w:val="bottom"/>
          </w:tcPr>
          <w:p>
            <w:pPr>
              <w:spacing w:after="0"/>
              <w:rPr>
                <w:sz w:val="19"/>
                <w:szCs w:val="19"/>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REVPAR</w:t>
            </w:r>
          </w:p>
        </w:tc>
        <w:tc>
          <w:tcPr>
            <w:tcW w:w="2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258.75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239.64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60" w:type="dxa"/>
            <w:vAlign w:val="bottom"/>
          </w:tcPr>
          <w:p>
            <w:pPr>
              <w:spacing w:after="0"/>
              <w:rPr>
                <w:sz w:val="19"/>
                <w:szCs w:val="19"/>
                <w:color w:val="auto"/>
              </w:rPr>
            </w:pPr>
          </w:p>
        </w:tc>
      </w:tr>
      <w:tr>
        <w:trPr>
          <w:trHeight w:val="854"/>
        </w:trPr>
        <w:tc>
          <w:tcPr>
            <w:tcW w:w="3500" w:type="dxa"/>
            <w:vAlign w:val="bottom"/>
          </w:tcPr>
          <w:p>
            <w:pPr>
              <w:spacing w:after="0"/>
              <w:rPr>
                <w:sz w:val="24"/>
                <w:szCs w:val="24"/>
                <w:color w:val="auto"/>
              </w:rPr>
            </w:pPr>
          </w:p>
        </w:tc>
        <w:tc>
          <w:tcPr>
            <w:tcW w:w="2540" w:type="dxa"/>
            <w:vAlign w:val="bottom"/>
          </w:tcPr>
          <w:p>
            <w:pPr>
              <w:jc w:val="right"/>
              <w:ind w:right="230"/>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1"/>
        </w:trPr>
        <w:tc>
          <w:tcPr>
            <w:tcW w:w="350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Operating Revenue and Expense Items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Development and Management Services Revenue</w:t>
      </w:r>
    </w:p>
    <w:p>
      <w:pPr>
        <w:spacing w:after="0" w:line="102"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Development and management services revenue decreased by approximately $8.8 million for the nine months ended September 30, 2024 compared to 2023. Development services revenue and management services revenue decreased by approximately $4.6 million and $4.2 million, respectively. The decrease in development services revenue is primarily related to decreases in fees associated with tenant improvement projects in Boston and New York City and decreases in development income earned from unconsolidated joint ventures in the San Francisco region. The decrease in management services revenue primarily related to the elimination of property and asset management fees earned from an unconsolidated joint venture in the Los Angeles region in which we acquired the joint venture partner’s interest in December 2023.</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and administrative expense decreased by approximately $3.9 million for the nine months ended September 30,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compared to 2023 primarily due to decreases in compensation expense and other general and administrative expenses of approximately</w:t>
      </w:r>
    </w:p>
    <w:p>
      <w:pPr>
        <w:spacing w:after="0" w:line="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$3.2 million and $0.7 million, respectively. The decrease in compensation expense related to an approximately $5.7 million decrease in other compensation expenses, partially offset by an approximately $2.5 million increase in the value of our deferred compensation plan.</w:t>
      </w:r>
    </w:p>
    <w:p>
      <w:pPr>
        <w:spacing w:after="0" w:line="117" w:lineRule="exact"/>
        <w:rPr>
          <w:sz w:val="20"/>
          <w:szCs w:val="20"/>
          <w:color w:val="auto"/>
        </w:rPr>
      </w:pPr>
    </w:p>
    <w:p>
      <w:pPr>
        <w:ind w:right="220" w:firstLine="445"/>
        <w:spacing w:after="0" w:line="262" w:lineRule="auto"/>
        <w:rPr>
          <w:sz w:val="20"/>
          <w:szCs w:val="20"/>
          <w:color w:val="auto"/>
        </w:rPr>
      </w:pPr>
      <w:r>
        <w:rPr>
          <w:rFonts w:ascii="Arial" w:cs="Arial" w:eastAsia="Arial" w:hAnsi="Arial"/>
          <w:sz w:val="18"/>
          <w:szCs w:val="18"/>
          <w:color w:val="auto"/>
        </w:rPr>
        <w:t>Wages directly related to the development of rental properties are capitalized and included in real estate assets on our Consolidated Balance Sheets and amortized over the useful lives of the applicable asset or lease term. Capitalized wages for each of the nine months ended September 30, 2024 and 2023 were approximately $13.2 million and $13.5 million, respectively. These costs are not included in the general and administrative expenses discussed above.</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Transaction Costs</w:t>
      </w:r>
    </w:p>
    <w:p>
      <w:pPr>
        <w:spacing w:after="0" w:line="88" w:lineRule="exact"/>
        <w:rPr>
          <w:sz w:val="20"/>
          <w:szCs w:val="20"/>
          <w:color w:val="auto"/>
        </w:rPr>
      </w:pPr>
    </w:p>
    <w:p>
      <w:pPr>
        <w:jc w:val="both"/>
        <w:ind w:right="460" w:firstLine="445"/>
        <w:spacing w:after="0" w:line="287" w:lineRule="auto"/>
        <w:rPr>
          <w:sz w:val="20"/>
          <w:szCs w:val="20"/>
          <w:color w:val="auto"/>
        </w:rPr>
      </w:pPr>
      <w:r>
        <w:rPr>
          <w:rFonts w:ascii="Arial" w:cs="Arial" w:eastAsia="Arial" w:hAnsi="Arial"/>
          <w:sz w:val="18"/>
          <w:szCs w:val="18"/>
          <w:color w:val="auto"/>
        </w:rPr>
        <w:t>Transaction costs decreased by approximately $1.1 million for the nine months ended September 30, 2024 compared to 2023. In general, transaction costs relating to the formation of new joint ventures and the pursuit of other transactions are expensed as incurred.</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02"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immediately follows the cover page of this Quarterly Report on Form 10-Q.</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BXP</w:t>
      </w:r>
    </w:p>
    <w:p>
      <w:pPr>
        <w:spacing w:after="0" w:line="102" w:lineRule="exact"/>
        <w:rPr>
          <w:sz w:val="20"/>
          <w:szCs w:val="20"/>
          <w:color w:val="auto"/>
        </w:rPr>
      </w:pPr>
    </w:p>
    <w:p>
      <w:pPr>
        <w:ind w:right="520" w:firstLine="445"/>
        <w:spacing w:after="0" w:line="287" w:lineRule="auto"/>
        <w:rPr>
          <w:sz w:val="20"/>
          <w:szCs w:val="20"/>
          <w:color w:val="auto"/>
        </w:rPr>
      </w:pPr>
      <w:r>
        <w:rPr>
          <w:rFonts w:ascii="Arial" w:cs="Arial" w:eastAsia="Arial" w:hAnsi="Arial"/>
          <w:sz w:val="18"/>
          <w:szCs w:val="18"/>
          <w:color w:val="auto"/>
        </w:rPr>
        <w:t>Depreciation and amortization expense increased by approximately $42.4 million for the nine months ended September 30, 2024 compared to 2023, as detailed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gridSpan w:val="9"/>
          </w:tcPr>
          <w:p>
            <w:pPr>
              <w:jc w:val="center"/>
              <w:ind w:right="92"/>
              <w:spacing w:after="0"/>
              <w:rPr>
                <w:sz w:val="20"/>
                <w:szCs w:val="20"/>
                <w:color w:val="auto"/>
              </w:rPr>
            </w:pPr>
            <w:r>
              <w:rPr>
                <w:rFonts w:ascii="Arial" w:cs="Arial" w:eastAsia="Arial" w:hAnsi="Arial"/>
                <w:sz w:val="16"/>
                <w:szCs w:val="16"/>
                <w:b w:val="1"/>
                <w:bCs w:val="1"/>
                <w:color w:val="auto"/>
              </w:rPr>
              <w:t>Depreciation and Amortization for the nine months</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ended September 30,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60" w:type="dxa"/>
            <w:vAlign w:val="bottom"/>
          </w:tcPr>
          <w:p>
            <w:pPr>
              <w:spacing w:after="0"/>
              <w:rPr>
                <w:sz w:val="18"/>
                <w:szCs w:val="18"/>
                <w:color w:val="auto"/>
              </w:rPr>
            </w:pPr>
          </w:p>
        </w:tc>
        <w:tc>
          <w:tcPr>
            <w:tcW w:w="1140" w:type="dxa"/>
            <w:vAlign w:val="bottom"/>
          </w:tcPr>
          <w:p>
            <w:pPr>
              <w:jc w:val="right"/>
              <w:ind w:right="373"/>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Change</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 Property Portfolio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597,768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593,331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r>
      <w:tr>
        <w:trPr>
          <w:trHeight w:val="230"/>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Properties Acquired Portfolio</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41,811</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Placed In-Service Portfolio</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r>
      <w:tr>
        <w:trPr>
          <w:trHeight w:val="229"/>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Properties in or Held for Development or Redevelopment Portfolio (1)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16,808</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661,148</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618,746</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30" w:lineRule="exact"/>
        <w:rPr>
          <w:sz w:val="20"/>
          <w:szCs w:val="20"/>
          <w:color w:val="auto"/>
        </w:rPr>
      </w:pPr>
    </w:p>
    <w:p>
      <w:pPr>
        <w:ind w:left="580" w:right="240" w:hanging="329"/>
        <w:spacing w:after="0" w:line="265" w:lineRule="auto"/>
        <w:tabs>
          <w:tab w:leader="none" w:pos="575" w:val="left"/>
        </w:tabs>
        <w:numPr>
          <w:ilvl w:val="0"/>
          <w:numId w:val="45"/>
        </w:numPr>
        <w:rPr>
          <w:rFonts w:ascii="Arial" w:cs="Arial" w:eastAsia="Arial" w:hAnsi="Arial"/>
          <w:sz w:val="16"/>
          <w:szCs w:val="16"/>
          <w:color w:val="auto"/>
        </w:rPr>
      </w:pPr>
      <w:r>
        <w:rPr>
          <w:rFonts w:ascii="Arial" w:cs="Arial" w:eastAsia="Arial" w:hAnsi="Arial"/>
          <w:sz w:val="16"/>
          <w:szCs w:val="16"/>
          <w:color w:val="auto"/>
        </w:rPr>
        <w:t>During the nine months ended September 30, 2023, the Kendall Center Blue Parking Garage was taken out of service and demolished to support the development of 290 Binney Street, an approximately 573,000 net rentable square foot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580" w:right="260"/>
        <w:spacing w:after="0" w:line="275" w:lineRule="auto"/>
        <w:rPr>
          <w:sz w:val="20"/>
          <w:szCs w:val="20"/>
          <w:color w:val="auto"/>
        </w:rPr>
      </w:pPr>
      <w:r>
        <w:rPr>
          <w:rFonts w:ascii="Arial" w:cs="Arial" w:eastAsia="Arial" w:hAnsi="Arial"/>
          <w:sz w:val="16"/>
          <w:szCs w:val="16"/>
          <w:color w:val="auto"/>
        </w:rPr>
        <w:t>laboratory/life sciences project in Cambridge, Massachusetts. As a result, during the nine months ended September 30, 2023, we recorded approximately $0.8 million of accelerated depreciation expense for the demolition of the garage, of which approximately $0.2 million related to the step-up of real estate assets.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BPLP</w:t>
      </w:r>
    </w:p>
    <w:p>
      <w:pPr>
        <w:spacing w:after="0" w:line="88" w:lineRule="exact"/>
        <w:rPr>
          <w:sz w:val="20"/>
          <w:szCs w:val="20"/>
          <w:color w:val="auto"/>
        </w:rPr>
      </w:pPr>
    </w:p>
    <w:p>
      <w:pPr>
        <w:ind w:right="540" w:firstLine="445"/>
        <w:spacing w:after="0" w:line="287" w:lineRule="auto"/>
        <w:rPr>
          <w:sz w:val="20"/>
          <w:szCs w:val="20"/>
          <w:color w:val="auto"/>
        </w:rPr>
      </w:pPr>
      <w:r>
        <w:rPr>
          <w:rFonts w:ascii="Arial" w:cs="Arial" w:eastAsia="Arial" w:hAnsi="Arial"/>
          <w:sz w:val="18"/>
          <w:szCs w:val="18"/>
          <w:color w:val="auto"/>
        </w:rPr>
        <w:t>Depreciation and amortization expense increased by approximately $42.6 million for the nine months ended September 30, 2024 compared to 2023, as detailed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gridSpan w:val="9"/>
          </w:tcPr>
          <w:p>
            <w:pPr>
              <w:jc w:val="center"/>
              <w:ind w:right="92"/>
              <w:spacing w:after="0"/>
              <w:rPr>
                <w:sz w:val="20"/>
                <w:szCs w:val="20"/>
                <w:color w:val="auto"/>
              </w:rPr>
            </w:pPr>
            <w:r>
              <w:rPr>
                <w:rFonts w:ascii="Arial" w:cs="Arial" w:eastAsia="Arial" w:hAnsi="Arial"/>
                <w:sz w:val="16"/>
                <w:szCs w:val="16"/>
                <w:b w:val="1"/>
                <w:bCs w:val="1"/>
                <w:color w:val="auto"/>
              </w:rPr>
              <w:t>Depreciation and Amortization for the nine months</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ended September 30,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60" w:type="dxa"/>
            <w:vAlign w:val="bottom"/>
          </w:tcPr>
          <w:p>
            <w:pPr>
              <w:spacing w:after="0"/>
              <w:rPr>
                <w:sz w:val="18"/>
                <w:szCs w:val="18"/>
                <w:color w:val="auto"/>
              </w:rPr>
            </w:pPr>
          </w:p>
        </w:tc>
        <w:tc>
          <w:tcPr>
            <w:tcW w:w="1140" w:type="dxa"/>
            <w:vAlign w:val="bottom"/>
          </w:tcPr>
          <w:p>
            <w:pPr>
              <w:jc w:val="right"/>
              <w:ind w:right="373"/>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 Property Portfolio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592,664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588,211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r>
      <w:tr>
        <w:trPr>
          <w:trHeight w:val="229"/>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Properties Acquired Portfolio</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41,811</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Placed In-Service Portfolio</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r>
      <w:tr>
        <w:trPr>
          <w:trHeight w:val="229"/>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Properties in or Held for Development or Redevelopment Portfolio (1)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16,628</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656,044</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613,446</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30" w:lineRule="exact"/>
        <w:rPr>
          <w:sz w:val="20"/>
          <w:szCs w:val="20"/>
          <w:color w:val="auto"/>
        </w:rPr>
      </w:pPr>
    </w:p>
    <w:p>
      <w:pPr>
        <w:ind w:left="580" w:right="260" w:hanging="329"/>
        <w:spacing w:after="0" w:line="258" w:lineRule="auto"/>
        <w:tabs>
          <w:tab w:leader="none" w:pos="5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During the nine months ended September 30, 2023, the Kendall Center Blue Parking Garage was taken out of service and demolished to support the development of 290 Binney Street, an approximately 573,000 net rentable square foot laboratory/life sciences project in Cambridge, Massachusetts. As a result, during the nine months ended September 30, 2023, BPLP recorded approximately $0.6 million of accelerated depreciation expense for the demolition of the garage.</w:t>
      </w:r>
    </w:p>
    <w:p>
      <w:pPr>
        <w:spacing w:after="0" w:line="216" w:lineRule="exact"/>
        <w:rPr>
          <w:sz w:val="20"/>
          <w:szCs w:val="20"/>
          <w:color w:val="auto"/>
        </w:rPr>
      </w:pPr>
    </w:p>
    <w:p>
      <w:pPr>
        <w:ind w:right="60" w:firstLine="202"/>
        <w:spacing w:after="0" w:line="294" w:lineRule="auto"/>
        <w:rPr>
          <w:sz w:val="20"/>
          <w:szCs w:val="20"/>
          <w:color w:val="auto"/>
        </w:rPr>
      </w:pPr>
      <w:r>
        <w:rPr>
          <w:rFonts w:ascii="Arial" w:cs="Arial" w:eastAsia="Arial" w:hAnsi="Arial"/>
          <w:sz w:val="18"/>
          <w:szCs w:val="18"/>
          <w:b w:val="1"/>
          <w:bCs w:val="1"/>
          <w:i w:val="1"/>
          <w:iCs w:val="1"/>
          <w:color w:val="auto"/>
        </w:rPr>
        <w:t>Direct Reimbursements of Payroll and Related Costs From Management Services Contracts and Payroll and Related Costs From Management Service Contracts</w:t>
      </w:r>
    </w:p>
    <w:p>
      <w:pPr>
        <w:spacing w:after="0" w:line="17"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Income and Expense Items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(Loss) from Unconsolidated Joint Ventures</w:t>
      </w:r>
    </w:p>
    <w:p>
      <w:pPr>
        <w:spacing w:after="0" w:line="88"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For the nine months ended September 30, 2024 compared to 2023, income (loss) from unconsolidated joint ventures increased by approximately $268.2 million primarily due to the recognition of non-cash impairment charges related to our investments in 360 Park Avenue South, 200 Fifth Avenue, Platform 16, and Safeco Plaza aggregating approximately $272.6 million during the nine months ended September 30, 2023, partially offset by an approximately $35.8 million gain on investment related to our Metropolitan Square joint venture interest. Neither of these items recurred during the nine months ended September 30, 2024.</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Gains on Sales of Real Estate</w:t>
      </w:r>
    </w:p>
    <w:p>
      <w:pPr>
        <w:spacing w:after="0" w:line="102" w:lineRule="exact"/>
        <w:rPr>
          <w:sz w:val="20"/>
          <w:szCs w:val="20"/>
          <w:color w:val="auto"/>
        </w:rPr>
      </w:pPr>
    </w:p>
    <w:p>
      <w:pPr>
        <w:ind w:right="220" w:firstLine="445"/>
        <w:spacing w:after="0" w:line="287" w:lineRule="auto"/>
        <w:rPr>
          <w:sz w:val="20"/>
          <w:szCs w:val="20"/>
          <w:color w:val="auto"/>
        </w:rPr>
      </w:pPr>
      <w:r>
        <w:rPr>
          <w:rFonts w:ascii="Arial" w:cs="Arial" w:eastAsia="Arial" w:hAnsi="Arial"/>
          <w:sz w:val="18"/>
          <w:szCs w:val="18"/>
          <w:color w:val="auto"/>
        </w:rPr>
        <w:t>The $0.5 million gains on sale of real estate for the nine months ended September 30, 2024 and 2023 were related to the sale of real estate occurring in prior periods.</w:t>
      </w:r>
    </w:p>
    <w:p>
      <w:pPr>
        <w:spacing w:after="0" w:line="3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immediately follows the cover page of this Quarterly Report on Form 10-Q.</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(Loss)</w:t>
      </w:r>
    </w:p>
    <w:p>
      <w:pPr>
        <w:spacing w:after="0" w:line="102"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Interest and other income (loss) decreased by approximately $9.3 million for the nine months ended September 30, 2024 compared to 2023, due primarily to a decrease in our outstanding cash balances.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Gains from Investments in Securities</w:t>
      </w:r>
    </w:p>
    <w:p>
      <w:pPr>
        <w:spacing w:after="0" w:line="88"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Gains from investments in securities for the nine months ended September 30, 2024 and 2023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from investments in securities. During the nine months ended September 30, 2024 and 2023, we recognized gains of approximately $ 4.8 million and $2.3 million, respectively, on these investments. By comparison, our general and administrative expense decreased by approximately $4.8 million and $2.3 million during the nine months ended September 30, 2024 and 2023, respectively, as a result of decreases in our liability under our deferred compensation plans that was associated with the performance of the specific investments selected by officers and former non-employee directors of BXP participating in the plans.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Unrealized Gain on Non-Real Estate Investment</w:t>
      </w:r>
    </w:p>
    <w:p>
      <w:pPr>
        <w:spacing w:after="0" w:line="102" w:lineRule="exact"/>
        <w:rPr>
          <w:sz w:val="20"/>
          <w:szCs w:val="20"/>
          <w:color w:val="auto"/>
        </w:rPr>
      </w:pPr>
    </w:p>
    <w:p>
      <w:pPr>
        <w:ind w:right="60" w:firstLine="445"/>
        <w:spacing w:after="0" w:line="268" w:lineRule="auto"/>
        <w:rPr>
          <w:sz w:val="20"/>
          <w:szCs w:val="20"/>
          <w:color w:val="auto"/>
        </w:rPr>
      </w:pPr>
      <w:r>
        <w:rPr>
          <w:rFonts w:ascii="Arial" w:cs="Arial" w:eastAsia="Arial" w:hAnsi="Arial"/>
          <w:sz w:val="18"/>
          <w:szCs w:val="18"/>
          <w:color w:val="auto"/>
        </w:rPr>
        <w:t>We invest in non-real estate investments, which are primarily environmentally-focused investment funds. As a result, during the nine months ended September 30, 2024 and 2023, we recognized an unrealized gain of approximately $0.5 million and $0.3 million, respectively, due to the observable changes in the fair value of the investments.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Loss</w:t>
      </w:r>
    </w:p>
    <w:p>
      <w:pPr>
        <w:spacing w:after="0" w:line="102"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At March 31, 2024, we evaluated the expected hold period for a portion of our Shady Grove property, located in Rockville, Maryland, consisting of 2 Choke Cherry Road, 2094 Gaither Road and a land parcel. Based on a shorter-than-expected hold period, we reduced the carrying value of a portion of the property that we anticipate selling to a third-party developer to its estimated fair value at March 31, 2024. As a result, each of BXP and BPLP recognized an impairment loss of approximately $13.6 million. Our estimated fair value was based on Level 3 inputs as defined in Accounting Standards Codification (“ASC”) 820 “Fair Value Measurements and Disclosures” and on a pending offer from a third party (See Note 3 to the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8" w:lineRule="exact"/>
        <w:rPr>
          <w:sz w:val="20"/>
          <w:szCs w:val="20"/>
          <w:color w:val="auto"/>
        </w:rPr>
      </w:pPr>
    </w:p>
    <w:p>
      <w:pPr>
        <w:ind w:right="540" w:firstLine="445"/>
        <w:spacing w:after="0" w:line="287" w:lineRule="auto"/>
        <w:rPr>
          <w:sz w:val="20"/>
          <w:szCs w:val="20"/>
          <w:color w:val="auto"/>
        </w:rPr>
      </w:pPr>
      <w:r>
        <w:rPr>
          <w:rFonts w:ascii="Arial" w:cs="Arial" w:eastAsia="Arial" w:hAnsi="Arial"/>
          <w:sz w:val="18"/>
          <w:szCs w:val="18"/>
          <w:color w:val="auto"/>
        </w:rPr>
        <w:t>Interest expense increased by approximately $50.2 million for the nine months ended September 30, 2024 compared to 2023, as detailed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center"/>
              <w:ind w:right="112"/>
              <w:spacing w:after="0"/>
              <w:rPr>
                <w:sz w:val="20"/>
                <w:szCs w:val="20"/>
                <w:color w:val="auto"/>
              </w:rPr>
            </w:pPr>
            <w:r>
              <w:rPr>
                <w:rFonts w:ascii="Arial" w:cs="Arial" w:eastAsia="Arial" w:hAnsi="Arial"/>
                <w:sz w:val="16"/>
                <w:szCs w:val="16"/>
                <w:b w:val="1"/>
                <w:bCs w:val="1"/>
                <w:color w:val="auto"/>
              </w:rPr>
              <w:t>Change in interest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jc w:val="center"/>
              <w:ind w:right="112"/>
              <w:spacing w:after="0" w:line="162" w:lineRule="exact"/>
              <w:rPr>
                <w:sz w:val="20"/>
                <w:szCs w:val="20"/>
                <w:color w:val="auto"/>
              </w:rPr>
            </w:pPr>
            <w:r>
              <w:rPr>
                <w:rFonts w:ascii="Arial" w:cs="Arial" w:eastAsia="Arial" w:hAnsi="Arial"/>
                <w:sz w:val="16"/>
                <w:szCs w:val="16"/>
                <w:b w:val="1"/>
                <w:bCs w:val="1"/>
                <w:color w:val="auto"/>
              </w:rPr>
              <w:t>expense for the nine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2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months ended September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Component</w:t>
            </w:r>
          </w:p>
        </w:tc>
        <w:tc>
          <w:tcPr>
            <w:tcW w:w="200" w:type="dxa"/>
            <w:vAlign w:val="bottom"/>
          </w:tcPr>
          <w:p>
            <w:pPr>
              <w:spacing w:after="0"/>
              <w:rPr>
                <w:sz w:val="14"/>
                <w:szCs w:val="14"/>
                <w:color w:val="auto"/>
              </w:rPr>
            </w:pPr>
          </w:p>
        </w:tc>
        <w:tc>
          <w:tcPr>
            <w:tcW w:w="2000" w:type="dxa"/>
            <w:vAlign w:val="bottom"/>
          </w:tcPr>
          <w:p>
            <w:pPr>
              <w:jc w:val="center"/>
              <w:ind w:right="112"/>
              <w:spacing w:after="0" w:line="162" w:lineRule="exact"/>
              <w:rPr>
                <w:sz w:val="20"/>
                <w:szCs w:val="20"/>
                <w:color w:val="auto"/>
              </w:rPr>
            </w:pPr>
            <w:r>
              <w:rPr>
                <w:rFonts w:ascii="Arial" w:cs="Arial" w:eastAsia="Arial" w:hAnsi="Arial"/>
                <w:sz w:val="16"/>
                <w:szCs w:val="16"/>
                <w:b w:val="1"/>
                <w:bCs w:val="1"/>
                <w:color w:val="auto"/>
              </w:rPr>
              <w:t>30, 2024 compared to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jc w:val="center"/>
              <w:ind w:right="112"/>
              <w:spacing w:after="0" w:line="175" w:lineRule="exact"/>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center"/>
              <w:ind w:right="112"/>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Increases to interest expense due to:</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New mortgage loan financings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55,430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Issuance of $750 million in aggregate principal of 6.500% senior notes due 2034 on May 15, 2023</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Unsecured commercial paper (2)</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12,263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Issuance of $850 million in aggregate principal of 5.750% senior notes due 2035 on August 26, 2024</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90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Amortization expense of financing fees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increases to interest expense</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Decreases to interest expense due to:</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 of $700 million in aggregate principal of 3.800% senior notes due 2024 on February 1, 2024</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Repayment of $500 million in aggregate principal of 3.125% senior notes due 2023 on September 1, 2023</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(10,672)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 in interest associated with unsecured term loans and the unsecured credit facility, net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Decrease in interest due to finance leases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interest expense (excluding senior notes)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90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Increase in capitalized interest related to development projects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decreases to 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Total change in interest expense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0" w:lineRule="exact"/>
        <w:rPr>
          <w:sz w:val="20"/>
          <w:szCs w:val="20"/>
          <w:color w:val="auto"/>
        </w:rPr>
      </w:pPr>
    </w:p>
    <w:p>
      <w:pPr>
        <w:ind w:left="580" w:right="200" w:hanging="329"/>
        <w:spacing w:after="0" w:line="254" w:lineRule="auto"/>
        <w:tabs>
          <w:tab w:leader="none" w:pos="5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Consists of the mortgage loan and, if applicable, fair value debt and swap adjustments collateralized by (1) 325 Main Street, 355 Main Street, 90 Broadway and Cambridge East Garage (also known as Kendall Center Green Garage) properties located in Cambridge, Massachusetts, (2) Santa Monica Business Park located in Santa Monica, California and (3) 901 New York Avenue in Washington, DC (See Note 6 to the Consolidated Financial Statements).</w:t>
      </w:r>
    </w:p>
    <w:p>
      <w:pPr>
        <w:ind w:left="580" w:hanging="329"/>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April 17, 2024, BPLP established an unsecured commercial paper program (See Note 6 to the Consolidated Financial Statements).</w:t>
      </w:r>
    </w:p>
    <w:p>
      <w:pPr>
        <w:spacing w:after="0" w:line="245" w:lineRule="exact"/>
        <w:rPr>
          <w:sz w:val="20"/>
          <w:szCs w:val="20"/>
          <w:color w:val="auto"/>
        </w:rPr>
      </w:pPr>
    </w:p>
    <w:p>
      <w:pPr>
        <w:ind w:right="220" w:firstLine="445"/>
        <w:spacing w:after="0" w:line="257" w:lineRule="auto"/>
        <w:rPr>
          <w:sz w:val="20"/>
          <w:szCs w:val="20"/>
          <w:color w:val="auto"/>
        </w:rPr>
      </w:pPr>
      <w:r>
        <w:rPr>
          <w:rFonts w:ascii="Arial" w:cs="Arial" w:eastAsia="Arial" w:hAnsi="Arial"/>
          <w:sz w:val="18"/>
          <w:szCs w:val="18"/>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nine months ended September 30, 2024 and 2023 was approximately $31.3 million and $30.8 million, respectively. These costs are not included in the interest expense referenced above. The decrease in capitalized interest is primarily attributable to a development project that had a finance lease and is now placed in service.</w:t>
      </w:r>
    </w:p>
    <w:p>
      <w:pPr>
        <w:spacing w:after="0" w:line="128"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At September 30, 2024, our variable rate debt consisted of (1) BPLP’s $2.0 billion 2021 Credit Facility, (2) BPLP’s $ 700.0 million 2023 Unsecured Term Loan and (3) BPLP’s $500.0 million unsecured commercial paper notes. As of September 30, 2024, the 2021 Credit Facility did not have a balance outstanding. In addition, we have the $100.0 million 2024 Unsecured Term Loan and $800.0 million of mortgage notes collateralized by Santa Monica Business Park and our 325 Main Street, 355 Main Street, 90 Broadway and Cambridge East Garage (also known as Kendall Center Green Garage) properties that bore interest at variable rates, which have all been hedged with interest rates swaps to fix SOFR for all or a portion of, the applicable debt term. For a summary of our consolidated debt as of September 30, 2024 refer to the heading “</w:t>
      </w:r>
      <w:r>
        <w:rPr>
          <w:rFonts w:ascii="Arial" w:cs="Arial" w:eastAsia="Arial" w:hAnsi="Arial"/>
          <w:sz w:val="18"/>
          <w:szCs w:val="18"/>
          <w:i w:val="1"/>
          <w:iCs w:val="1"/>
          <w:color w:val="auto"/>
        </w:rPr>
        <w:t>Liquidity and Capital Resources—Debt Financing”</w:t>
      </w:r>
      <w:r>
        <w:rPr>
          <w:rFonts w:ascii="Arial" w:cs="Arial" w:eastAsia="Arial" w:hAnsi="Arial"/>
          <w:sz w:val="18"/>
          <w:szCs w:val="18"/>
          <w:color w:val="auto"/>
        </w:rPr>
        <w:t xml:space="preserve"> within “</w:t>
      </w:r>
      <w:r>
        <w:rPr>
          <w:rFonts w:ascii="Arial" w:cs="Arial" w:eastAsia="Arial" w:hAnsi="Arial"/>
          <w:sz w:val="18"/>
          <w:szCs w:val="18"/>
          <w:i w:val="1"/>
          <w:iCs w:val="1"/>
          <w:color w:val="auto"/>
        </w:rPr>
        <w:t>Item 2—Management’s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Interests in Property Partnerships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Noncontrolling interests in property partnerships decreased by approximately $9.1 million for the nine months ended September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 compared to 2023, as detailed below.</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60" w:type="dxa"/>
            <w:vAlign w:val="bottom"/>
            <w:gridSpan w:val="8"/>
          </w:tcPr>
          <w:p>
            <w:pPr>
              <w:jc w:val="center"/>
              <w:spacing w:after="0"/>
              <w:rPr>
                <w:sz w:val="20"/>
                <w:szCs w:val="20"/>
                <w:color w:val="auto"/>
              </w:rPr>
            </w:pPr>
            <w:r>
              <w:rPr>
                <w:rFonts w:ascii="Arial" w:cs="Arial" w:eastAsia="Arial" w:hAnsi="Arial"/>
                <w:sz w:val="16"/>
                <w:szCs w:val="16"/>
                <w:b w:val="1"/>
                <w:bCs w:val="1"/>
                <w:color w:val="auto"/>
              </w:rPr>
              <w:t>Noncontrolling Interests in Property Partnerships for the nine</w:t>
            </w:r>
          </w:p>
        </w:tc>
      </w:tr>
      <w:tr>
        <w:trPr>
          <w:trHeight w:val="216"/>
        </w:trPr>
        <w:tc>
          <w:tcPr>
            <w:tcW w:w="3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6"/>
          </w:tcPr>
          <w:p>
            <w:pPr>
              <w:jc w:val="center"/>
              <w:ind w:left="732"/>
              <w:spacing w:after="0"/>
              <w:rPr>
                <w:sz w:val="20"/>
                <w:szCs w:val="20"/>
                <w:color w:val="auto"/>
              </w:rPr>
            </w:pPr>
            <w:r>
              <w:rPr>
                <w:rFonts w:ascii="Arial" w:cs="Arial" w:eastAsia="Arial" w:hAnsi="Arial"/>
                <w:sz w:val="16"/>
                <w:szCs w:val="16"/>
                <w:b w:val="1"/>
                <w:bCs w:val="1"/>
                <w:color w:val="auto"/>
              </w:rPr>
              <w:t>months ended September 30,</w:t>
            </w:r>
          </w:p>
        </w:tc>
        <w:tc>
          <w:tcPr>
            <w:tcW w:w="1160" w:type="dxa"/>
            <w:vAlign w:val="bottom"/>
            <w:tcBorders>
              <w:bottom w:val="single" w:sz="8" w:color="auto"/>
            </w:tcBorders>
          </w:tcPr>
          <w:p>
            <w:pPr>
              <w:spacing w:after="0"/>
              <w:rPr>
                <w:sz w:val="18"/>
                <w:szCs w:val="18"/>
                <w:color w:val="auto"/>
              </w:rPr>
            </w:pPr>
          </w:p>
        </w:tc>
      </w:tr>
      <w:tr>
        <w:trPr>
          <w:trHeight w:val="237"/>
        </w:trPr>
        <w:tc>
          <w:tcPr>
            <w:tcW w:w="6320" w:type="dxa"/>
            <w:vAlign w:val="bottom"/>
            <w:gridSpan w:val="3"/>
          </w:tcPr>
          <w:p>
            <w:pPr>
              <w:spacing w:after="0"/>
              <w:rPr>
                <w:sz w:val="20"/>
                <w:szCs w:val="20"/>
                <w:color w:val="auto"/>
              </w:rPr>
            </w:pPr>
            <w:r>
              <w:rPr>
                <w:rFonts w:ascii="Arial" w:cs="Arial" w:eastAsia="Arial" w:hAnsi="Arial"/>
                <w:sz w:val="16"/>
                <w:szCs w:val="16"/>
                <w:b w:val="1"/>
                <w:bCs w:val="1"/>
                <w:color w:val="auto"/>
              </w:rPr>
              <w:t>Property</w:t>
            </w:r>
          </w:p>
        </w:tc>
        <w:tc>
          <w:tcPr>
            <w:tcW w:w="340" w:type="dxa"/>
            <w:vAlign w:val="bottom"/>
          </w:tcPr>
          <w:p>
            <w:pPr>
              <w:spacing w:after="0"/>
              <w:rPr>
                <w:sz w:val="20"/>
                <w:szCs w:val="20"/>
                <w:color w:val="auto"/>
              </w:rPr>
            </w:pPr>
          </w:p>
        </w:tc>
        <w:tc>
          <w:tcPr>
            <w:tcW w:w="1200" w:type="dxa"/>
            <w:vAlign w:val="bottom"/>
          </w:tcPr>
          <w:p>
            <w:pPr>
              <w:jc w:val="right"/>
              <w:ind w:right="512"/>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r>
      <w:tr>
        <w:trPr>
          <w:trHeight w:val="210"/>
        </w:trPr>
        <w:tc>
          <w:tcPr>
            <w:tcW w:w="340" w:type="dxa"/>
            <w:vAlign w:val="bottom"/>
            <w:tcBorders>
              <w:top w:val="single" w:sz="8" w:color="auto"/>
            </w:tcBorders>
          </w:tcPr>
          <w:p>
            <w:pPr>
              <w:spacing w:after="0"/>
              <w:rPr>
                <w:sz w:val="18"/>
                <w:szCs w:val="18"/>
                <w:color w:val="auto"/>
              </w:rPr>
            </w:pPr>
          </w:p>
        </w:tc>
        <w:tc>
          <w:tcPr>
            <w:tcW w:w="5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767</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Fifth Avenue (the General Motors Building)</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6320" w:type="dxa"/>
            <w:vAlign w:val="bottom"/>
            <w:gridSpan w:val="3"/>
          </w:tcPr>
          <w:p>
            <w:pPr>
              <w:spacing w:after="0"/>
              <w:rPr>
                <w:sz w:val="20"/>
                <w:szCs w:val="20"/>
                <w:color w:val="auto"/>
              </w:rPr>
            </w:pPr>
            <w:r>
              <w:rPr>
                <w:rFonts w:ascii="Arial" w:cs="Arial" w:eastAsia="Arial" w:hAnsi="Arial"/>
                <w:sz w:val="18"/>
                <w:szCs w:val="18"/>
                <w:color w:val="auto"/>
              </w:rPr>
              <w:t>Times Square Tower (1)</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12,651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16,737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(4,086)</w:t>
            </w:r>
          </w:p>
        </w:tc>
      </w:tr>
      <w:tr>
        <w:trPr>
          <w:trHeight w:val="230"/>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601</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Lexington Avenue (2)</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r>
      <w:tr>
        <w:trPr>
          <w:trHeight w:val="229"/>
        </w:trPr>
        <w:tc>
          <w:tcPr>
            <w:tcW w:w="340" w:type="dxa"/>
            <w:vAlign w:val="bottom"/>
          </w:tcPr>
          <w:p>
            <w:pPr>
              <w:spacing w:after="0"/>
              <w:rPr>
                <w:sz w:val="20"/>
                <w:szCs w:val="20"/>
                <w:color w:val="auto"/>
              </w:rPr>
            </w:pPr>
            <w:r>
              <w:rPr>
                <w:rFonts w:ascii="Arial" w:cs="Arial" w:eastAsia="Arial" w:hAnsi="Arial"/>
                <w:sz w:val="18"/>
                <w:szCs w:val="18"/>
                <w:color w:val="auto"/>
              </w:rPr>
              <w:t>100</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Federal Street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8,713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9,732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30"/>
        </w:trPr>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Atlantic Wharf Office Building</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340" w:type="dxa"/>
            <w:vAlign w:val="bottom"/>
          </w:tcPr>
          <w:p>
            <w:pPr>
              <w:spacing w:after="0"/>
              <w:rPr>
                <w:sz w:val="20"/>
                <w:szCs w:val="20"/>
                <w:color w:val="auto"/>
              </w:rPr>
            </w:pPr>
            <w:r>
              <w:rPr>
                <w:rFonts w:ascii="Arial" w:cs="Arial" w:eastAsia="Arial" w:hAnsi="Arial"/>
                <w:sz w:val="18"/>
                <w:szCs w:val="18"/>
                <w:color w:val="auto"/>
              </w:rPr>
              <w:t>343</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Madison Avenue (3)</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Binney Street (4)</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290</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Binney Street (4)</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48"/>
        </w:trPr>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57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(9,054)</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0" w:lineRule="exact"/>
        <w:rPr>
          <w:sz w:val="20"/>
          <w:szCs w:val="20"/>
          <w:color w:val="auto"/>
        </w:rPr>
      </w:pPr>
    </w:p>
    <w:p>
      <w:pPr>
        <w:ind w:left="580" w:hanging="32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decrease was primarily attributable to a decrease in lease revenue from our clients.</w:t>
      </w:r>
    </w:p>
    <w:p>
      <w:pPr>
        <w:spacing w:after="0" w:line="5" w:lineRule="exact"/>
        <w:rPr>
          <w:rFonts w:ascii="Arial" w:cs="Arial" w:eastAsia="Arial" w:hAnsi="Arial"/>
          <w:sz w:val="16"/>
          <w:szCs w:val="16"/>
          <w:color w:val="auto"/>
        </w:rPr>
      </w:pPr>
    </w:p>
    <w:p>
      <w:pPr>
        <w:ind w:left="580" w:right="200" w:hanging="329"/>
        <w:spacing w:after="0" w:line="255" w:lineRule="auto"/>
        <w:tabs>
          <w:tab w:leader="none" w:pos="5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decrease was primarily attributable to a decrease in lease revenue from our clients and depreciation and amortization expense related to new and expiring clients.</w:t>
      </w:r>
    </w:p>
    <w:p>
      <w:pPr>
        <w:ind w:left="580" w:hanging="32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Property is held for future development.</w:t>
      </w:r>
    </w:p>
    <w:p>
      <w:pPr>
        <w:spacing w:after="0" w:line="14" w:lineRule="exact"/>
        <w:rPr>
          <w:rFonts w:ascii="Arial" w:cs="Arial" w:eastAsia="Arial" w:hAnsi="Arial"/>
          <w:sz w:val="16"/>
          <w:szCs w:val="16"/>
          <w:color w:val="auto"/>
        </w:rPr>
      </w:pPr>
    </w:p>
    <w:p>
      <w:pPr>
        <w:ind w:left="580" w:hanging="32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Property is currently under redevelopment or in development.</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Interest—Common Units of the Operating Partnership</w:t>
      </w:r>
    </w:p>
    <w:p>
      <w:pPr>
        <w:spacing w:after="0" w:line="88" w:lineRule="exact"/>
        <w:rPr>
          <w:sz w:val="20"/>
          <w:szCs w:val="20"/>
          <w:color w:val="auto"/>
        </w:rPr>
      </w:pPr>
    </w:p>
    <w:p>
      <w:pPr>
        <w:ind w:right="380" w:firstLine="445"/>
        <w:spacing w:after="0" w:line="259" w:lineRule="auto"/>
        <w:rPr>
          <w:sz w:val="20"/>
          <w:szCs w:val="20"/>
          <w:color w:val="auto"/>
        </w:rPr>
      </w:pPr>
      <w:r>
        <w:rPr>
          <w:rFonts w:ascii="Arial" w:cs="Arial" w:eastAsia="Arial" w:hAnsi="Arial"/>
          <w:sz w:val="18"/>
          <w:szCs w:val="18"/>
          <w:color w:val="auto"/>
        </w:rPr>
        <w:t>For BXP, noncontrolling interest—common units of the Operating Partnership increased by approximately $20.0 million for the nine months ended September 30, 2024 compared to 2023 due primarily to an increase in allocable income, which was primarily the result of recognizing a non-cash impairment charge related to our investment in unconsolidated joint ventures during the nine months ended September 30, 2023 that did not recur during the nine months ended September 30, 2024. Due to our ownership structure, there is no corresponding line item on BPLP’s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2024 and 2023</w:t>
      </w:r>
    </w:p>
    <w:p>
      <w:pPr>
        <w:spacing w:after="0" w:line="10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Net income (loss) attributable to BXP, Inc. and net income (loss) attributable to Boston Properties Limited Partnership increased approximately $195.5 million and $ 217.6 million, respectively, for the three months ended September 30, 2024 compared to 2023, as detailed in the following tables and for the reasons discussed below under the heading “</w:t>
      </w:r>
      <w:r>
        <w:rPr>
          <w:rFonts w:ascii="Arial" w:cs="Arial" w:eastAsia="Arial" w:hAnsi="Arial"/>
          <w:sz w:val="18"/>
          <w:szCs w:val="18"/>
          <w:i w:val="1"/>
          <w:iCs w:val="1"/>
          <w:color w:val="auto"/>
        </w:rPr>
        <w:t>Comparison of the three months ended September</w:t>
      </w:r>
      <w:r>
        <w:rPr>
          <w:rFonts w:ascii="Arial" w:cs="Arial" w:eastAsia="Arial" w:hAnsi="Arial"/>
          <w:sz w:val="18"/>
          <w:szCs w:val="18"/>
          <w:color w:val="auto"/>
        </w:rPr>
        <w:t xml:space="preserve"> </w:t>
      </w:r>
      <w:r>
        <w:rPr>
          <w:rFonts w:ascii="Arial" w:cs="Arial" w:eastAsia="Arial" w:hAnsi="Arial"/>
          <w:sz w:val="18"/>
          <w:szCs w:val="18"/>
          <w:i w:val="1"/>
          <w:iCs w:val="1"/>
          <w:color w:val="auto"/>
        </w:rPr>
        <w:t>30, 2024 to the three months ended September 30, 2023” within “Item 2—Management’s Discussion and Analysis of Financial Condition and Results of Operations.</w:t>
      </w:r>
      <w:r>
        <w:rPr>
          <w:rFonts w:ascii="Arial" w:cs="Arial" w:eastAsia="Arial" w:hAnsi="Arial"/>
          <w:sz w:val="18"/>
          <w:szCs w:val="18"/>
          <w:color w:val="auto"/>
        </w:rPr>
        <w:t>”</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reconciliations of Net Income (Loss) Attributable to BXP, Inc. to Net Operating Income and Net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Boston Properties Limited Partnership to Net Operating Income for the three months ended September 30, 2024 and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NOI, including the reasons management believes NOI is useful to investors, see page 73.</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6"/>
                <w:szCs w:val="16"/>
                <w:b w:val="1"/>
                <w:bCs w:val="1"/>
                <w:color w:val="auto"/>
              </w:rPr>
              <w:t>Three months ended September 30,</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center"/>
              <w:ind w:right="560"/>
              <w:spacing w:after="0" w:line="155" w:lineRule="exact"/>
              <w:rPr>
                <w:sz w:val="20"/>
                <w:szCs w:val="20"/>
                <w:color w:val="auto"/>
              </w:rPr>
            </w:pPr>
            <w:r>
              <w:rPr>
                <w:rFonts w:ascii="Arial" w:cs="Arial" w:eastAsia="Arial" w:hAnsi="Arial"/>
                <w:sz w:val="16"/>
                <w:szCs w:val="16"/>
                <w:b w:val="1"/>
                <w:bCs w:val="1"/>
                <w:color w:val="auto"/>
              </w:rPr>
              <w:t>Increase/</w:t>
            </w:r>
          </w:p>
        </w:tc>
        <w:tc>
          <w:tcPr>
            <w:tcW w:w="1100" w:type="dxa"/>
            <w:vAlign w:val="bottom"/>
          </w:tcPr>
          <w:p>
            <w:pPr>
              <w:jc w:val="right"/>
              <w:ind w:right="53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6"/>
                <w:szCs w:val="16"/>
                <w:b w:val="1"/>
                <w:bCs w:val="1"/>
                <w:color w:val="auto"/>
              </w:rPr>
              <w:t>(Decrease)</w:t>
            </w: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w w:val="99"/>
              </w:rPr>
              <w:t>(in thousands)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BXP, Inc.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83,628</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174.78 %</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175.93 %</w:t>
            </w:r>
          </w:p>
        </w:tc>
        <w:tc>
          <w:tcPr>
            <w:tcW w:w="0" w:type="dxa"/>
            <w:vAlign w:val="bottom"/>
          </w:tcPr>
          <w:p>
            <w:pPr>
              <w:spacing w:after="0"/>
              <w:rPr>
                <w:sz w:val="1"/>
                <w:szCs w:val="1"/>
                <w:color w:val="auto"/>
              </w:rPr>
            </w:pPr>
          </w:p>
        </w:tc>
      </w:tr>
      <w:tr>
        <w:trPr>
          <w:trHeight w:val="215"/>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(27.13)%</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204.74 %</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163,194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147,812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10.41 %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unconsolidated joint ventures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(97.17)%</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Unrealized gain (loss) on non-real estate investment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284.31 %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(losses) from investments in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337.62 %</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Interest and other income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(30.34)%</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on sales of real estate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222,890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207,435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7.45 %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Transaction costs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(74.97)%</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6.18 %</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360"/>
              <w:spacing w:after="0" w:line="162"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3,649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3,906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5"/>
        </w:trPr>
        <w:tc>
          <w:tcPr>
            <w:tcW w:w="6100" w:type="dxa"/>
            <w:vAlign w:val="bottom"/>
          </w:tcPr>
          <w:p>
            <w:pPr>
              <w:ind w:left="520"/>
              <w:spacing w:after="0"/>
              <w:rPr>
                <w:sz w:val="20"/>
                <w:szCs w:val="20"/>
                <w:color w:val="auto"/>
              </w:rPr>
            </w:pPr>
            <w:r>
              <w:rPr>
                <w:rFonts w:ascii="Arial" w:cs="Arial" w:eastAsia="Arial" w:hAnsi="Arial"/>
                <w:sz w:val="16"/>
                <w:szCs w:val="16"/>
                <w:color w:val="auto"/>
              </w:rPr>
              <w:t>contracts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511,078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501,881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1.83 %</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6"/>
                <w:szCs w:val="16"/>
                <w:b w:val="1"/>
                <w:bCs w:val="1"/>
                <w:color w:val="auto"/>
              </w:rPr>
              <w:t>Three months ended September 30,</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540"/>
              <w:spacing w:after="0" w:line="155" w:lineRule="exact"/>
              <w:rPr>
                <w:sz w:val="20"/>
                <w:szCs w:val="20"/>
                <w:color w:val="auto"/>
              </w:rPr>
            </w:pPr>
            <w:r>
              <w:rPr>
                <w:rFonts w:ascii="Arial" w:cs="Arial" w:eastAsia="Arial" w:hAnsi="Arial"/>
                <w:sz w:val="16"/>
                <w:szCs w:val="16"/>
                <w:b w:val="1"/>
                <w:bCs w:val="1"/>
                <w:color w:val="auto"/>
              </w:rPr>
              <w:t>Increase/</w:t>
            </w:r>
          </w:p>
        </w:tc>
        <w:tc>
          <w:tcPr>
            <w:tcW w:w="1080" w:type="dxa"/>
            <w:vAlign w:val="bottom"/>
          </w:tcPr>
          <w:p>
            <w:pPr>
              <w:jc w:val="right"/>
              <w:ind w:right="51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6"/>
                <w:szCs w:val="16"/>
                <w:b w:val="1"/>
                <w:bCs w:val="1"/>
                <w:color w:val="auto"/>
              </w:rPr>
              <w:t>(Decrease)</w:t>
            </w: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w w:val="99"/>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Boston Properties Limited Partnership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94,919</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177.36 %</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(27.13)%</w:t>
            </w:r>
          </w:p>
        </w:tc>
        <w:tc>
          <w:tcPr>
            <w:tcW w:w="0" w:type="dxa"/>
            <w:vAlign w:val="bottom"/>
          </w:tcPr>
          <w:p>
            <w:pPr>
              <w:spacing w:after="0"/>
              <w:rPr>
                <w:sz w:val="1"/>
                <w:szCs w:val="1"/>
                <w:color w:val="auto"/>
              </w:rPr>
            </w:pPr>
          </w:p>
        </w:tc>
      </w:tr>
      <w:tr>
        <w:trPr>
          <w:trHeight w:val="209"/>
        </w:trPr>
        <w:tc>
          <w:tcPr>
            <w:tcW w:w="61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110,156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(101,787)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211,943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208.22 %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10.41 %</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Loss from unconsolidated joint ventures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247,556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(240,545)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(97.17)%</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(loss) on non-real estate investment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284.31 %</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Gains (losses) from investments in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337.62 %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and other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Gains on sales of real estate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7.54 %</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(74.97)%</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33,352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6.18 %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contracts</w:t>
            </w: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w:t>
            </w:r>
          </w:p>
        </w:tc>
        <w:tc>
          <w:tcPr>
            <w:tcW w:w="0" w:type="dxa"/>
            <w:vAlign w:val="bottom"/>
          </w:tcPr>
          <w:p>
            <w:pPr>
              <w:spacing w:after="0"/>
              <w:rPr>
                <w:sz w:val="1"/>
                <w:szCs w:val="1"/>
                <w:color w:val="auto"/>
              </w:rPr>
            </w:pPr>
          </w:p>
        </w:tc>
      </w:tr>
      <w:tr>
        <w:trPr>
          <w:trHeight w:val="235"/>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511,078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501,881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At September 30, 2024 and 2023, we owned or had joint venture interests in a portfolio of 184 and 190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three months ended September 30, 2024 and 2023 show separately the changes attributable to the properties that were owned by us and in-service throughout each period compared (the “Same Property Portfolio”) and the changes attributable to the properties included in the Acquired, Placed In-Service, In or Held for Development or Redevelopment or Sold Portfolios.</w:t>
      </w:r>
    </w:p>
    <w:p>
      <w:pPr>
        <w:spacing w:after="0" w:line="131" w:lineRule="exact"/>
        <w:rPr>
          <w:sz w:val="20"/>
          <w:szCs w:val="20"/>
          <w:color w:val="auto"/>
        </w:rPr>
      </w:pPr>
    </w:p>
    <w:p>
      <w:pPr>
        <w:ind w:right="220" w:firstLine="445"/>
        <w:spacing w:after="0" w:line="257" w:lineRule="auto"/>
        <w:rPr>
          <w:sz w:val="20"/>
          <w:szCs w:val="20"/>
          <w:color w:val="auto"/>
        </w:rPr>
      </w:pPr>
      <w:r>
        <w:rPr>
          <w:rFonts w:ascii="Arial" w:cs="Arial" w:eastAsia="Arial" w:hAnsi="Arial"/>
          <w:sz w:val="18"/>
          <w:szCs w:val="18"/>
          <w:color w:val="auto"/>
        </w:rPr>
        <w:t>In our analysis of operating results, particularly to make comparisons of net operating income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or held for development or redevelopment after the beginning of the earliest period presented or disposed of prior to the end of the latest period presented.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NOI is a non-GAAP financial measure equal to net income (loss) attributable to BXP, Inc. and net income (loss) attributable to Boston Properties Limited Partnership, as applicable, the most directly comparable GAAP financial measures, plus (1) net income (loss) attributable to noncontrolling interests, interest expense, loss from unconsolidated joint ventures, depreciation and amortization expense, transaction costs, payroll and related costs from management services contracts and corporate general and administrative expense less (2) unrealized gain (loss) on non-real estate investment, gains (losses) from investments in securities, interest and other income (loss), gains on sales of real estate,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(loss) attributable to BXP, Inc. and net income (loss)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29"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We believe that in order to understand our operating results, NOI should be examined in conjunction with net income (loss) attributable to BXP, Inc. and net income (loss) attributable to Boston Properties Limited Partnership as presented in our Consolidated Financial Statements. NOI should not be considered as a substitute for net income (loss) attributable to BXP, Inc. or net income (loss)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1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redemptions of common units of limited partnership interest of BPLP (“OP Units”).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when those properties are sold. For additional information see the Explanatory Note that follows the cover page of this Quarterly Report on Form 10-Q.</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the three months ended September 30, 2024 to the three months ended September 30, 2023</w:t>
      </w:r>
    </w:p>
    <w:p>
      <w:pPr>
        <w:spacing w:after="0" w:line="88"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The table below shows selected operating information for the Same Property Portfolio and the Total Property Portfolio. The Same Property Portfolio consists of 128 properties totaling approximately 40.8 million net rentable square feet, excluding unconsolidated joint ventures. The Same Property Portfolio includes properties acquired or placed in-service on or prior to July 1, 2023 and owned and in-service through September 30, 2024. The Total Property Portfolio includes the effects of the other properties either acquired, placed in-service, in or held for development or redevelopment after July 1, 2023 or disposed of on or prior to September 30, 2024. This table includes a reconciliation from the Same Property Portfolio to the Total Property Portfolio by also providing information for the three months ended September 30, 2024 and 2023 with respect to the properties that were acquired, placed in-service, in or held for development or redevelopment or sold. We did not sell any properties during the three months ended September 30, 2024 and 2023.</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7"/>
              </w:rPr>
              <w:t>Properties in or</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5"/>
            <w:vMerge w:val="restart"/>
          </w:tcPr>
          <w:p>
            <w:pPr>
              <w:jc w:val="center"/>
              <w:ind w:right="180"/>
              <w:spacing w:after="0"/>
              <w:rPr>
                <w:sz w:val="20"/>
                <w:szCs w:val="20"/>
                <w:color w:val="auto"/>
              </w:rPr>
            </w:pPr>
            <w:r>
              <w:rPr>
                <w:rFonts w:ascii="Arial" w:cs="Arial" w:eastAsia="Arial" w:hAnsi="Arial"/>
                <w:sz w:val="13"/>
                <w:szCs w:val="13"/>
                <w:b w:val="1"/>
                <w:bCs w:val="1"/>
                <w:color w:val="auto"/>
                <w:w w:val="96"/>
              </w:rPr>
              <w:t>Properties</w:t>
            </w:r>
          </w:p>
        </w:tc>
        <w:tc>
          <w:tcPr>
            <w:tcW w:w="120" w:type="dxa"/>
            <w:vAlign w:val="bottom"/>
          </w:tcPr>
          <w:p>
            <w:pPr>
              <w:spacing w:after="0"/>
              <w:rPr>
                <w:sz w:val="10"/>
                <w:szCs w:val="10"/>
                <w:color w:val="auto"/>
              </w:rPr>
            </w:pPr>
          </w:p>
        </w:tc>
        <w:tc>
          <w:tcPr>
            <w:tcW w:w="1180" w:type="dxa"/>
            <w:vAlign w:val="bottom"/>
            <w:gridSpan w:val="5"/>
          </w:tcPr>
          <w:p>
            <w:pPr>
              <w:jc w:val="center"/>
              <w:ind w:right="200"/>
              <w:spacing w:after="0" w:line="122" w:lineRule="exact"/>
              <w:rPr>
                <w:sz w:val="20"/>
                <w:szCs w:val="20"/>
                <w:color w:val="auto"/>
              </w:rPr>
            </w:pPr>
            <w:r>
              <w:rPr>
                <w:rFonts w:ascii="Arial" w:cs="Arial" w:eastAsia="Arial" w:hAnsi="Arial"/>
                <w:sz w:val="13"/>
                <w:szCs w:val="13"/>
                <w:b w:val="1"/>
                <w:bCs w:val="1"/>
                <w:color w:val="auto"/>
                <w:w w:val="93"/>
              </w:rPr>
              <w:t>Held for</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vMerge w:val="restart"/>
          </w:tcPr>
          <w:p>
            <w:pPr>
              <w:jc w:val="right"/>
              <w:ind w:right="237"/>
              <w:spacing w:after="0"/>
              <w:rPr>
                <w:sz w:val="20"/>
                <w:szCs w:val="20"/>
                <w:color w:val="auto"/>
              </w:rPr>
            </w:pPr>
            <w:r>
              <w:rPr>
                <w:rFonts w:ascii="Arial" w:cs="Arial" w:eastAsia="Arial" w:hAnsi="Arial"/>
                <w:sz w:val="13"/>
                <w:szCs w:val="13"/>
                <w:b w:val="1"/>
                <w:bCs w:val="1"/>
                <w:color w:val="auto"/>
              </w:rPr>
              <w:t>Properties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Development or</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b w:val="1"/>
                <w:bCs w:val="1"/>
                <w:color w:val="auto"/>
                <w:w w:val="99"/>
              </w:rPr>
              <w:t>Same Property Portfolio</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5"/>
          </w:tcPr>
          <w:p>
            <w:pPr>
              <w:jc w:val="center"/>
              <w:ind w:right="160"/>
              <w:spacing w:after="0" w:line="122" w:lineRule="exact"/>
              <w:rPr>
                <w:sz w:val="20"/>
                <w:szCs w:val="20"/>
                <w:color w:val="auto"/>
              </w:rPr>
            </w:pPr>
            <w:r>
              <w:rPr>
                <w:rFonts w:ascii="Arial" w:cs="Arial" w:eastAsia="Arial" w:hAnsi="Arial"/>
                <w:sz w:val="13"/>
                <w:szCs w:val="13"/>
                <w:b w:val="1"/>
                <w:bCs w:val="1"/>
                <w:color w:val="auto"/>
                <w:w w:val="96"/>
              </w:rPr>
              <w:t>Placed In-Service</w:t>
            </w:r>
          </w:p>
        </w:tc>
        <w:tc>
          <w:tcPr>
            <w:tcW w:w="120" w:type="dxa"/>
            <w:vAlign w:val="bottom"/>
          </w:tcPr>
          <w:p>
            <w:pPr>
              <w:spacing w:after="0"/>
              <w:rPr>
                <w:sz w:val="10"/>
                <w:szCs w:val="10"/>
                <w:color w:val="auto"/>
              </w:rPr>
            </w:pPr>
          </w:p>
        </w:tc>
        <w:tc>
          <w:tcPr>
            <w:tcW w:w="1180" w:type="dxa"/>
            <w:vAlign w:val="bottom"/>
            <w:gridSpan w:val="5"/>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Redevelopment</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9"/>
              </w:rPr>
              <w:t>Total Property Portfolio</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80" w:type="dxa"/>
            <w:vAlign w:val="bottom"/>
            <w:gridSpan w:val="6"/>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spacing w:after="0"/>
              <w:rPr>
                <w:sz w:val="20"/>
                <w:szCs w:val="20"/>
                <w:color w:val="auto"/>
              </w:rPr>
            </w:pPr>
            <w:r>
              <w:rPr>
                <w:rFonts w:ascii="Arial" w:cs="Arial" w:eastAsia="Arial" w:hAnsi="Arial"/>
                <w:sz w:val="13"/>
                <w:szCs w:val="13"/>
                <w:b w:val="1"/>
                <w:bCs w:val="1"/>
                <w:color w:val="auto"/>
              </w:rPr>
              <w:t>Acquired Portfolio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7"/>
              </w:rPr>
              <w:t>Portfolio</w:t>
            </w:r>
          </w:p>
        </w:tc>
        <w:tc>
          <w:tcPr>
            <w:tcW w:w="120" w:type="dxa"/>
            <w:vAlign w:val="bottom"/>
          </w:tcPr>
          <w:p>
            <w:pPr>
              <w:spacing w:after="0"/>
              <w:rPr>
                <w:sz w:val="16"/>
                <w:szCs w:val="16"/>
                <w:color w:val="auto"/>
              </w:rPr>
            </w:pPr>
          </w:p>
        </w:tc>
        <w:tc>
          <w:tcPr>
            <w:tcW w:w="118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3"/>
              </w:rPr>
              <w:t>Portfolio</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5"/>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54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3"/>
                <w:szCs w:val="13"/>
                <w:b w:val="1"/>
                <w:bCs w:val="1"/>
                <w:color w:val="auto"/>
              </w:rPr>
              <w:t>2024</w:t>
            </w:r>
          </w:p>
        </w:tc>
        <w:tc>
          <w:tcPr>
            <w:tcW w:w="720" w:type="dxa"/>
            <w:vAlign w:val="bottom"/>
            <w:tcBorders>
              <w:top w:val="single" w:sz="8" w:color="auto"/>
            </w:tcBorders>
            <w:gridSpan w:val="2"/>
            <w:vMerge w:val="restart"/>
          </w:tcPr>
          <w:p>
            <w:pPr>
              <w:jc w:val="right"/>
              <w:ind w:right="117"/>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40" w:type="dxa"/>
            <w:vAlign w:val="bottom"/>
            <w:tcBorders>
              <w:top w:val="single" w:sz="8" w:color="auto"/>
            </w:tcBorders>
          </w:tcPr>
          <w:p>
            <w:pPr>
              <w:jc w:val="right"/>
              <w:ind w:right="197"/>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b w:val="1"/>
                <w:bCs w:val="1"/>
                <w:color w:val="auto"/>
                <w:w w:val="96"/>
              </w:rPr>
              <w:t>2023</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3"/>
                <w:szCs w:val="13"/>
                <w:b w:val="1"/>
                <w:bCs w:val="1"/>
                <w:color w:val="auto"/>
                <w:w w:val="96"/>
              </w:rPr>
              <w:t>2024</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60" w:type="dxa"/>
            <w:vAlign w:val="bottom"/>
            <w:tcBorders>
              <w:top w:val="single" w:sz="8" w:color="auto"/>
            </w:tcBorders>
          </w:tcPr>
          <w:p>
            <w:pPr>
              <w:jc w:val="right"/>
              <w:ind w:right="217"/>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5"/>
        </w:trPr>
        <w:tc>
          <w:tcPr>
            <w:tcW w:w="154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(Decrease)</w:t>
            </w: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Change</w:t>
            </w: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(Decrease)</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7"/>
          </w:tcPr>
          <w:p>
            <w:pPr>
              <w:jc w:val="center"/>
              <w:spacing w:after="0"/>
              <w:rPr>
                <w:sz w:val="20"/>
                <w:szCs w:val="20"/>
                <w:color w:val="auto"/>
              </w:rPr>
            </w:pPr>
            <w:r>
              <w:rPr>
                <w:rFonts w:ascii="Arial" w:cs="Arial" w:eastAsia="Arial" w:hAnsi="Arial"/>
                <w:sz w:val="13"/>
                <w:szCs w:val="13"/>
                <w:b w:val="1"/>
                <w:bCs w:val="1"/>
                <w:color w:val="auto"/>
                <w:w w:val="97"/>
              </w:rPr>
              <w:t>(dollars in thousands)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Rental Revenue: (1)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40" w:type="dxa"/>
            <w:vAlign w:val="bottom"/>
          </w:tcPr>
          <w:p>
            <w:pPr>
              <w:ind w:left="180"/>
              <w:spacing w:after="0" w:line="122" w:lineRule="exact"/>
              <w:rPr>
                <w:sz w:val="20"/>
                <w:szCs w:val="20"/>
                <w:color w:val="auto"/>
              </w:rPr>
            </w:pPr>
            <w:r>
              <w:rPr>
                <w:rFonts w:ascii="Arial" w:cs="Arial" w:eastAsia="Arial" w:hAnsi="Arial"/>
                <w:sz w:val="13"/>
                <w:szCs w:val="13"/>
                <w:color w:val="auto"/>
              </w:rPr>
              <w:t>Lease Revenue</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tcPr>
          <w:p>
            <w:pPr>
              <w:ind w:left="360"/>
              <w:spacing w:after="0" w:line="122" w:lineRule="exact"/>
              <w:rPr>
                <w:sz w:val="20"/>
                <w:szCs w:val="20"/>
                <w:color w:val="auto"/>
              </w:rPr>
            </w:pPr>
            <w:r>
              <w:rPr>
                <w:rFonts w:ascii="Arial" w:cs="Arial" w:eastAsia="Arial" w:hAnsi="Arial"/>
                <w:sz w:val="13"/>
                <w:szCs w:val="13"/>
                <w:color w:val="auto"/>
              </w:rPr>
              <w:t>(Excluding</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540" w:type="dxa"/>
            <w:vAlign w:val="bottom"/>
          </w:tcPr>
          <w:p>
            <w:pPr>
              <w:ind w:left="360"/>
              <w:spacing w:after="0"/>
              <w:rPr>
                <w:sz w:val="20"/>
                <w:szCs w:val="20"/>
                <w:color w:val="auto"/>
              </w:rPr>
            </w:pPr>
            <w:r>
              <w:rPr>
                <w:rFonts w:ascii="Arial" w:cs="Arial" w:eastAsia="Arial" w:hAnsi="Arial"/>
                <w:sz w:val="13"/>
                <w:szCs w:val="13"/>
                <w:color w:val="auto"/>
                <w:w w:val="97"/>
              </w:rPr>
              <w:t>Termination Income)</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$ 740,975</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$ 748,611</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(7,636)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25,196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7,893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1,505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1,485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2,856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$ 775,549</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$ 752,972</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22,577</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3.00 %</w:t>
            </w: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Termination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2,564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122.74 %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372.70 %</w:t>
            </w:r>
          </w:p>
        </w:tc>
        <w:tc>
          <w:tcPr>
            <w:tcW w:w="0" w:type="dxa"/>
            <w:vAlign w:val="bottom"/>
          </w:tcPr>
          <w:p>
            <w:pPr>
              <w:spacing w:after="0"/>
              <w:rPr>
                <w:sz w:val="1"/>
                <w:szCs w:val="1"/>
                <w:color w:val="auto"/>
              </w:rPr>
            </w:pPr>
          </w:p>
        </w:tc>
      </w:tr>
      <w:tr>
        <w:trPr>
          <w:trHeight w:val="164"/>
        </w:trPr>
        <w:tc>
          <w:tcPr>
            <w:tcW w:w="1540" w:type="dxa"/>
            <w:vAlign w:val="bottom"/>
          </w:tcPr>
          <w:p>
            <w:pPr>
              <w:ind w:left="180"/>
              <w:spacing w:after="0"/>
              <w:rPr>
                <w:sz w:val="20"/>
                <w:szCs w:val="20"/>
                <w:color w:val="auto"/>
              </w:rPr>
            </w:pPr>
            <w:r>
              <w:rPr>
                <w:rFonts w:ascii="Arial" w:cs="Arial" w:eastAsia="Arial" w:hAnsi="Arial"/>
                <w:sz w:val="13"/>
                <w:szCs w:val="13"/>
                <w:color w:val="auto"/>
              </w:rPr>
              <w:t>Lease Revenue</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746,686</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751,175</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(4,489)</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(0.60)%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25,196</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7,893</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1,505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7,894</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2,856</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787,669</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755,536</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32,133</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4.25 %</w:t>
            </w:r>
          </w:p>
        </w:tc>
        <w:tc>
          <w:tcPr>
            <w:tcW w:w="0" w:type="dxa"/>
            <w:vAlign w:val="bottom"/>
          </w:tcPr>
          <w:p>
            <w:pPr>
              <w:spacing w:after="0"/>
              <w:rPr>
                <w:sz w:val="1"/>
                <w:szCs w:val="1"/>
                <w:color w:val="auto"/>
              </w:rPr>
            </w:pPr>
          </w:p>
        </w:tc>
      </w:tr>
      <w:tr>
        <w:trPr>
          <w:trHeight w:val="126"/>
        </w:trPr>
        <w:tc>
          <w:tcPr>
            <w:tcW w:w="154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color w:val="auto"/>
              </w:rPr>
              <w:t>Parking and Other</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32,038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30,284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33,940</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3,656</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12.07 %</w:t>
            </w:r>
          </w:p>
        </w:tc>
        <w:tc>
          <w:tcPr>
            <w:tcW w:w="0" w:type="dxa"/>
            <w:vAlign w:val="bottom"/>
          </w:tcPr>
          <w:p>
            <w:pPr>
              <w:spacing w:after="0"/>
              <w:rPr>
                <w:sz w:val="1"/>
                <w:szCs w:val="1"/>
                <w:color w:val="auto"/>
              </w:rPr>
            </w:pPr>
          </w:p>
        </w:tc>
      </w:tr>
      <w:tr>
        <w:trPr>
          <w:trHeight w:val="164"/>
        </w:trPr>
        <w:tc>
          <w:tcPr>
            <w:tcW w:w="1540" w:type="dxa"/>
            <w:vAlign w:val="bottom"/>
          </w:tcPr>
          <w:p>
            <w:pPr>
              <w:ind w:left="20"/>
              <w:spacing w:after="0" w:line="146" w:lineRule="exact"/>
              <w:rPr>
                <w:sz w:val="20"/>
                <w:szCs w:val="20"/>
                <w:color w:val="auto"/>
              </w:rPr>
            </w:pPr>
            <w:r>
              <w:rPr>
                <w:rFonts w:ascii="Arial" w:cs="Arial" w:eastAsia="Arial" w:hAnsi="Arial"/>
                <w:sz w:val="13"/>
                <w:szCs w:val="13"/>
                <w:color w:val="auto"/>
              </w:rPr>
              <w:t>Total Rental Revenue (1)</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778,724</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781,459</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(2,735)</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(0.35)%</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27,017</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7,894</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1,505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7,974</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2,856</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821,609</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785,820</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35,789</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4.55 %</w:t>
            </w:r>
          </w:p>
        </w:tc>
        <w:tc>
          <w:tcPr>
            <w:tcW w:w="0" w:type="dxa"/>
            <w:vAlign w:val="bottom"/>
          </w:tcPr>
          <w:p>
            <w:pPr>
              <w:spacing w:after="0"/>
              <w:rPr>
                <w:sz w:val="1"/>
                <w:szCs w:val="1"/>
                <w:color w:val="auto"/>
              </w:rPr>
            </w:pPr>
          </w:p>
        </w:tc>
      </w:tr>
      <w:tr>
        <w:trPr>
          <w:trHeight w:val="126"/>
        </w:trPr>
        <w:tc>
          <w:tcPr>
            <w:tcW w:w="154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Real Estate Operating</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306,316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291,003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2,906</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321,909</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294,454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27,455</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9.32 %</w:t>
            </w:r>
          </w:p>
        </w:tc>
        <w:tc>
          <w:tcPr>
            <w:tcW w:w="0" w:type="dxa"/>
            <w:vAlign w:val="bottom"/>
          </w:tcPr>
          <w:p>
            <w:pPr>
              <w:spacing w:after="0"/>
              <w:rPr>
                <w:sz w:val="1"/>
                <w:szCs w:val="1"/>
                <w:color w:val="auto"/>
              </w:rPr>
            </w:pPr>
          </w:p>
        </w:tc>
      </w:tr>
      <w:tr>
        <w:trPr>
          <w:trHeight w:val="102"/>
        </w:trPr>
        <w:tc>
          <w:tcPr>
            <w:tcW w:w="1540" w:type="dxa"/>
            <w:vAlign w:val="bottom"/>
          </w:tcPr>
          <w:p>
            <w:pPr>
              <w:ind w:left="20"/>
              <w:spacing w:after="0" w:line="102" w:lineRule="exact"/>
              <w:rPr>
                <w:sz w:val="20"/>
                <w:szCs w:val="20"/>
                <w:color w:val="auto"/>
              </w:rPr>
            </w:pPr>
            <w:r>
              <w:rPr>
                <w:rFonts w:ascii="Arial" w:cs="Arial" w:eastAsia="Arial" w:hAnsi="Arial"/>
                <w:sz w:val="10"/>
                <w:szCs w:val="10"/>
                <w:color w:val="auto"/>
              </w:rPr>
              <w:t>Net Operating Income</w:t>
            </w: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40" w:type="dxa"/>
            <w:vAlign w:val="bottom"/>
          </w:tcPr>
          <w:p>
            <w:pPr>
              <w:ind w:left="180"/>
              <w:spacing w:after="0" w:line="122" w:lineRule="exact"/>
              <w:rPr>
                <w:sz w:val="20"/>
                <w:szCs w:val="20"/>
                <w:color w:val="auto"/>
              </w:rPr>
            </w:pPr>
            <w:r>
              <w:rPr>
                <w:rFonts w:ascii="Arial" w:cs="Arial" w:eastAsia="Arial" w:hAnsi="Arial"/>
                <w:sz w:val="13"/>
                <w:szCs w:val="13"/>
                <w:color w:val="auto"/>
              </w:rPr>
              <w:t>(Loss), Excluding</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540" w:type="dxa"/>
            <w:vAlign w:val="bottom"/>
          </w:tcPr>
          <w:p>
            <w:pPr>
              <w:ind w:left="180"/>
              <w:spacing w:after="0"/>
              <w:rPr>
                <w:sz w:val="20"/>
                <w:szCs w:val="20"/>
                <w:color w:val="auto"/>
              </w:rPr>
            </w:pPr>
            <w:r>
              <w:rPr>
                <w:rFonts w:ascii="Arial" w:cs="Arial" w:eastAsia="Arial" w:hAnsi="Arial"/>
                <w:sz w:val="13"/>
                <w:szCs w:val="13"/>
                <w:color w:val="auto"/>
              </w:rPr>
              <w:t>Residential and Hotel</w:t>
            </w:r>
          </w:p>
        </w:tc>
        <w:tc>
          <w:tcPr>
            <w:tcW w:w="640" w:type="dxa"/>
            <w:vAlign w:val="bottom"/>
          </w:tcPr>
          <w:p>
            <w:pPr>
              <w:jc w:val="right"/>
              <w:spacing w:after="0"/>
              <w:rPr>
                <w:sz w:val="20"/>
                <w:szCs w:val="20"/>
                <w:color w:val="auto"/>
              </w:rPr>
            </w:pPr>
            <w:r>
              <w:rPr>
                <w:rFonts w:ascii="Arial" w:cs="Arial" w:eastAsia="Arial" w:hAnsi="Arial"/>
                <w:sz w:val="13"/>
                <w:szCs w:val="13"/>
                <w:color w:val="auto"/>
              </w:rPr>
              <w:t>472,408</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490,456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(18,048)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16,628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5,290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5,374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499,700</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491,366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8,334</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1.70 %</w:t>
            </w:r>
          </w:p>
        </w:tc>
        <w:tc>
          <w:tcPr>
            <w:tcW w:w="0" w:type="dxa"/>
            <w:vAlign w:val="bottom"/>
          </w:tcPr>
          <w:p>
            <w:pPr>
              <w:spacing w:after="0"/>
              <w:rPr>
                <w:sz w:val="1"/>
                <w:szCs w:val="1"/>
                <w:color w:val="auto"/>
              </w:rPr>
            </w:pPr>
          </w:p>
        </w:tc>
      </w:tr>
      <w:tr>
        <w:trPr>
          <w:trHeight w:val="128"/>
        </w:trPr>
        <w:tc>
          <w:tcPr>
            <w:tcW w:w="15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Residential Net Operating</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6,051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6,129</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1.29 %</w:t>
            </w:r>
          </w:p>
        </w:tc>
        <w:tc>
          <w:tcPr>
            <w:tcW w:w="0" w:type="dxa"/>
            <w:vAlign w:val="bottom"/>
          </w:tcPr>
          <w:p>
            <w:pPr>
              <w:spacing w:after="0"/>
              <w:rPr>
                <w:sz w:val="1"/>
                <w:szCs w:val="1"/>
                <w:color w:val="auto"/>
              </w:rPr>
            </w:pPr>
          </w:p>
        </w:tc>
      </w:tr>
      <w:tr>
        <w:trPr>
          <w:trHeight w:val="122"/>
        </w:trPr>
        <w:tc>
          <w:tcPr>
            <w:tcW w:w="1540" w:type="dxa"/>
            <w:vAlign w:val="bottom"/>
          </w:tcPr>
          <w:p>
            <w:pPr>
              <w:ind w:left="20"/>
              <w:spacing w:after="0" w:line="122" w:lineRule="exact"/>
              <w:rPr>
                <w:sz w:val="20"/>
                <w:szCs w:val="20"/>
                <w:color w:val="auto"/>
              </w:rPr>
            </w:pPr>
            <w:r>
              <w:rPr>
                <w:rFonts w:ascii="Arial" w:cs="Arial" w:eastAsia="Arial" w:hAnsi="Arial"/>
                <w:sz w:val="13"/>
                <w:szCs w:val="13"/>
                <w:color w:val="auto"/>
              </w:rPr>
              <w:t>Hotel Net Operating</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540" w:type="dxa"/>
            <w:vAlign w:val="bottom"/>
          </w:tcPr>
          <w:p>
            <w:pPr>
              <w:ind w:left="180"/>
              <w:spacing w:after="0"/>
              <w:rPr>
                <w:sz w:val="20"/>
                <w:szCs w:val="20"/>
                <w:color w:val="auto"/>
              </w:rPr>
            </w:pPr>
            <w:r>
              <w:rPr>
                <w:rFonts w:ascii="Arial" w:cs="Arial" w:eastAsia="Arial" w:hAnsi="Arial"/>
                <w:sz w:val="13"/>
                <w:szCs w:val="13"/>
                <w:color w:val="auto"/>
              </w:rPr>
              <w:t>Income (2)</w:t>
            </w:r>
          </w:p>
        </w:tc>
        <w:tc>
          <w:tcPr>
            <w:tcW w:w="640" w:type="dxa"/>
            <w:vAlign w:val="bottom"/>
          </w:tcPr>
          <w:p>
            <w:pPr>
              <w:jc w:val="right"/>
              <w:spacing w:after="0"/>
              <w:rPr>
                <w:sz w:val="20"/>
                <w:szCs w:val="20"/>
                <w:color w:val="auto"/>
              </w:rPr>
            </w:pPr>
            <w:r>
              <w:rPr>
                <w:rFonts w:ascii="Arial" w:cs="Arial" w:eastAsia="Arial" w:hAnsi="Arial"/>
                <w:sz w:val="13"/>
                <w:szCs w:val="13"/>
                <w:color w:val="auto"/>
              </w:rPr>
              <w:t>5,249</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4,464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785</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17.59 %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5,249</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785</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17.59 %</w:t>
            </w:r>
          </w:p>
        </w:tc>
        <w:tc>
          <w:tcPr>
            <w:tcW w:w="0" w:type="dxa"/>
            <w:vAlign w:val="bottom"/>
          </w:tcPr>
          <w:p>
            <w:pPr>
              <w:spacing w:after="0"/>
              <w:rPr>
                <w:sz w:val="1"/>
                <w:szCs w:val="1"/>
                <w:color w:val="auto"/>
              </w:rPr>
            </w:pPr>
          </w:p>
        </w:tc>
      </w:tr>
      <w:tr>
        <w:trPr>
          <w:trHeight w:val="108"/>
        </w:trPr>
        <w:tc>
          <w:tcPr>
            <w:tcW w:w="154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color w:val="auto"/>
              </w:rPr>
              <w:t>Net Operating Income</w:t>
            </w: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$ 483,786</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$ 500,971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(17,185)</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16,628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5,374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$ 511,078</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$ 501,881</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9,197</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1.83 %</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2" w:lineRule="exact"/>
        <w:rPr>
          <w:sz w:val="20"/>
          <w:szCs w:val="20"/>
          <w:color w:val="auto"/>
        </w:rPr>
      </w:pPr>
    </w:p>
    <w:p>
      <w:pPr>
        <w:ind w:left="660" w:right="100" w:hanging="328"/>
        <w:spacing w:after="0" w:line="263" w:lineRule="auto"/>
        <w:tabs>
          <w:tab w:leader="none" w:pos="647"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159" w:lineRule="exact"/>
        <w:rPr>
          <w:rFonts w:ascii="Arial" w:cs="Arial" w:eastAsia="Arial" w:hAnsi="Arial"/>
          <w:sz w:val="14"/>
          <w:szCs w:val="14"/>
          <w:color w:val="auto"/>
        </w:rPr>
      </w:pPr>
    </w:p>
    <w:p>
      <w:pPr>
        <w:ind w:left="660" w:right="100" w:hanging="328"/>
        <w:spacing w:after="0" w:line="269" w:lineRule="auto"/>
        <w:tabs>
          <w:tab w:leader="none" w:pos="647"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73. Residential Net Operating Income for the three months ended September 30, 2024 and 2023 is comprised of Residential Revenue of $12,117 and $11,789 less Residential Expenses of $5,988 and $5,738, respectively. Hotel Net Operating Income for the three months ended September 30, 2024 and 2023 is comprised of Hotel Revenue of $15,082 and $13,484 less Hotel Expenses of $9,833 and $9,020, respectively, per the Consolidated Statements of Operations.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Same Property Portfolio</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Revenue (Excluding Termination Income)</w:t>
      </w:r>
    </w:p>
    <w:p>
      <w:pPr>
        <w:spacing w:after="0" w:line="102"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Lease revenue (excluding termination income) from the Same Property Portfolio decreased by approximately $7.6 million for the three months ended September 30, 2024 compared to 2023. The decrease was a result of our average occupancy decreasing from 90.6% to 88.2%, resulting in a decrease of approximately $20.0 million, partially offset by our average revenue per square foot increasing by approximately $1.54, contributing approximately $12.4 million.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Termination Income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Termination income increased by approximately $3.1 million for the three months ended September 30, 2024 compared to 2023.</w:t>
      </w:r>
    </w:p>
    <w:p>
      <w:pPr>
        <w:spacing w:after="0" w:line="171" w:lineRule="exact"/>
        <w:rPr>
          <w:sz w:val="20"/>
          <w:szCs w:val="20"/>
          <w:color w:val="auto"/>
        </w:rPr>
      </w:pPr>
    </w:p>
    <w:p>
      <w:pPr>
        <w:ind w:right="340" w:firstLine="445"/>
        <w:spacing w:after="0" w:line="287" w:lineRule="auto"/>
        <w:rPr>
          <w:sz w:val="20"/>
          <w:szCs w:val="20"/>
          <w:color w:val="auto"/>
        </w:rPr>
      </w:pPr>
      <w:r>
        <w:rPr>
          <w:rFonts w:ascii="Arial" w:cs="Arial" w:eastAsia="Arial" w:hAnsi="Arial"/>
          <w:sz w:val="18"/>
          <w:szCs w:val="18"/>
          <w:color w:val="auto"/>
        </w:rPr>
        <w:t>Termination income for the three months ended September 30, 2024 related to eight clients across the Same Property Portfolio and totaled approximately $5.7 million, which was primarily related to a retail client that terminated its lease early in Boston.</w:t>
      </w:r>
    </w:p>
    <w:p>
      <w:pPr>
        <w:spacing w:after="0" w:line="99" w:lineRule="exact"/>
        <w:rPr>
          <w:sz w:val="20"/>
          <w:szCs w:val="20"/>
          <w:color w:val="auto"/>
        </w:rPr>
      </w:pPr>
    </w:p>
    <w:p>
      <w:pPr>
        <w:ind w:right="540" w:firstLine="445"/>
        <w:spacing w:after="0" w:line="318" w:lineRule="auto"/>
        <w:rPr>
          <w:sz w:val="20"/>
          <w:szCs w:val="20"/>
          <w:color w:val="auto"/>
        </w:rPr>
      </w:pPr>
      <w:r>
        <w:rPr>
          <w:rFonts w:ascii="Arial" w:cs="Arial" w:eastAsia="Arial" w:hAnsi="Arial"/>
          <w:sz w:val="17"/>
          <w:szCs w:val="17"/>
          <w:color w:val="auto"/>
        </w:rPr>
        <w:t>Termination income for the three months ended September 30, 2023 related to 10 clients across the Same Property Portfolio and totaled approximately $2.6 million, which was primarily related to clients that terminated leases early in Seattle and Washington, DC.</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Parking and Other Revenue</w:t>
      </w:r>
    </w:p>
    <w:p>
      <w:pPr>
        <w:spacing w:after="0" w:line="88" w:lineRule="exact"/>
        <w:rPr>
          <w:sz w:val="20"/>
          <w:szCs w:val="20"/>
          <w:color w:val="auto"/>
        </w:rPr>
      </w:pPr>
    </w:p>
    <w:p>
      <w:pPr>
        <w:ind w:right="60" w:firstLine="405"/>
        <w:spacing w:after="0" w:line="268" w:lineRule="auto"/>
        <w:rPr>
          <w:sz w:val="20"/>
          <w:szCs w:val="20"/>
          <w:color w:val="auto"/>
        </w:rPr>
      </w:pPr>
      <w:r>
        <w:rPr>
          <w:rFonts w:ascii="Arial" w:cs="Arial" w:eastAsia="Arial" w:hAnsi="Arial"/>
          <w:sz w:val="18"/>
          <w:szCs w:val="18"/>
          <w:color w:val="auto"/>
        </w:rPr>
        <w:t>Parking and other revenue increased by approximately $1.8 million for the three months ended September 30, 2024 compared to 2023. Parking and other revenue increased by approximately $0.1 million and $1.7 million, respectively. The increase in other revenue was primarily associated with the View Boston observatory.</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Real Estate Operating Expenses</w:t>
      </w:r>
    </w:p>
    <w:p>
      <w:pPr>
        <w:spacing w:after="0" w:line="102"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Real estate operating expenses from the Same Property Portfolio increased by approximately $15.3 million, or 5.3%, for the three months ended September 30, 2024 compared to 2023, due primarily to increases in (1)utilities of approximately $4.3 million, or 13.9%, (2) repairs and maintenance of approximately $4.3 million, or 9.2%, and (3) other real estate operating expenses of approximately $4.1 million, or 1.9%. The increase in utilities related primarily to properties in our New York City region. The increase in repairs and maintenance related primarily to properties in our Boston region. In addition, there was an approximately $2.6 million increase related to the marketing and operating expenses associated with the View Boston observatory.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Properties Acquired Portfolio</w:t>
      </w:r>
    </w:p>
    <w:p>
      <w:pPr>
        <w:spacing w:after="0" w:line="102"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The table below lists the properties acquired between July 1, 2023 and September 30, 2024. Rental revenue and real estate operating expenses increased by approximately $27.0 million and $10.4 million, respectively, for the three months ended September 30, 2024 compared to 2023, as detailed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right"/>
              <w:ind w:right="309"/>
              <w:spacing w:after="0"/>
              <w:rPr>
                <w:sz w:val="20"/>
                <w:szCs w:val="20"/>
                <w:color w:val="auto"/>
              </w:rPr>
            </w:pPr>
            <w:r>
              <w:rPr>
                <w:rFonts w:ascii="Arial" w:cs="Arial" w:eastAsia="Arial" w:hAnsi="Arial"/>
                <w:sz w:val="13"/>
                <w:szCs w:val="13"/>
                <w:b w:val="1"/>
                <w:bCs w:val="1"/>
                <w:color w:val="auto"/>
              </w:rPr>
              <w:t>Real Estate Operating Expenses</w:t>
            </w:r>
          </w:p>
        </w:tc>
      </w:tr>
      <w:tr>
        <w:trPr>
          <w:trHeight w:val="250"/>
        </w:trPr>
        <w:tc>
          <w:tcPr>
            <w:tcW w:w="2620" w:type="dxa"/>
            <w:vAlign w:val="bottom"/>
            <w:gridSpan w:val="2"/>
          </w:tcPr>
          <w:p>
            <w:pPr>
              <w:jc w:val="right"/>
              <w:ind w:right="1180"/>
              <w:spacing w:after="0"/>
              <w:rPr>
                <w:sz w:val="20"/>
                <w:szCs w:val="20"/>
                <w:color w:val="auto"/>
              </w:rPr>
            </w:pPr>
            <w:r>
              <w:rPr>
                <w:rFonts w:ascii="Arial" w:cs="Arial" w:eastAsia="Arial" w:hAnsi="Arial"/>
                <w:sz w:val="13"/>
                <w:szCs w:val="13"/>
                <w:b w:val="1"/>
                <w:bCs w:val="1"/>
                <w:color w:val="auto"/>
              </w:rPr>
              <w:t>Name</w:t>
            </w:r>
          </w:p>
        </w:tc>
        <w:tc>
          <w:tcPr>
            <w:tcW w:w="17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Date acquired</w:t>
            </w: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21"/>
                <w:szCs w:val="21"/>
                <w:color w:val="auto"/>
              </w:rPr>
            </w:pPr>
          </w:p>
        </w:tc>
        <w:tc>
          <w:tcPr>
            <w:tcW w:w="680" w:type="dxa"/>
            <w:vAlign w:val="bottom"/>
          </w:tcPr>
          <w:p>
            <w:pPr>
              <w:jc w:val="right"/>
              <w:ind w:right="209"/>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220" w:type="dxa"/>
            <w:vAlign w:val="bottom"/>
          </w:tcPr>
          <w:p>
            <w:pPr>
              <w:spacing w:after="0"/>
              <w:rPr>
                <w:sz w:val="21"/>
                <w:szCs w:val="21"/>
                <w:color w:val="auto"/>
              </w:rPr>
            </w:pPr>
          </w:p>
        </w:tc>
        <w:tc>
          <w:tcPr>
            <w:tcW w:w="720" w:type="dxa"/>
            <w:vAlign w:val="bottom"/>
          </w:tcPr>
          <w:p>
            <w:pPr>
              <w:jc w:val="right"/>
              <w:ind w:right="25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9"/>
              <w:spacing w:after="0"/>
              <w:rPr>
                <w:sz w:val="20"/>
                <w:szCs w:val="20"/>
                <w:color w:val="auto"/>
              </w:rPr>
            </w:pPr>
            <w:r>
              <w:rPr>
                <w:rFonts w:ascii="Arial" w:cs="Arial" w:eastAsia="Arial" w:hAnsi="Arial"/>
                <w:sz w:val="13"/>
                <w:szCs w:val="13"/>
                <w:b w:val="1"/>
                <w:bCs w:val="1"/>
                <w:color w:val="auto"/>
              </w:rPr>
              <w:t>Change</w:t>
            </w:r>
          </w:p>
        </w:tc>
      </w:tr>
      <w:tr>
        <w:trPr>
          <w:trHeight w:val="183"/>
        </w:trPr>
        <w:tc>
          <w:tcPr>
            <w:tcW w:w="2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4"/>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 Monica Business Park</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December 14, 2023</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1,181,298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18,661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7,346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7,346</w:t>
            </w:r>
          </w:p>
        </w:tc>
      </w:tr>
      <w:tr>
        <w:trPr>
          <w:trHeight w:val="199"/>
        </w:trPr>
        <w:tc>
          <w:tcPr>
            <w:tcW w:w="2620" w:type="dxa"/>
            <w:vAlign w:val="bottom"/>
            <w:tcBorders>
              <w:bottom w:val="single" w:sz="8" w:color="CCEEFF"/>
            </w:tcBorders>
            <w:gridSpan w:val="2"/>
          </w:tcPr>
          <w:p>
            <w:pPr>
              <w:jc w:val="right"/>
              <w:ind w:right="1180"/>
              <w:spacing w:after="0"/>
              <w:rPr>
                <w:sz w:val="20"/>
                <w:szCs w:val="20"/>
                <w:color w:val="auto"/>
              </w:rPr>
            </w:pPr>
            <w:r>
              <w:rPr>
                <w:rFonts w:ascii="Arial" w:cs="Arial" w:eastAsia="Arial" w:hAnsi="Arial"/>
                <w:sz w:val="14"/>
                <w:szCs w:val="14"/>
                <w:color w:val="auto"/>
              </w:rPr>
              <w:t>901 New York Avenue</w:t>
            </w:r>
          </w:p>
        </w:tc>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January 8, 2024</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523,939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8,356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3,043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3,043</w:t>
            </w:r>
          </w:p>
        </w:tc>
      </w:tr>
      <w:tr>
        <w:trPr>
          <w:trHeight w:val="216"/>
        </w:trPr>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1,705,237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27,017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10,389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10,389</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Properties Placed In-Service Portfolio</w:t>
      </w:r>
    </w:p>
    <w:p>
      <w:pPr>
        <w:spacing w:after="0" w:line="102" w:lineRule="exact"/>
        <w:rPr>
          <w:sz w:val="20"/>
          <w:szCs w:val="20"/>
          <w:color w:val="auto"/>
        </w:rPr>
      </w:pPr>
    </w:p>
    <w:p>
      <w:pPr>
        <w:jc w:val="both"/>
        <w:ind w:right="200" w:firstLine="445"/>
        <w:spacing w:after="0" w:line="268" w:lineRule="auto"/>
        <w:rPr>
          <w:sz w:val="20"/>
          <w:szCs w:val="20"/>
          <w:color w:val="auto"/>
        </w:rPr>
      </w:pPr>
      <w:r>
        <w:rPr>
          <w:rFonts w:ascii="Arial" w:cs="Arial" w:eastAsia="Arial" w:hAnsi="Arial"/>
          <w:sz w:val="18"/>
          <w:szCs w:val="18"/>
          <w:color w:val="auto"/>
        </w:rPr>
        <w:t>The table below lists the properties that were placed in-service or partially placed in-service between July 1, 2023 and September 30, 2024. Rental revenue and real estate operating expenses from our Properties Placed In-Service Portfolio increased by approximately $6.4 million and $2.1 million, respectively, for the three months ended September 30, 2024 compared to 2023, as detailed below.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Rental Revenue</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22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34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5"/>
                <w:szCs w:val="15"/>
                <w:color w:val="auto"/>
              </w:rPr>
            </w:pPr>
          </w:p>
        </w:tc>
        <w:tc>
          <w:tcPr>
            <w:tcW w:w="1480" w:type="dxa"/>
            <w:vAlign w:val="bottom"/>
            <w:gridSpan w:val="2"/>
          </w:tcPr>
          <w:p>
            <w:pPr>
              <w:ind w:left="180"/>
              <w:spacing w:after="0"/>
              <w:rPr>
                <w:sz w:val="20"/>
                <w:szCs w:val="20"/>
                <w:color w:val="auto"/>
              </w:rPr>
            </w:pPr>
            <w:r>
              <w:rPr>
                <w:rFonts w:ascii="Arial" w:cs="Arial" w:eastAsia="Arial" w:hAnsi="Arial"/>
                <w:sz w:val="13"/>
                <w:szCs w:val="13"/>
                <w:b w:val="1"/>
                <w:bCs w:val="1"/>
                <w:color w:val="auto"/>
              </w:rPr>
              <w:t>Quarter Initially</w:t>
            </w:r>
          </w:p>
        </w:tc>
        <w:tc>
          <w:tcPr>
            <w:tcW w:w="1440" w:type="dxa"/>
            <w:vAlign w:val="bottom"/>
            <w:gridSpan w:val="2"/>
          </w:tcPr>
          <w:p>
            <w:pPr>
              <w:ind w:left="240"/>
              <w:spacing w:after="0"/>
              <w:rPr>
                <w:sz w:val="20"/>
                <w:szCs w:val="20"/>
                <w:color w:val="auto"/>
              </w:rPr>
            </w:pPr>
            <w:r>
              <w:rPr>
                <w:rFonts w:ascii="Arial" w:cs="Arial" w:eastAsia="Arial" w:hAnsi="Arial"/>
                <w:sz w:val="13"/>
                <w:szCs w:val="13"/>
                <w:b w:val="1"/>
                <w:bCs w:val="1"/>
                <w:color w:val="auto"/>
              </w:rPr>
              <w:t>Quarter Fully</w:t>
            </w: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5"/>
                <w:szCs w:val="15"/>
                <w:color w:val="auto"/>
              </w:rPr>
            </w:pPr>
          </w:p>
        </w:tc>
        <w:tc>
          <w:tcPr>
            <w:tcW w:w="6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5"/>
                <w:szCs w:val="15"/>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rPr>
              <w:t>Placed In-Service</w:t>
            </w:r>
          </w:p>
        </w:tc>
        <w:tc>
          <w:tcPr>
            <w:tcW w:w="1440" w:type="dxa"/>
            <w:vAlign w:val="bottom"/>
            <w:gridSpan w:val="2"/>
          </w:tcPr>
          <w:p>
            <w:pPr>
              <w:ind w:left="100"/>
              <w:spacing w:after="0"/>
              <w:rPr>
                <w:sz w:val="20"/>
                <w:szCs w:val="20"/>
                <w:color w:val="auto"/>
              </w:rPr>
            </w:pPr>
            <w:r>
              <w:rPr>
                <w:rFonts w:ascii="Arial" w:cs="Arial" w:eastAsia="Arial" w:hAnsi="Arial"/>
                <w:sz w:val="13"/>
                <w:szCs w:val="13"/>
                <w:b w:val="1"/>
                <w:bCs w:val="1"/>
                <w:color w:val="auto"/>
              </w:rPr>
              <w:t>Placed In-Service</w:t>
            </w: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8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140</w:t>
            </w:r>
          </w:p>
        </w:tc>
        <w:tc>
          <w:tcPr>
            <w:tcW w:w="134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Kendrick Street -</w:t>
            </w:r>
          </w:p>
        </w:tc>
        <w:tc>
          <w:tcPr>
            <w:tcW w:w="12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Third Quarter, 2023</w:t>
            </w:r>
          </w:p>
        </w:tc>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Third Quarter, 2023</w:t>
            </w: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104,166</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3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1,505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5"/>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Building A</w:t>
            </w: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0" w:type="dxa"/>
            <w:vAlign w:val="bottom"/>
          </w:tcPr>
          <w:p>
            <w:pPr>
              <w:ind w:left="20"/>
              <w:spacing w:after="0"/>
              <w:rPr>
                <w:sz w:val="20"/>
                <w:szCs w:val="20"/>
                <w:color w:val="auto"/>
              </w:rPr>
            </w:pPr>
            <w:r>
              <w:rPr>
                <w:rFonts w:ascii="Arial" w:cs="Arial" w:eastAsia="Arial" w:hAnsi="Arial"/>
                <w:sz w:val="14"/>
                <w:szCs w:val="14"/>
                <w:color w:val="auto"/>
              </w:rPr>
              <w:t>180</w:t>
            </w:r>
          </w:p>
        </w:tc>
        <w:tc>
          <w:tcPr>
            <w:tcW w:w="1340" w:type="dxa"/>
            <w:vAlign w:val="bottom"/>
          </w:tcPr>
          <w:p>
            <w:pPr>
              <w:ind w:left="20"/>
              <w:spacing w:after="0"/>
              <w:rPr>
                <w:sz w:val="20"/>
                <w:szCs w:val="20"/>
                <w:color w:val="auto"/>
              </w:rPr>
            </w:pPr>
            <w:r>
              <w:rPr>
                <w:rFonts w:ascii="Arial" w:cs="Arial" w:eastAsia="Arial" w:hAnsi="Arial"/>
                <w:sz w:val="14"/>
                <w:szCs w:val="14"/>
                <w:color w:val="auto"/>
              </w:rPr>
              <w:t>CityPoint</w:t>
            </w:r>
          </w:p>
        </w:tc>
        <w:tc>
          <w:tcPr>
            <w:tcW w:w="12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Third Quarter, 2023</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Third Quarter, 2024</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329,195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3,627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206"/>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103</w:t>
            </w:r>
          </w:p>
        </w:tc>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CityPoint (1)</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Fourth Quarter, 2023</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53"/>
        </w:trPr>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760</w:t>
            </w:r>
          </w:p>
        </w:tc>
        <w:tc>
          <w:tcPr>
            <w:tcW w:w="1340" w:type="dxa"/>
            <w:vAlign w:val="bottom"/>
            <w:vMerge w:val="restart"/>
          </w:tcPr>
          <w:p>
            <w:pPr>
              <w:ind w:left="20"/>
              <w:spacing w:after="0"/>
              <w:rPr>
                <w:sz w:val="20"/>
                <w:szCs w:val="20"/>
                <w:color w:val="auto"/>
              </w:rPr>
            </w:pPr>
            <w:r>
              <w:rPr>
                <w:rFonts w:ascii="Arial" w:cs="Arial" w:eastAsia="Arial" w:hAnsi="Arial"/>
                <w:sz w:val="14"/>
                <w:szCs w:val="14"/>
                <w:color w:val="auto"/>
              </w:rPr>
              <w:t>Boylston Street</w:t>
            </w:r>
          </w:p>
        </w:tc>
        <w:tc>
          <w:tcPr>
            <w:tcW w:w="120" w:type="dxa"/>
            <w:vAlign w:val="bottom"/>
          </w:tcPr>
          <w:p>
            <w:pPr>
              <w:spacing w:after="0"/>
              <w:rPr>
                <w:sz w:val="13"/>
                <w:szCs w:val="13"/>
                <w:color w:val="auto"/>
              </w:rPr>
            </w:pPr>
          </w:p>
        </w:tc>
        <w:tc>
          <w:tcPr>
            <w:tcW w:w="14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Second Quarter,</w:t>
            </w:r>
          </w:p>
        </w:tc>
        <w:tc>
          <w:tcPr>
            <w:tcW w:w="14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Second Quarter,</w:t>
            </w: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color w:val="auto"/>
              </w:rPr>
              <w:t>118,000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2,290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2,290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5"/>
        </w:trPr>
        <w:tc>
          <w:tcPr>
            <w:tcW w:w="2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6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Reston Next Office</w:t>
            </w:r>
          </w:p>
        </w:tc>
        <w:tc>
          <w:tcPr>
            <w:tcW w:w="12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Third Quarter, 2024</w:t>
            </w:r>
          </w:p>
        </w:tc>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90,000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5"/>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Phase II</w:t>
            </w: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754,361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7,894</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6,389</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2,604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24"/>
        </w:trPr>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  On October 5, 2024, 103 CityPoint was fully placed in-service.</w:t>
      </w:r>
    </w:p>
    <w:p>
      <w:pPr>
        <w:spacing w:after="0" w:line="3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Properties in or Held for Development or Redevelopment Portfolio</w:t>
      </w:r>
    </w:p>
    <w:p>
      <w:pPr>
        <w:spacing w:after="0" w:line="102" w:lineRule="exact"/>
        <w:rPr>
          <w:sz w:val="20"/>
          <w:szCs w:val="20"/>
          <w:color w:val="auto"/>
        </w:rPr>
      </w:pPr>
    </w:p>
    <w:p>
      <w:pPr>
        <w:jc w:val="both"/>
        <w:ind w:right="220" w:firstLine="445"/>
        <w:spacing w:after="0" w:line="262" w:lineRule="auto"/>
        <w:rPr>
          <w:sz w:val="20"/>
          <w:szCs w:val="20"/>
          <w:color w:val="auto"/>
        </w:rPr>
      </w:pPr>
      <w:r>
        <w:rPr>
          <w:rFonts w:ascii="Arial" w:cs="Arial" w:eastAsia="Arial" w:hAnsi="Arial"/>
          <w:sz w:val="18"/>
          <w:szCs w:val="18"/>
          <w:color w:val="auto"/>
        </w:rPr>
        <w:t>The table below lists the properties that were in or held for development or redevelopment between July 1, 2023 and September 30, 2024. Rental revenue from our Properties in or Held for Development or Redevelopment Portfolio increased by approximately $5.1 million and real estate operating expenses decreased by approximately $0.3 million for the three months ended September 30, 2024 compared to 2023, as detailed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Date Commenced Held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Rental Revenue</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36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60" w:type="dxa"/>
            <w:vAlign w:val="bottom"/>
            <w:vMerge w:val="restart"/>
          </w:tcPr>
          <w:p>
            <w:pPr>
              <w:ind w:left="96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1"/>
                <w:szCs w:val="11"/>
                <w:color w:val="auto"/>
              </w:rPr>
            </w:pPr>
          </w:p>
        </w:tc>
        <w:tc>
          <w:tcPr>
            <w:tcW w:w="1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for Development /</w:t>
            </w: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11"/>
                <w:szCs w:val="11"/>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1"/>
                <w:szCs w:val="11"/>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2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Redevelopment</w:t>
            </w: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105 Carnegie Center (1)</w:t>
            </w:r>
          </w:p>
        </w:tc>
        <w:tc>
          <w:tcPr>
            <w:tcW w:w="1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November 30, 2022</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53"/>
        </w:trPr>
        <w:tc>
          <w:tcPr>
            <w:tcW w:w="2260" w:type="dxa"/>
            <w:vAlign w:val="bottom"/>
          </w:tcPr>
          <w:p>
            <w:pPr>
              <w:ind w:left="20"/>
              <w:spacing w:after="0" w:line="153" w:lineRule="exact"/>
              <w:rPr>
                <w:sz w:val="20"/>
                <w:szCs w:val="20"/>
                <w:color w:val="auto"/>
              </w:rPr>
            </w:pPr>
            <w:r>
              <w:rPr>
                <w:rFonts w:ascii="Arial" w:cs="Arial" w:eastAsia="Arial" w:hAnsi="Arial"/>
                <w:sz w:val="14"/>
                <w:szCs w:val="14"/>
                <w:color w:val="auto"/>
              </w:rPr>
              <w:t>Shady Grove Innovation District</w:t>
            </w:r>
          </w:p>
        </w:tc>
        <w:tc>
          <w:tcPr>
            <w:tcW w:w="120" w:type="dxa"/>
            <w:vAlign w:val="bottom"/>
          </w:tcPr>
          <w:p>
            <w:pPr>
              <w:spacing w:after="0"/>
              <w:rPr>
                <w:sz w:val="13"/>
                <w:szCs w:val="13"/>
                <w:color w:val="auto"/>
              </w:rPr>
            </w:pPr>
          </w:p>
        </w:tc>
        <w:tc>
          <w:tcPr>
            <w:tcW w:w="1780" w:type="dxa"/>
            <w:vAlign w:val="bottom"/>
            <w:gridSpan w:val="2"/>
            <w:vMerge w:val="restart"/>
          </w:tcPr>
          <w:p>
            <w:pPr>
              <w:spacing w:after="0"/>
              <w:rPr>
                <w:sz w:val="20"/>
                <w:szCs w:val="20"/>
                <w:color w:val="auto"/>
              </w:rPr>
            </w:pPr>
            <w:r>
              <w:rPr>
                <w:rFonts w:ascii="Arial" w:cs="Arial" w:eastAsia="Arial" w:hAnsi="Arial"/>
                <w:sz w:val="14"/>
                <w:szCs w:val="14"/>
                <w:color w:val="auto"/>
              </w:rPr>
              <w:t>March 31, 2023</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184,000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85"/>
        </w:trPr>
        <w:tc>
          <w:tcPr>
            <w:tcW w:w="2260" w:type="dxa"/>
            <w:vAlign w:val="bottom"/>
          </w:tcPr>
          <w:p>
            <w:pPr>
              <w:ind w:left="18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Lexington Office Park (2)</w:t>
            </w:r>
          </w:p>
        </w:tc>
        <w:tc>
          <w:tcPr>
            <w:tcW w:w="1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2023</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8"/>
        </w:trPr>
        <w:tc>
          <w:tcPr>
            <w:tcW w:w="2260" w:type="dxa"/>
            <w:vAlign w:val="bottom"/>
          </w:tcPr>
          <w:p>
            <w:pPr>
              <w:ind w:left="20"/>
              <w:spacing w:after="0"/>
              <w:rPr>
                <w:sz w:val="20"/>
                <w:szCs w:val="20"/>
                <w:color w:val="auto"/>
              </w:rPr>
            </w:pPr>
            <w:r>
              <w:rPr>
                <w:rFonts w:ascii="Arial" w:cs="Arial" w:eastAsia="Arial" w:hAnsi="Arial"/>
                <w:sz w:val="14"/>
                <w:szCs w:val="14"/>
                <w:color w:val="auto"/>
              </w:rPr>
              <w:t>171 Dartmouth Street</w:t>
            </w:r>
          </w:p>
        </w:tc>
        <w:tc>
          <w:tcPr>
            <w:tcW w:w="12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4"/>
                <w:szCs w:val="14"/>
                <w:color w:val="auto"/>
              </w:rPr>
              <w:t>March 28, 2024</w:t>
            </w: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1050 and 1100 Winter Street (2)</w:t>
            </w:r>
          </w:p>
        </w:tc>
        <w:tc>
          <w:tcPr>
            <w:tcW w:w="120" w:type="dxa"/>
            <w:vAlign w:val="bottom"/>
            <w:shd w:val="clear" w:color="auto" w:fill="CCEEFF"/>
          </w:tcPr>
          <w:p>
            <w:pPr>
              <w:spacing w:after="0"/>
              <w:rPr>
                <w:sz w:val="13"/>
                <w:szCs w:val="13"/>
                <w:color w:val="auto"/>
              </w:rPr>
            </w:pPr>
          </w:p>
        </w:tc>
        <w:tc>
          <w:tcPr>
            <w:tcW w:w="17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March 31, 2024</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455,000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7,260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6,210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1,281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1,466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5"/>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7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60" w:type="dxa"/>
            <w:vAlign w:val="bottom"/>
          </w:tcPr>
          <w:p>
            <w:pPr>
              <w:ind w:left="20"/>
              <w:spacing w:after="0"/>
              <w:rPr>
                <w:sz w:val="20"/>
                <w:szCs w:val="20"/>
                <w:color w:val="auto"/>
              </w:rPr>
            </w:pPr>
            <w:r>
              <w:rPr>
                <w:rFonts w:ascii="Arial" w:cs="Arial" w:eastAsia="Arial" w:hAnsi="Arial"/>
                <w:sz w:val="14"/>
                <w:szCs w:val="14"/>
                <w:color w:val="auto"/>
              </w:rPr>
              <w:t>17 Hartwell Avenue (2)</w:t>
            </w:r>
          </w:p>
        </w:tc>
        <w:tc>
          <w:tcPr>
            <w:tcW w:w="12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4"/>
                <w:szCs w:val="14"/>
                <w:color w:val="auto"/>
              </w:rPr>
              <w:t>June 30, 2024</w:t>
            </w:r>
          </w:p>
        </w:tc>
        <w:tc>
          <w:tcPr>
            <w:tcW w:w="98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Kingstowne One (2)</w:t>
            </w:r>
          </w:p>
        </w:tc>
        <w:tc>
          <w:tcPr>
            <w:tcW w:w="1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154,000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1,063,000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7,974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2,856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5,118</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2,600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2,906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5"/>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0" w:lineRule="exact"/>
        <w:rPr>
          <w:sz w:val="20"/>
          <w:szCs w:val="20"/>
          <w:color w:val="auto"/>
        </w:rPr>
      </w:pPr>
    </w:p>
    <w:p>
      <w:pPr>
        <w:ind w:left="580" w:right="120" w:hanging="329"/>
        <w:spacing w:after="0" w:line="246" w:lineRule="auto"/>
        <w:tabs>
          <w:tab w:leader="none" w:pos="5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November 30, 2023, we elected to suspend redevelopment. Although no longer in redevelopment, this property is not considered “in-service” as we are not actively leasing this property in anticipation of restarting redevelopment in the future.</w:t>
      </w:r>
    </w:p>
    <w:p>
      <w:pPr>
        <w:ind w:left="580" w:right="20" w:hanging="329"/>
        <w:spacing w:after="0" w:line="253" w:lineRule="auto"/>
        <w:tabs>
          <w:tab w:leader="none" w:pos="5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Lexington Office Park, 1050 and 1100 Winter Street, 17 Hartwell Avenue, Kingstowne One and a portion of Shady Grove Innovation District are no longer considered “in-service” because each property’s occupied percentage is less than 50% and we are no longer actively leasing the property in anticipation of a future development/redevelopment. The properties will be considered held for development or redevelopment until the last client has vacated the property and the property is no longer revenue producing. This portion of Shady Grove Innovation District is comprised of three buildings, 2092 and 2098 Gaither Road and 15825 Shady Grove Road.</w:t>
      </w:r>
    </w:p>
    <w:p>
      <w:pPr>
        <w:spacing w:after="0" w:line="2" w:lineRule="exact"/>
        <w:rPr>
          <w:rFonts w:ascii="Arial" w:cs="Arial" w:eastAsia="Arial" w:hAnsi="Arial"/>
          <w:sz w:val="16"/>
          <w:szCs w:val="16"/>
          <w:color w:val="auto"/>
        </w:rPr>
      </w:pPr>
    </w:p>
    <w:p>
      <w:pPr>
        <w:ind w:left="580" w:right="60" w:hanging="329"/>
        <w:spacing w:after="0" w:line="283" w:lineRule="auto"/>
        <w:tabs>
          <w:tab w:leader="none" w:pos="5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1100 Winter Street was taken out of service as of September 30, 2024. Rental revenue at 1100 Winter Street for the three months ended September 30, 2024 includes approximately $6.4 million of termination income.</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Residential Net Operating Income</w:t>
      </w:r>
    </w:p>
    <w:p>
      <w:pPr>
        <w:spacing w:after="0" w:line="102" w:lineRule="exact"/>
        <w:rPr>
          <w:sz w:val="20"/>
          <w:szCs w:val="20"/>
          <w:color w:val="auto"/>
        </w:rPr>
      </w:pPr>
    </w:p>
    <w:p>
      <w:pPr>
        <w:ind w:right="220" w:firstLine="445"/>
        <w:spacing w:after="0" w:line="287" w:lineRule="auto"/>
        <w:rPr>
          <w:sz w:val="20"/>
          <w:szCs w:val="20"/>
          <w:color w:val="auto"/>
        </w:rPr>
      </w:pPr>
      <w:r>
        <w:rPr>
          <w:rFonts w:ascii="Arial" w:cs="Arial" w:eastAsia="Arial" w:hAnsi="Arial"/>
          <w:sz w:val="18"/>
          <w:szCs w:val="18"/>
          <w:color w:val="auto"/>
        </w:rPr>
        <w:t>Net operating income for our residential same properties increased by approximately $78,000 for the three months ended September 30, 2024 compared to 2023.</w:t>
      </w:r>
    </w:p>
    <w:p>
      <w:pPr>
        <w:spacing w:after="0" w:line="99"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following reflects our occupancy and rate information for our residential same properties for the three months ended September 30, 2024 and 2023.</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6"/>
            <w:vMerge w:val="restart"/>
          </w:tcPr>
          <w:p>
            <w:pPr>
              <w:jc w:val="right"/>
              <w:ind w:right="200"/>
              <w:spacing w:after="0"/>
              <w:rPr>
                <w:sz w:val="20"/>
                <w:szCs w:val="20"/>
                <w:color w:val="auto"/>
              </w:rPr>
            </w:pPr>
            <w:r>
              <w:rPr>
                <w:rFonts w:ascii="Arial" w:cs="Arial" w:eastAsia="Arial" w:hAnsi="Arial"/>
                <w:sz w:val="13"/>
                <w:szCs w:val="13"/>
                <w:b w:val="1"/>
                <w:bCs w:val="1"/>
                <w:color w:val="auto"/>
              </w:rPr>
              <w:t>Average Monthly Rental Rate (1)</w:t>
            </w:r>
          </w:p>
        </w:tc>
        <w:tc>
          <w:tcPr>
            <w:tcW w:w="140" w:type="dxa"/>
            <w:vAlign w:val="bottom"/>
          </w:tcPr>
          <w:p>
            <w:pPr>
              <w:spacing w:after="0"/>
              <w:rPr>
                <w:sz w:val="13"/>
                <w:szCs w:val="13"/>
                <w:color w:val="auto"/>
              </w:rPr>
            </w:pPr>
          </w:p>
        </w:tc>
        <w:tc>
          <w:tcPr>
            <w:tcW w:w="2160" w:type="dxa"/>
            <w:vAlign w:val="bottom"/>
            <w:gridSpan w:val="5"/>
          </w:tcPr>
          <w:p>
            <w:pPr>
              <w:ind w:left="160"/>
              <w:spacing w:after="0"/>
              <w:rPr>
                <w:sz w:val="20"/>
                <w:szCs w:val="20"/>
                <w:color w:val="auto"/>
              </w:rPr>
            </w:pPr>
            <w:r>
              <w:rPr>
                <w:rFonts w:ascii="Arial" w:cs="Arial" w:eastAsia="Arial" w:hAnsi="Arial"/>
                <w:sz w:val="13"/>
                <w:szCs w:val="13"/>
                <w:b w:val="1"/>
                <w:bCs w:val="1"/>
                <w:color w:val="auto"/>
              </w:rPr>
              <w:t>Average Rental Rate Per</w:t>
            </w:r>
          </w:p>
        </w:tc>
        <w:tc>
          <w:tcPr>
            <w:tcW w:w="248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Average Physical Occupancy (2)</w:t>
            </w:r>
          </w:p>
        </w:tc>
        <w:tc>
          <w:tcPr>
            <w:tcW w:w="2380" w:type="dxa"/>
            <w:vAlign w:val="bottom"/>
            <w:gridSpan w:val="3"/>
            <w:vMerge w:val="restart"/>
          </w:tcPr>
          <w:p>
            <w:pPr>
              <w:jc w:val="right"/>
              <w:ind w:right="29"/>
              <w:spacing w:after="0"/>
              <w:rPr>
                <w:sz w:val="20"/>
                <w:szCs w:val="20"/>
                <w:color w:val="auto"/>
              </w:rPr>
            </w:pPr>
            <w:r>
              <w:rPr>
                <w:rFonts w:ascii="Arial" w:cs="Arial" w:eastAsia="Arial" w:hAnsi="Arial"/>
                <w:sz w:val="13"/>
                <w:szCs w:val="13"/>
                <w:b w:val="1"/>
                <w:bCs w:val="1"/>
                <w:color w:val="auto"/>
              </w:rPr>
              <w:t>Average Economic Occupancy (3)</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rPr>
              <w:t>Occupied Square Foot</w:t>
            </w:r>
          </w:p>
        </w:tc>
        <w:tc>
          <w:tcPr>
            <w:tcW w:w="2480" w:type="dxa"/>
            <w:vAlign w:val="bottom"/>
            <w:gridSpan w:val="4"/>
            <w:vMerge w:val="continue"/>
          </w:tcPr>
          <w:p>
            <w:pPr>
              <w:spacing w:after="0"/>
              <w:rPr>
                <w:sz w:val="16"/>
                <w:szCs w:val="16"/>
                <w:color w:val="auto"/>
              </w:rPr>
            </w:pPr>
          </w:p>
        </w:tc>
        <w:tc>
          <w:tcPr>
            <w:tcW w:w="23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2024</w:t>
            </w:r>
          </w:p>
        </w:tc>
        <w:tc>
          <w:tcPr>
            <w:tcW w:w="68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9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Proto Kendall Square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5.94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5.71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94.5 %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94.7 %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3"/>
        </w:trPr>
        <w:tc>
          <w:tcPr>
            <w:tcW w:w="17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The Lofts at Atlantic</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4,414</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4,462</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ind w:left="160"/>
              <w:spacing w:after="0"/>
              <w:rPr>
                <w:sz w:val="20"/>
                <w:szCs w:val="20"/>
                <w:color w:val="auto"/>
              </w:rPr>
            </w:pPr>
            <w:r>
              <w:rPr>
                <w:rFonts w:ascii="Arial" w:cs="Arial" w:eastAsia="Arial" w:hAnsi="Arial"/>
                <w:sz w:val="14"/>
                <w:szCs w:val="14"/>
                <w:color w:val="auto"/>
              </w:rPr>
              <w:t>4.95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center"/>
              <w:ind w:left="49"/>
              <w:spacing w:after="0"/>
              <w:rPr>
                <w:sz w:val="20"/>
                <w:szCs w:val="20"/>
                <w:color w:val="auto"/>
              </w:rPr>
            </w:pPr>
            <w:r>
              <w:rPr>
                <w:rFonts w:ascii="Arial" w:cs="Arial" w:eastAsia="Arial" w:hAnsi="Arial"/>
                <w:sz w:val="14"/>
                <w:szCs w:val="14"/>
                <w:color w:val="auto"/>
              </w:rPr>
              <w:t>4.95</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 %</w:t>
            </w: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95.0 %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96.9 %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3"/>
                <w:szCs w:val="13"/>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93.4 %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96.6 %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5"/>
        </w:trPr>
        <w:tc>
          <w:tcPr>
            <w:tcW w:w="1760" w:type="dxa"/>
            <w:vAlign w:val="bottom"/>
            <w:gridSpan w:val="2"/>
          </w:tcPr>
          <w:p>
            <w:pPr>
              <w:ind w:left="180"/>
              <w:spacing w:after="0"/>
              <w:rPr>
                <w:sz w:val="20"/>
                <w:szCs w:val="20"/>
                <w:color w:val="auto"/>
              </w:rPr>
            </w:pPr>
            <w:r>
              <w:rPr>
                <w:rFonts w:ascii="Arial" w:cs="Arial" w:eastAsia="Arial" w:hAnsi="Arial"/>
                <w:sz w:val="14"/>
                <w:szCs w:val="14"/>
                <w:color w:val="auto"/>
              </w:rPr>
              <w:t>Wharf</w:t>
            </w:r>
          </w:p>
        </w:tc>
        <w:tc>
          <w:tcPr>
            <w:tcW w:w="1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Signature at Reston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2.95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2.82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96.0 %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95.9 %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9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The Skylyne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3,349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3,509</w:t>
            </w: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ind w:left="160"/>
              <w:spacing w:after="0"/>
              <w:rPr>
                <w:sz w:val="20"/>
                <w:szCs w:val="20"/>
                <w:color w:val="auto"/>
              </w:rPr>
            </w:pPr>
            <w:r>
              <w:rPr>
                <w:rFonts w:ascii="Arial" w:cs="Arial" w:eastAsia="Arial" w:hAnsi="Arial"/>
                <w:sz w:val="14"/>
                <w:szCs w:val="14"/>
                <w:color w:val="auto"/>
              </w:rPr>
              <w:t>4.24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ind w:left="49"/>
              <w:spacing w:after="0"/>
              <w:rPr>
                <w:sz w:val="20"/>
                <w:szCs w:val="20"/>
                <w:color w:val="auto"/>
              </w:rPr>
            </w:pPr>
            <w:r>
              <w:rPr>
                <w:rFonts w:ascii="Arial" w:cs="Arial" w:eastAsia="Arial" w:hAnsi="Arial"/>
                <w:sz w:val="14"/>
                <w:szCs w:val="14"/>
                <w:color w:val="auto"/>
              </w:rPr>
              <w:t>4.45</w:t>
            </w:r>
          </w:p>
        </w:tc>
        <w:tc>
          <w:tcPr>
            <w:tcW w:w="860" w:type="dxa"/>
            <w:vAlign w:val="bottom"/>
          </w:tcPr>
          <w:p>
            <w:pPr>
              <w:jc w:val="right"/>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16"/>
                <w:szCs w:val="16"/>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89.9 %</w:t>
            </w:r>
          </w:p>
        </w:tc>
        <w:tc>
          <w:tcPr>
            <w:tcW w:w="660" w:type="dxa"/>
            <w:vAlign w:val="bottom"/>
          </w:tcPr>
          <w:p>
            <w:pPr>
              <w:jc w:val="right"/>
              <w:spacing w:after="0"/>
              <w:rPr>
                <w:sz w:val="20"/>
                <w:szCs w:val="20"/>
                <w:color w:val="auto"/>
              </w:rPr>
            </w:pPr>
            <w:r>
              <w:rPr>
                <w:rFonts w:ascii="Arial" w:cs="Arial" w:eastAsia="Arial" w:hAnsi="Arial"/>
                <w:sz w:val="14"/>
                <w:szCs w:val="14"/>
                <w:color w:val="auto"/>
              </w:rPr>
              <w:t>93.1 %</w:t>
            </w:r>
          </w:p>
        </w:tc>
        <w:tc>
          <w:tcPr>
            <w:tcW w:w="84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6"/>
                <w:szCs w:val="16"/>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87.5 %</w:t>
            </w:r>
          </w:p>
        </w:tc>
        <w:tc>
          <w:tcPr>
            <w:tcW w:w="680" w:type="dxa"/>
            <w:vAlign w:val="bottom"/>
          </w:tcPr>
          <w:p>
            <w:pPr>
              <w:jc w:val="right"/>
              <w:spacing w:after="0"/>
              <w:rPr>
                <w:sz w:val="20"/>
                <w:szCs w:val="20"/>
                <w:color w:val="auto"/>
              </w:rPr>
            </w:pPr>
            <w:r>
              <w:rPr>
                <w:rFonts w:ascii="Arial" w:cs="Arial" w:eastAsia="Arial" w:hAnsi="Arial"/>
                <w:sz w:val="14"/>
                <w:szCs w:val="14"/>
                <w:color w:val="auto"/>
              </w:rPr>
              <w:t>91.3 %</w:t>
            </w: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right="80" w:hanging="329"/>
        <w:spacing w:after="0" w:line="246" w:lineRule="auto"/>
        <w:tabs>
          <w:tab w:leader="none" w:pos="57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ind w:left="580" w:right="620" w:hanging="329"/>
        <w:spacing w:after="0" w:line="255" w:lineRule="auto"/>
        <w:tabs>
          <w:tab w:leader="none" w:pos="57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Average Physical Occupancy is defined as (1) the average number of occupied units divided by (2) the total number of units, expressed as a percentage.</w:t>
      </w:r>
    </w:p>
    <w:p>
      <w:pPr>
        <w:ind w:left="580" w:right="80" w:hanging="329"/>
        <w:spacing w:after="0" w:line="256" w:lineRule="auto"/>
        <w:tabs>
          <w:tab w:leader="none" w:pos="57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Average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Hotel Net Operating Income</w:t>
      </w:r>
    </w:p>
    <w:p>
      <w:pPr>
        <w:spacing w:after="0" w:line="102"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The Boston Marriott Cambridge hotel had net operating income of approximately $5.2 million for the three months ended September 30, 2024, representing an increase of approximately $0.8 million compared to the three months ended September 30, 2023.</w:t>
      </w:r>
    </w:p>
    <w:p>
      <w:pPr>
        <w:spacing w:after="0" w:line="99" w:lineRule="exact"/>
        <w:rPr>
          <w:sz w:val="20"/>
          <w:szCs w:val="20"/>
          <w:color w:val="auto"/>
        </w:rPr>
      </w:pPr>
    </w:p>
    <w:p>
      <w:pPr>
        <w:ind w:right="820" w:firstLine="445"/>
        <w:spacing w:after="0" w:line="287" w:lineRule="auto"/>
        <w:rPr>
          <w:sz w:val="20"/>
          <w:szCs w:val="20"/>
          <w:color w:val="auto"/>
        </w:rPr>
      </w:pPr>
      <w:r>
        <w:rPr>
          <w:rFonts w:ascii="Arial" w:cs="Arial" w:eastAsia="Arial" w:hAnsi="Arial"/>
          <w:sz w:val="18"/>
          <w:szCs w:val="18"/>
          <w:color w:val="auto"/>
        </w:rPr>
        <w:t>The following reflects our occupancy and rate information for the Boston Marriott Cambridge hotel for the three months ended September 30,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Change (%)</w:t>
            </w: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Average daily rate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356.44</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331.37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REVPAR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294.86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270.50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bl>
    <w:p>
      <w:pPr>
        <w:spacing w:after="0" w:line="3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Operating Revenue and Expense Items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Development and Management Services Revenue</w:t>
      </w:r>
    </w:p>
    <w:p>
      <w:pPr>
        <w:spacing w:after="0" w:line="102" w:lineRule="exact"/>
        <w:rPr>
          <w:sz w:val="20"/>
          <w:szCs w:val="20"/>
          <w:color w:val="auto"/>
        </w:rPr>
      </w:pPr>
    </w:p>
    <w:p>
      <w:pPr>
        <w:ind w:right="160" w:firstLine="445"/>
        <w:spacing w:after="0" w:line="260" w:lineRule="auto"/>
        <w:rPr>
          <w:sz w:val="20"/>
          <w:szCs w:val="20"/>
          <w:color w:val="auto"/>
        </w:rPr>
      </w:pPr>
      <w:r>
        <w:rPr>
          <w:rFonts w:ascii="Arial" w:cs="Arial" w:eastAsia="Arial" w:hAnsi="Arial"/>
          <w:sz w:val="18"/>
          <w:szCs w:val="18"/>
          <w:color w:val="auto"/>
        </w:rPr>
        <w:t>Development and management services revenue decreased by approximately $2.5 million for the three months ended September 30, 2024 compared to 2023. Development services revenue and management services revenue decreased by approximately $1.5 million and</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$1.0 million, respectively. The decrease in development services revenue was primarily related to a decrease in development income earned from unconsolidated joint ventures in the San Francisco and Washington D.C. regions. The decrease in management services revenue was primarily related to the elimination of property and asset management fees earned from an unconsolidated joint venture in the Los Angeles region which we acquired the joint venture partner’s interest in December 2023.</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0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General and administrative expense increased by approximately $1.9 million for the three months ended September 30, 2024 compared to 2023 primarily due to an increase in compensation expense of approximately $2.6 million, partially offset by an approximately $0.7 million decrease in other general and administrative expenses. The increase in compensation expense related to an approximately $3.1 million increase in the value of our deferred compensation plan partially offset by an approximately $0.5 million decrease in other compensation expenses.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00" w:firstLine="445"/>
        <w:spacing w:after="0" w:line="262" w:lineRule="auto"/>
        <w:rPr>
          <w:sz w:val="20"/>
          <w:szCs w:val="20"/>
          <w:color w:val="auto"/>
        </w:rPr>
      </w:pPr>
      <w:r>
        <w:rPr>
          <w:rFonts w:ascii="Arial" w:cs="Arial" w:eastAsia="Arial" w:hAnsi="Arial"/>
          <w:sz w:val="18"/>
          <w:szCs w:val="18"/>
          <w:color w:val="auto"/>
        </w:rPr>
        <w:t>Wages directly related to the development of rental properties are capitalized and included in real estate assets on our Consolidated Balance Sheets and amortized over the useful lives of the applicable asset or lease term. Capitalized wages for the three months ended September 30, 2024 and 2023 were approximately $4.2 million and $4.4 million, respectively. These costs are not included in the general and administrative expenses discussed above.</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Transaction Costs</w:t>
      </w:r>
    </w:p>
    <w:p>
      <w:pPr>
        <w:spacing w:after="0" w:line="88" w:lineRule="exact"/>
        <w:rPr>
          <w:sz w:val="20"/>
          <w:szCs w:val="20"/>
          <w:color w:val="auto"/>
        </w:rPr>
      </w:pPr>
    </w:p>
    <w:p>
      <w:pPr>
        <w:jc w:val="both"/>
        <w:ind w:right="480" w:firstLine="445"/>
        <w:spacing w:after="0" w:line="318" w:lineRule="auto"/>
        <w:rPr>
          <w:sz w:val="20"/>
          <w:szCs w:val="20"/>
          <w:color w:val="auto"/>
        </w:rPr>
      </w:pPr>
      <w:r>
        <w:rPr>
          <w:rFonts w:ascii="Arial" w:cs="Arial" w:eastAsia="Arial" w:hAnsi="Arial"/>
          <w:sz w:val="17"/>
          <w:szCs w:val="17"/>
          <w:color w:val="auto"/>
        </w:rPr>
        <w:t>Transaction costs decreased by approximately $0.6 million for the three months ended September 30, 2024 compared to 2023. In general, transaction costs relating to the formation of new joint ventures and the pursuit of other transactions are expensed as incurred.</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02"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immediately follows the cover page of this Quarterly Report on Form 10-Q.</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BXP</w:t>
      </w:r>
    </w:p>
    <w:p>
      <w:pPr>
        <w:spacing w:after="0" w:line="102" w:lineRule="exact"/>
        <w:rPr>
          <w:sz w:val="20"/>
          <w:szCs w:val="20"/>
          <w:color w:val="auto"/>
        </w:rPr>
      </w:pPr>
    </w:p>
    <w:p>
      <w:pPr>
        <w:ind w:right="480" w:firstLine="445"/>
        <w:spacing w:after="0" w:line="287" w:lineRule="auto"/>
        <w:rPr>
          <w:sz w:val="20"/>
          <w:szCs w:val="20"/>
          <w:color w:val="auto"/>
        </w:rPr>
      </w:pPr>
      <w:r>
        <w:rPr>
          <w:rFonts w:ascii="Arial" w:cs="Arial" w:eastAsia="Arial" w:hAnsi="Arial"/>
          <w:sz w:val="18"/>
          <w:szCs w:val="18"/>
          <w:color w:val="auto"/>
        </w:rPr>
        <w:t>Depreciation and amortization expense increased by approximately $15.5 million for the three months ended September 30, 2024 compared to 2023, as detailed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gridSpan w:val="9"/>
          </w:tcPr>
          <w:p>
            <w:pPr>
              <w:jc w:val="center"/>
              <w:ind w:right="72"/>
              <w:spacing w:after="0"/>
              <w:rPr>
                <w:sz w:val="20"/>
                <w:szCs w:val="20"/>
                <w:color w:val="auto"/>
              </w:rPr>
            </w:pPr>
            <w:r>
              <w:rPr>
                <w:rFonts w:ascii="Arial" w:cs="Arial" w:eastAsia="Arial" w:hAnsi="Arial"/>
                <w:sz w:val="16"/>
                <w:szCs w:val="16"/>
                <w:b w:val="1"/>
                <w:bCs w:val="1"/>
                <w:color w:val="auto"/>
              </w:rPr>
              <w:t>Depreciation and Amortization for the three months</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ended September 30,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40" w:type="dxa"/>
            <w:vAlign w:val="bottom"/>
          </w:tcPr>
          <w:p>
            <w:pPr>
              <w:spacing w:after="0"/>
              <w:rPr>
                <w:sz w:val="18"/>
                <w:szCs w:val="18"/>
                <w:color w:val="auto"/>
              </w:rPr>
            </w:pPr>
          </w:p>
        </w:tc>
        <w:tc>
          <w:tcPr>
            <w:tcW w:w="1160" w:type="dxa"/>
            <w:vAlign w:val="bottom"/>
          </w:tcPr>
          <w:p>
            <w:pPr>
              <w:jc w:val="right"/>
              <w:ind w:right="373"/>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 Property Portfolio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204,822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205,676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30"/>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Properties Acquired Portfolio</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13,983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13,983</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Placed In-Service Portfolio</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30"/>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Properties in or Held for Development or Redevelopment Portfolio</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222,890</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207,435</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BPLP</w:t>
      </w:r>
    </w:p>
    <w:p>
      <w:pPr>
        <w:spacing w:after="0" w:line="88" w:lineRule="exact"/>
        <w:rPr>
          <w:sz w:val="20"/>
          <w:szCs w:val="20"/>
          <w:color w:val="auto"/>
        </w:rPr>
      </w:pPr>
    </w:p>
    <w:p>
      <w:pPr>
        <w:ind w:right="480" w:firstLine="445"/>
        <w:spacing w:after="0" w:line="287" w:lineRule="auto"/>
        <w:rPr>
          <w:sz w:val="20"/>
          <w:szCs w:val="20"/>
          <w:color w:val="auto"/>
        </w:rPr>
      </w:pPr>
      <w:r>
        <w:rPr>
          <w:rFonts w:ascii="Arial" w:cs="Arial" w:eastAsia="Arial" w:hAnsi="Arial"/>
          <w:sz w:val="18"/>
          <w:szCs w:val="18"/>
          <w:color w:val="auto"/>
        </w:rPr>
        <w:t>Depreciation and amortization expense increased by approximately $15.5 million for the three months ended September 30, 2024 compared to 2023, as detailed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gridSpan w:val="10"/>
          </w:tcPr>
          <w:p>
            <w:pPr>
              <w:jc w:val="center"/>
              <w:ind w:right="180"/>
              <w:spacing w:after="0"/>
              <w:rPr>
                <w:sz w:val="20"/>
                <w:szCs w:val="20"/>
                <w:color w:val="auto"/>
              </w:rPr>
            </w:pPr>
            <w:r>
              <w:rPr>
                <w:rFonts w:ascii="Arial" w:cs="Arial" w:eastAsia="Arial" w:hAnsi="Arial"/>
                <w:sz w:val="16"/>
                <w:szCs w:val="16"/>
                <w:b w:val="1"/>
                <w:bCs w:val="1"/>
                <w:color w:val="auto"/>
              </w:rPr>
              <w:t>Depreciation and Amortization for the 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ended September 30,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73"/>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 Property Portfolio</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203,920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Properties Acquired Portfolio</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13,983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Placed In-Service Portfolio</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Properties in or Held for Development or Redevelopment Portfolio</w:t>
            </w:r>
          </w:p>
        </w:tc>
        <w:tc>
          <w:tcPr>
            <w:tcW w:w="1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221,186</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205,679</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firstLine="202"/>
        <w:spacing w:after="0" w:line="294" w:lineRule="auto"/>
        <w:rPr>
          <w:sz w:val="20"/>
          <w:szCs w:val="20"/>
          <w:color w:val="auto"/>
        </w:rPr>
      </w:pPr>
      <w:r>
        <w:rPr>
          <w:rFonts w:ascii="Arial" w:cs="Arial" w:eastAsia="Arial" w:hAnsi="Arial"/>
          <w:sz w:val="18"/>
          <w:szCs w:val="18"/>
          <w:b w:val="1"/>
          <w:bCs w:val="1"/>
          <w:i w:val="1"/>
          <w:iCs w:val="1"/>
          <w:color w:val="auto"/>
        </w:rPr>
        <w:t>Direct Reimbursements of Payroll and Related Costs From Management Services Contracts and Payroll and Related Costs From Management Service Contracts</w:t>
      </w:r>
    </w:p>
    <w:p>
      <w:pPr>
        <w:spacing w:after="0" w:line="4"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Income and Expense Items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Loss from Unconsolidated Joint Ventures</w:t>
      </w:r>
    </w:p>
    <w:p>
      <w:pPr>
        <w:spacing w:after="0" w:line="10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For the three months ended September 30, 2024 compared to 2023, loss from unconsolidated joint ventures decreased by approximately $240.5 million primarily due to the recognition of non-cash impairment charges related to our investments in 360 Park Avenue South, 200 Fifth Avenue, Platform 16, and Safeco Plaza aggregating approximately $272.6 million during the three months ended September 30, 2023, partially offset by an approximately $35.8 million gain on investment related to our Metropolitan Square joint venture interest. Neither of these items recurred during the three months ended September 30, 2024.</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Gains on Sales of Real Estate</w:t>
      </w:r>
    </w:p>
    <w:p>
      <w:pPr>
        <w:spacing w:after="0" w:line="88"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The $0.5 million gains on sale of real estate for the three months ended September 30, 2024 and 2023 were related to the sale of real estate occurring in prior periods.</w:t>
      </w:r>
    </w:p>
    <w:p>
      <w:pPr>
        <w:spacing w:after="0" w:line="3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immediately follows the cover page of this Quarterly Report on Form 10-Q.</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(Loss)</w:t>
      </w:r>
    </w:p>
    <w:p>
      <w:pPr>
        <w:spacing w:after="0" w:line="88"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Interest and other income (loss) decreased by approximately $6.3 million for the three months ended September 30, 2024 compared to 2023, due primarily to a decrease in our outstanding cash balances.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Gains (Losses) from Investments in Securities</w:t>
      </w:r>
    </w:p>
    <w:p>
      <w:pPr>
        <w:spacing w:after="0" w:line="102"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Gain (losses) from investments in securities for the three months ended September 30, 2024 and 2023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(losses) from investments in securities. During the three months ended September 30, 2024 and 2023, we recognized gains (losses) of approximately $2.2 million and $(0.9) million, respectively, on these investments. By comparison, our general and administrative expense increased (decreased) by approximately $2.2 million and $(0.9) million during the three months ended September 30, 2024 and 2023, respectively, as a result of increases (decreases) in our liability under our deferred compensation plans that was associated with the performance of the specific investments selected by officers and former non-employee directors of BXP participating in the plans.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Unrealized Gain (Loss) on Non-Real Estate Investment</w:t>
      </w:r>
    </w:p>
    <w:p>
      <w:pPr>
        <w:spacing w:after="0" w:line="102" w:lineRule="exact"/>
        <w:rPr>
          <w:sz w:val="20"/>
          <w:szCs w:val="20"/>
          <w:color w:val="auto"/>
        </w:rPr>
      </w:pPr>
    </w:p>
    <w:p>
      <w:pPr>
        <w:ind w:right="220" w:firstLine="445"/>
        <w:spacing w:after="0" w:line="268" w:lineRule="auto"/>
        <w:rPr>
          <w:sz w:val="20"/>
          <w:szCs w:val="20"/>
          <w:color w:val="auto"/>
        </w:rPr>
      </w:pPr>
      <w:r>
        <w:rPr>
          <w:rFonts w:ascii="Arial" w:cs="Arial" w:eastAsia="Arial" w:hAnsi="Arial"/>
          <w:sz w:val="18"/>
          <w:szCs w:val="18"/>
          <w:color w:val="auto"/>
        </w:rPr>
        <w:t>We invest in non-real estate investments, which are primarily environmentally-focused investment funds. As a result, during the three months ended September 30, 2024 and 2023, we recognized an unrealized gain (loss) of approximately $0.1 million and $(0.1) million, respectively, due to the observable changes in the fair value of the investments.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8" w:lineRule="exact"/>
        <w:rPr>
          <w:sz w:val="20"/>
          <w:szCs w:val="20"/>
          <w:color w:val="auto"/>
        </w:rPr>
      </w:pPr>
    </w:p>
    <w:p>
      <w:pPr>
        <w:ind w:right="480" w:firstLine="445"/>
        <w:spacing w:after="0" w:line="287" w:lineRule="auto"/>
        <w:rPr>
          <w:sz w:val="20"/>
          <w:szCs w:val="20"/>
          <w:color w:val="auto"/>
        </w:rPr>
      </w:pPr>
      <w:r>
        <w:rPr>
          <w:rFonts w:ascii="Arial" w:cs="Arial" w:eastAsia="Arial" w:hAnsi="Arial"/>
          <w:sz w:val="18"/>
          <w:szCs w:val="18"/>
          <w:color w:val="auto"/>
        </w:rPr>
        <w:t>Interest expense increased by approximately $15.4 million for the three months ended September 30, 2024 compared to 2023, as detailed below.</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Component</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Increases to interest expense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mortgage loan financings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Unsecured commercial paper (2)</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Issuance of $850 million in aggregate principal of 5.750% senior notes due 2035 on August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Decrease in interest due to finance leases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interest expense (excluding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increases to interest expense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Decreases to interest expense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Repayment of $700 million in aggregate principal of 3.800% senior notes due 2024 on February 1, 2024</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Decrease in interest associated with unsecured term loans and the unsecured credit facility,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Repayment of $500 million in aggregate principal of 3.125% senior notes due 2023 on September 1, 2023</w:t>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 in capitalized interest related to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Amortization expense of financing fees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decreases to interest expense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change in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left="100"/>
        <w:spacing w:after="0" w:line="216" w:lineRule="auto"/>
        <w:rPr>
          <w:sz w:val="20"/>
          <w:szCs w:val="20"/>
          <w:color w:val="auto"/>
        </w:rPr>
      </w:pPr>
      <w:r>
        <w:rPr>
          <w:rFonts w:ascii="Arial" w:cs="Arial" w:eastAsia="Arial" w:hAnsi="Arial"/>
          <w:sz w:val="16"/>
          <w:szCs w:val="16"/>
          <w:b w:val="1"/>
          <w:bCs w:val="1"/>
          <w:color w:val="auto"/>
        </w:rPr>
        <w:t>Change in interest expense for the three months ended September 30, 2024 compared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3970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18,401</w:t>
            </w:r>
          </w:p>
        </w:tc>
      </w:tr>
      <w:tr>
        <w:trPr>
          <w:trHeight w:val="229"/>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7,213</w:t>
            </w:r>
          </w:p>
        </w:tc>
      </w:tr>
      <w:tr>
        <w:trPr>
          <w:trHeight w:val="230"/>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4,754</w:t>
            </w:r>
          </w:p>
        </w:tc>
      </w:tr>
      <w:tr>
        <w:trPr>
          <w:trHeight w:val="229"/>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35"/>
        </w:trPr>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32"/>
        </w:trPr>
        <w:tc>
          <w:tcPr>
            <w:tcW w:w="8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32,204</w:t>
            </w:r>
          </w:p>
        </w:tc>
      </w:tr>
      <w:tr>
        <w:trPr>
          <w:trHeight w:val="444"/>
        </w:trPr>
        <w:tc>
          <w:tcPr>
            <w:tcW w:w="8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(6,710)</w:t>
            </w:r>
          </w:p>
        </w:tc>
      </w:tr>
      <w:tr>
        <w:trPr>
          <w:trHeight w:val="229"/>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(5,227)</w:t>
            </w:r>
          </w:p>
        </w:tc>
      </w:tr>
      <w:tr>
        <w:trPr>
          <w:trHeight w:val="229"/>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(2,689)</w:t>
            </w:r>
          </w:p>
        </w:tc>
      </w:tr>
      <w:tr>
        <w:trPr>
          <w:trHeight w:val="230"/>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(1,895)</w:t>
            </w:r>
          </w:p>
        </w:tc>
      </w:tr>
      <w:tr>
        <w:trPr>
          <w:trHeight w:val="235"/>
        </w:trPr>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23"/>
        </w:trPr>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(16,822)</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15,382</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2">
            <w:col w:w="8780" w:space="260"/>
            <w:col w:w="2200"/>
          </w:cols>
          <w:pgMar w:left="320" w:top="283"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580" w:right="200" w:hanging="329"/>
        <w:spacing w:after="0" w:line="254" w:lineRule="auto"/>
        <w:tabs>
          <w:tab w:leader="none" w:pos="575"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Consists of the mortgage loan and, if applicable, fair value debt and swap adjustments collateralized by (1) 325 Main Street, 355 Main Street, 90 Broadway and Cambridge East Garage (also known as Kendall Center Green Garage) properties located in Cambridge, Massachusetts, (2) Santa Monica Business Park located in Santa Monica, California and (3) 901 New York Avenue in Washington, DC (See Note 6 to the Consolidated Financial Statements).</w:t>
      </w:r>
    </w:p>
    <w:p>
      <w:pPr>
        <w:ind w:left="580" w:hanging="329"/>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April 17, 2024, BPLP established an unsecured commercial paper program (See Note 6 to the Consolidated Financial Statements).</w:t>
      </w:r>
    </w:p>
    <w:p>
      <w:pPr>
        <w:spacing w:after="0" w:line="258" w:lineRule="exact"/>
        <w:rPr>
          <w:sz w:val="20"/>
          <w:szCs w:val="20"/>
          <w:color w:val="auto"/>
        </w:rPr>
      </w:pPr>
    </w:p>
    <w:p>
      <w:pPr>
        <w:ind w:right="340" w:firstLine="445"/>
        <w:spacing w:after="0" w:line="259" w:lineRule="auto"/>
        <w:rPr>
          <w:sz w:val="20"/>
          <w:szCs w:val="20"/>
          <w:color w:val="auto"/>
        </w:rPr>
      </w:pPr>
      <w:r>
        <w:rPr>
          <w:rFonts w:ascii="Arial" w:cs="Arial" w:eastAsia="Arial" w:hAnsi="Arial"/>
          <w:sz w:val="18"/>
          <w:szCs w:val="18"/>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three months ended September 30, 2024 and 2023 was approximately $11.6 million and $9.7 million, respectively. These costs are not included in the interest expense referenced above.</w:t>
      </w:r>
    </w:p>
    <w:p>
      <w:pPr>
        <w:spacing w:after="0" w:line="125"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At September 30, 2024, our variable rate debt consisted of (1) BPLP’s $2.0 billion 2021 Credit Facility, (2) BPLP’s $ 700.0 million 2023 Unsecured Term Loan and (3) BPLP’s $500.0 million unsecured commercial paper notes. As of September 30, 2024, the 2021 Credit Facility did not have a balance outstanding. In addition, we have the $100.0 million 2024 Unsecured Term Loan and $800.0 million of mortgage notes collateralized by Santa Monica Business Park and our 325 Main Street, 355 Main Street, 90 Broadway and Cambridge East Garage (also known as Kendall Center Green Garage) properties that bore interest at variable rates, which have all been hedged with interest rates swaps to fix SOFR for all or a portion of, the applicable debt term. For a summary of our consolidated debt as of September 30, 2024 refer to the heading “</w:t>
      </w:r>
      <w:r>
        <w:rPr>
          <w:rFonts w:ascii="Arial" w:cs="Arial" w:eastAsia="Arial" w:hAnsi="Arial"/>
          <w:sz w:val="18"/>
          <w:szCs w:val="18"/>
          <w:i w:val="1"/>
          <w:iCs w:val="1"/>
          <w:color w:val="auto"/>
        </w:rPr>
        <w:t>Liquidity and Capital Resources—Debt Financing”</w:t>
      </w:r>
      <w:r>
        <w:rPr>
          <w:rFonts w:ascii="Arial" w:cs="Arial" w:eastAsia="Arial" w:hAnsi="Arial"/>
          <w:sz w:val="18"/>
          <w:szCs w:val="18"/>
          <w:color w:val="auto"/>
        </w:rPr>
        <w:t xml:space="preserve"> within “</w:t>
      </w:r>
      <w:r>
        <w:rPr>
          <w:rFonts w:ascii="Arial" w:cs="Arial" w:eastAsia="Arial" w:hAnsi="Arial"/>
          <w:sz w:val="18"/>
          <w:szCs w:val="18"/>
          <w:i w:val="1"/>
          <w:iCs w:val="1"/>
          <w:color w:val="auto"/>
        </w:rPr>
        <w:t>Item 2—Management’s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Interests in Property Partnerships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Noncontrolling interests in property partnerships decreased by approximately $5.7 million for the three months ended September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 compared to 2023, as detailed below.</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gridSpan w:val="8"/>
          </w:tcPr>
          <w:p>
            <w:pPr>
              <w:jc w:val="center"/>
              <w:spacing w:after="0"/>
              <w:rPr>
                <w:sz w:val="20"/>
                <w:szCs w:val="20"/>
                <w:color w:val="auto"/>
              </w:rPr>
            </w:pPr>
            <w:r>
              <w:rPr>
                <w:rFonts w:ascii="Arial" w:cs="Arial" w:eastAsia="Arial" w:hAnsi="Arial"/>
                <w:sz w:val="16"/>
                <w:szCs w:val="16"/>
                <w:b w:val="1"/>
                <w:bCs w:val="1"/>
                <w:color w:val="auto"/>
              </w:rPr>
              <w:t>Noncontrolling Interests in Property Partnerships for the three</w:t>
            </w:r>
          </w:p>
        </w:tc>
      </w:tr>
      <w:tr>
        <w:trPr>
          <w:trHeight w:val="216"/>
        </w:trPr>
        <w:tc>
          <w:tcPr>
            <w:tcW w:w="3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6"/>
          </w:tcPr>
          <w:p>
            <w:pPr>
              <w:jc w:val="center"/>
              <w:ind w:left="752"/>
              <w:spacing w:after="0"/>
              <w:rPr>
                <w:sz w:val="20"/>
                <w:szCs w:val="20"/>
                <w:color w:val="auto"/>
              </w:rPr>
            </w:pPr>
            <w:r>
              <w:rPr>
                <w:rFonts w:ascii="Arial" w:cs="Arial" w:eastAsia="Arial" w:hAnsi="Arial"/>
                <w:sz w:val="16"/>
                <w:szCs w:val="16"/>
                <w:b w:val="1"/>
                <w:bCs w:val="1"/>
                <w:color w:val="auto"/>
              </w:rPr>
              <w:t>months ended September 30,</w:t>
            </w:r>
          </w:p>
        </w:tc>
        <w:tc>
          <w:tcPr>
            <w:tcW w:w="1180" w:type="dxa"/>
            <w:vAlign w:val="bottom"/>
            <w:tcBorders>
              <w:bottom w:val="single" w:sz="8" w:color="auto"/>
            </w:tcBorders>
          </w:tcPr>
          <w:p>
            <w:pPr>
              <w:spacing w:after="0"/>
              <w:rPr>
                <w:sz w:val="18"/>
                <w:szCs w:val="18"/>
                <w:color w:val="auto"/>
              </w:rPr>
            </w:pPr>
          </w:p>
        </w:tc>
      </w:tr>
      <w:tr>
        <w:trPr>
          <w:trHeight w:val="237"/>
        </w:trPr>
        <w:tc>
          <w:tcPr>
            <w:tcW w:w="6200" w:type="dxa"/>
            <w:vAlign w:val="bottom"/>
            <w:gridSpan w:val="3"/>
          </w:tcPr>
          <w:p>
            <w:pPr>
              <w:spacing w:after="0"/>
              <w:rPr>
                <w:sz w:val="20"/>
                <w:szCs w:val="20"/>
                <w:color w:val="auto"/>
              </w:rPr>
            </w:pPr>
            <w:r>
              <w:rPr>
                <w:rFonts w:ascii="Arial" w:cs="Arial" w:eastAsia="Arial" w:hAnsi="Arial"/>
                <w:sz w:val="16"/>
                <w:szCs w:val="16"/>
                <w:b w:val="1"/>
                <w:bCs w:val="1"/>
                <w:color w:val="auto"/>
              </w:rPr>
              <w:t>Property</w:t>
            </w:r>
          </w:p>
        </w:tc>
        <w:tc>
          <w:tcPr>
            <w:tcW w:w="340" w:type="dxa"/>
            <w:vAlign w:val="bottom"/>
          </w:tcPr>
          <w:p>
            <w:pPr>
              <w:spacing w:after="0"/>
              <w:rPr>
                <w:sz w:val="20"/>
                <w:szCs w:val="20"/>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512"/>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r>
      <w:tr>
        <w:trPr>
          <w:trHeight w:val="209"/>
        </w:trPr>
        <w:tc>
          <w:tcPr>
            <w:tcW w:w="340" w:type="dxa"/>
            <w:vAlign w:val="bottom"/>
            <w:tcBorders>
              <w:top w:val="single" w:sz="8" w:color="auto"/>
            </w:tcBorders>
          </w:tcPr>
          <w:p>
            <w:pPr>
              <w:spacing w:after="0"/>
              <w:rPr>
                <w:sz w:val="18"/>
                <w:szCs w:val="18"/>
                <w:color w:val="auto"/>
              </w:rPr>
            </w:pPr>
          </w:p>
        </w:tc>
        <w:tc>
          <w:tcPr>
            <w:tcW w:w="5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29"/>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767</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Fifth Avenue (the General Motors Building)</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2,954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30"/>
        </w:trPr>
        <w:tc>
          <w:tcPr>
            <w:tcW w:w="6200" w:type="dxa"/>
            <w:vAlign w:val="bottom"/>
            <w:gridSpan w:val="3"/>
          </w:tcPr>
          <w:p>
            <w:pPr>
              <w:spacing w:after="0"/>
              <w:rPr>
                <w:sz w:val="20"/>
                <w:szCs w:val="20"/>
                <w:color w:val="auto"/>
              </w:rPr>
            </w:pPr>
            <w:r>
              <w:rPr>
                <w:rFonts w:ascii="Arial" w:cs="Arial" w:eastAsia="Arial" w:hAnsi="Arial"/>
                <w:sz w:val="18"/>
                <w:szCs w:val="18"/>
                <w:color w:val="auto"/>
              </w:rPr>
              <w:t>Times Square Tower (1)</w:t>
            </w:r>
          </w:p>
        </w:tc>
        <w:tc>
          <w:tcPr>
            <w:tcW w:w="3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5,639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(3,313)</w:t>
            </w:r>
          </w:p>
        </w:tc>
      </w:tr>
      <w:tr>
        <w:trPr>
          <w:trHeight w:val="229"/>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601</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Lexington Avenue (2)</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100</w:t>
            </w: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Federal Street</w:t>
            </w:r>
          </w:p>
        </w:tc>
        <w:tc>
          <w:tcPr>
            <w:tcW w:w="3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Atlantic Wharf Office Building</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3,706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9"/>
        </w:trPr>
        <w:tc>
          <w:tcPr>
            <w:tcW w:w="340" w:type="dxa"/>
            <w:vAlign w:val="bottom"/>
          </w:tcPr>
          <w:p>
            <w:pPr>
              <w:spacing w:after="0"/>
              <w:rPr>
                <w:sz w:val="20"/>
                <w:szCs w:val="20"/>
                <w:color w:val="auto"/>
              </w:rPr>
            </w:pPr>
            <w:r>
              <w:rPr>
                <w:rFonts w:ascii="Arial" w:cs="Arial" w:eastAsia="Arial" w:hAnsi="Arial"/>
                <w:sz w:val="18"/>
                <w:szCs w:val="18"/>
                <w:color w:val="auto"/>
              </w:rPr>
              <w:t>343</w:t>
            </w: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Madison Avenue (3)</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Binney Street (4)</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340" w:type="dxa"/>
            <w:vAlign w:val="bottom"/>
          </w:tcPr>
          <w:p>
            <w:pPr>
              <w:spacing w:after="0"/>
              <w:rPr>
                <w:sz w:val="20"/>
                <w:szCs w:val="20"/>
                <w:color w:val="auto"/>
              </w:rPr>
            </w:pPr>
            <w:r>
              <w:rPr>
                <w:rFonts w:ascii="Arial" w:cs="Arial" w:eastAsia="Arial" w:hAnsi="Arial"/>
                <w:sz w:val="18"/>
                <w:szCs w:val="18"/>
                <w:color w:val="auto"/>
              </w:rPr>
              <w:t>290</w:t>
            </w: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Binney Street (4)</w:t>
            </w:r>
          </w:p>
        </w:tc>
        <w:tc>
          <w:tcPr>
            <w:tcW w:w="3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48"/>
        </w:trPr>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57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15,237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(5,672)</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hanging="329"/>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decrease was primarily attributable to a decrease in lease revenue from our clients.</w:t>
      </w:r>
    </w:p>
    <w:p>
      <w:pPr>
        <w:spacing w:after="0" w:line="5" w:lineRule="exact"/>
        <w:rPr>
          <w:rFonts w:ascii="Arial" w:cs="Arial" w:eastAsia="Arial" w:hAnsi="Arial"/>
          <w:sz w:val="16"/>
          <w:szCs w:val="16"/>
          <w:color w:val="auto"/>
        </w:rPr>
      </w:pPr>
    </w:p>
    <w:p>
      <w:pPr>
        <w:ind w:left="580" w:right="520" w:hanging="329"/>
        <w:spacing w:after="0" w:line="252" w:lineRule="auto"/>
        <w:tabs>
          <w:tab w:leader="none" w:pos="57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decrease was primarily attributable to a decrease in lease revenue from our clients and depreciation expense related to new and expiring clients.</w:t>
      </w:r>
    </w:p>
    <w:p>
      <w:pPr>
        <w:spacing w:after="0" w:line="1" w:lineRule="exact"/>
        <w:rPr>
          <w:rFonts w:ascii="Arial" w:cs="Arial" w:eastAsia="Arial" w:hAnsi="Arial"/>
          <w:sz w:val="16"/>
          <w:szCs w:val="16"/>
          <w:color w:val="auto"/>
        </w:rPr>
      </w:pPr>
    </w:p>
    <w:p>
      <w:pPr>
        <w:ind w:left="580" w:hanging="329"/>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Property is held for future development.</w:t>
      </w:r>
    </w:p>
    <w:p>
      <w:pPr>
        <w:spacing w:after="0" w:line="8" w:lineRule="exact"/>
        <w:rPr>
          <w:rFonts w:ascii="Arial" w:cs="Arial" w:eastAsia="Arial" w:hAnsi="Arial"/>
          <w:sz w:val="16"/>
          <w:szCs w:val="16"/>
          <w:color w:val="auto"/>
        </w:rPr>
      </w:pPr>
    </w:p>
    <w:p>
      <w:pPr>
        <w:ind w:left="580" w:hanging="329"/>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Property is currently under redevelopment or in development.</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Interest—Common Units of the Operating Partnership</w:t>
      </w:r>
    </w:p>
    <w:p>
      <w:pPr>
        <w:spacing w:after="0" w:line="102" w:lineRule="exact"/>
        <w:rPr>
          <w:sz w:val="20"/>
          <w:szCs w:val="20"/>
          <w:color w:val="auto"/>
        </w:rPr>
      </w:pPr>
    </w:p>
    <w:p>
      <w:pPr>
        <w:ind w:right="320" w:firstLine="445"/>
        <w:spacing w:after="0" w:line="259" w:lineRule="auto"/>
        <w:rPr>
          <w:sz w:val="20"/>
          <w:szCs w:val="20"/>
          <w:color w:val="auto"/>
        </w:rPr>
      </w:pPr>
      <w:r>
        <w:rPr>
          <w:rFonts w:ascii="Arial" w:cs="Arial" w:eastAsia="Arial" w:hAnsi="Arial"/>
          <w:sz w:val="18"/>
          <w:szCs w:val="18"/>
          <w:color w:val="auto"/>
        </w:rPr>
        <w:t>For BXP, noncontrolling interest—common units of the Operating Partnership increased by approximately $22.2 million for the three months ended September 30, 2024 compared to 2023 due primarily to an increase in allocable income, which was primarily the result of recognizing a non-cash impairment charge related our investment in unconsolidated joint ventures during the three months ended September 30, 2023 that did not recur during the three months ended September 30, 2024. Due to our ownership structure, there is no corresponding line item on BPLP’s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liquidity needs for the next twelve months and beyond are to:</w:t>
      </w:r>
    </w:p>
    <w:p>
      <w:pPr>
        <w:spacing w:after="0" w:line="158" w:lineRule="exact"/>
        <w:rPr>
          <w:sz w:val="20"/>
          <w:szCs w:val="20"/>
          <w:color w:val="auto"/>
        </w:rPr>
      </w:pPr>
    </w:p>
    <w:p>
      <w:pPr>
        <w:ind w:left="1040" w:hanging="228"/>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fund normal recurring expenses;</w:t>
      </w:r>
    </w:p>
    <w:p>
      <w:pPr>
        <w:spacing w:after="0" w:line="103" w:lineRule="exact"/>
        <w:rPr>
          <w:rFonts w:ascii="Arial" w:cs="Arial" w:eastAsia="Arial" w:hAnsi="Arial"/>
          <w:sz w:val="18"/>
          <w:szCs w:val="18"/>
          <w:color w:val="auto"/>
        </w:rPr>
      </w:pPr>
    </w:p>
    <w:p>
      <w:pPr>
        <w:ind w:left="1040" w:hanging="228"/>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meet debt service and principal repayment obligations and balloon payments on maturing debt, including:</w:t>
      </w:r>
    </w:p>
    <w:p>
      <w:pPr>
        <w:spacing w:after="0" w:line="76" w:lineRule="exact"/>
        <w:rPr>
          <w:rFonts w:ascii="Arial" w:cs="Arial" w:eastAsia="Arial" w:hAnsi="Arial"/>
          <w:sz w:val="18"/>
          <w:szCs w:val="18"/>
          <w:color w:val="auto"/>
        </w:rPr>
      </w:pPr>
    </w:p>
    <w:p>
      <w:pPr>
        <w:ind w:left="1460" w:hanging="318"/>
        <w:spacing w:after="0"/>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$850.0 million of 3.200% unsecured senior notes due January 15, 2025,</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$700.0 million of principal outstanding on the 2023 Unsecured Term Loan due May 16, 2025,</w:t>
      </w:r>
    </w:p>
    <w:p>
      <w:pPr>
        <w:spacing w:after="0" w:line="90" w:lineRule="exact"/>
        <w:rPr>
          <w:rFonts w:ascii="Arial" w:cs="Arial" w:eastAsia="Arial" w:hAnsi="Arial"/>
          <w:sz w:val="18"/>
          <w:szCs w:val="18"/>
          <w:color w:val="auto"/>
        </w:rPr>
      </w:pPr>
    </w:p>
    <w:p>
      <w:pPr>
        <w:ind w:left="1460" w:right="360" w:hanging="318"/>
        <w:spacing w:after="0" w:line="223" w:lineRule="auto"/>
        <w:tabs>
          <w:tab w:leader="none" w:pos="1456" w:val="left"/>
        </w:tabs>
        <w:numPr>
          <w:ilvl w:val="1"/>
          <w:numId w:val="54"/>
        </w:numPr>
        <w:rPr>
          <w:rFonts w:ascii="Times New Roman" w:cs="Times New Roman" w:eastAsia="Times New Roman" w:hAnsi="Times New Roman"/>
          <w:sz w:val="22"/>
          <w:szCs w:val="22"/>
          <w:color w:val="auto"/>
        </w:rPr>
      </w:pPr>
      <w:r>
        <w:rPr>
          <w:rFonts w:ascii="Arial" w:cs="Arial" w:eastAsia="Arial" w:hAnsi="Arial"/>
          <w:sz w:val="18"/>
          <w:szCs w:val="18"/>
          <w:color w:val="auto"/>
        </w:rPr>
        <w:t>$100.0 million of principal outstanding on the 2024 Unsecured Term Loan due September 26, 2025, for which we have three, one-year extension options, subject to customary conditions,</w:t>
      </w:r>
    </w:p>
    <w:p>
      <w:pPr>
        <w:spacing w:after="0" w:line="58" w:lineRule="exact"/>
        <w:rPr>
          <w:rFonts w:ascii="Times New Roman" w:cs="Times New Roman" w:eastAsia="Times New Roman" w:hAnsi="Times New Roman"/>
          <w:sz w:val="22"/>
          <w:szCs w:val="22"/>
          <w:color w:val="auto"/>
        </w:rPr>
      </w:pPr>
    </w:p>
    <w:p>
      <w:pPr>
        <w:ind w:left="1460" w:right="240" w:hanging="318"/>
        <w:spacing w:after="0" w:line="223" w:lineRule="auto"/>
        <w:tabs>
          <w:tab w:leader="none" w:pos="1456" w:val="left"/>
        </w:tabs>
        <w:numPr>
          <w:ilvl w:val="1"/>
          <w:numId w:val="54"/>
        </w:numPr>
        <w:rPr>
          <w:rFonts w:ascii="Times New Roman" w:cs="Times New Roman" w:eastAsia="Times New Roman" w:hAnsi="Times New Roman"/>
          <w:sz w:val="22"/>
          <w:szCs w:val="22"/>
          <w:color w:val="auto"/>
        </w:rPr>
      </w:pPr>
      <w:r>
        <w:rPr>
          <w:rFonts w:ascii="Arial" w:cs="Arial" w:eastAsia="Arial" w:hAnsi="Arial"/>
          <w:sz w:val="18"/>
          <w:szCs w:val="18"/>
          <w:color w:val="auto"/>
        </w:rPr>
        <w:t>$203.6 million of mortgage debt secured by our 901 New York Avenue property due January 5, 2025, for which we have the right to extend the maturity date for a period of five years, subject to certain customary conditions, and</w:t>
      </w:r>
    </w:p>
    <w:p>
      <w:pPr>
        <w:spacing w:after="0" w:line="44"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1"/>
          <w:numId w:val="54"/>
        </w:numPr>
        <w:rPr>
          <w:rFonts w:ascii="Times New Roman" w:cs="Times New Roman" w:eastAsia="Times New Roman" w:hAnsi="Times New Roman"/>
          <w:sz w:val="22"/>
          <w:szCs w:val="22"/>
          <w:color w:val="auto"/>
        </w:rPr>
      </w:pPr>
      <w:r>
        <w:rPr>
          <w:rFonts w:ascii="Arial" w:cs="Arial" w:eastAsia="Arial" w:hAnsi="Arial"/>
          <w:sz w:val="18"/>
          <w:szCs w:val="18"/>
          <w:color w:val="auto"/>
        </w:rPr>
        <w:t>amounts that become due under BPLP’s unsecured commercial paper program;</w:t>
      </w:r>
    </w:p>
    <w:p>
      <w:pPr>
        <w:spacing w:after="0" w:line="125" w:lineRule="exact"/>
        <w:rPr>
          <w:rFonts w:ascii="Times New Roman" w:cs="Times New Roman" w:eastAsia="Times New Roman" w:hAnsi="Times New Roman"/>
          <w:sz w:val="22"/>
          <w:szCs w:val="22"/>
          <w:color w:val="auto"/>
        </w:rPr>
      </w:pPr>
    </w:p>
    <w:p>
      <w:pPr>
        <w:ind w:left="1040" w:right="600" w:hanging="228"/>
        <w:spacing w:after="0" w:line="287" w:lineRule="auto"/>
        <w:tabs>
          <w:tab w:leader="none" w:pos="10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fund capital calls from our unconsolidated joint venture investments to fund capital improvements, leasing costs and debt principal;</w:t>
      </w:r>
    </w:p>
    <w:p>
      <w:pPr>
        <w:spacing w:after="0" w:line="31" w:lineRule="exact"/>
        <w:rPr>
          <w:rFonts w:ascii="Arial" w:cs="Arial" w:eastAsia="Arial" w:hAnsi="Arial"/>
          <w:sz w:val="18"/>
          <w:szCs w:val="18"/>
          <w:color w:val="auto"/>
        </w:rPr>
      </w:pPr>
    </w:p>
    <w:p>
      <w:pPr>
        <w:ind w:left="1040" w:hanging="228"/>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fund development and redevelopment costs;</w:t>
      </w:r>
    </w:p>
    <w:p>
      <w:pPr>
        <w:spacing w:after="0" w:line="90" w:lineRule="exact"/>
        <w:rPr>
          <w:rFonts w:ascii="Arial" w:cs="Arial" w:eastAsia="Arial" w:hAnsi="Arial"/>
          <w:sz w:val="18"/>
          <w:szCs w:val="18"/>
          <w:color w:val="auto"/>
        </w:rPr>
      </w:pPr>
    </w:p>
    <w:p>
      <w:pPr>
        <w:ind w:left="1040" w:hanging="228"/>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fund capital expenditures, including major renovations, tenant improvements and leasing costs;</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40" w:hanging="228"/>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fund possible acquisitions of properties, either directly or indirectly through the acquisition of equity interests; and</w:t>
      </w:r>
    </w:p>
    <w:p>
      <w:pPr>
        <w:spacing w:after="0" w:line="90" w:lineRule="exact"/>
        <w:rPr>
          <w:rFonts w:ascii="Arial" w:cs="Arial" w:eastAsia="Arial" w:hAnsi="Arial"/>
          <w:sz w:val="18"/>
          <w:szCs w:val="18"/>
          <w:color w:val="auto"/>
        </w:rPr>
      </w:pPr>
    </w:p>
    <w:p>
      <w:pPr>
        <w:ind w:left="1040" w:right="320" w:hanging="228"/>
        <w:spacing w:after="0" w:line="287" w:lineRule="auto"/>
        <w:tabs>
          <w:tab w:leader="none" w:pos="10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the minimum distribution required to enable BXP to maintain its REIT qualification under the Internal Revenue Code of 1986, as amended.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satisfy these needs using one or more of the following:</w:t>
      </w:r>
    </w:p>
    <w:p>
      <w:pPr>
        <w:spacing w:after="0" w:line="158" w:lineRule="exact"/>
        <w:rPr>
          <w:sz w:val="20"/>
          <w:szCs w:val="20"/>
          <w:color w:val="auto"/>
        </w:rPr>
      </w:pPr>
    </w:p>
    <w:p>
      <w:pPr>
        <w:ind w:left="1040" w:hanging="228"/>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103" w:lineRule="exact"/>
        <w:rPr>
          <w:rFonts w:ascii="Arial" w:cs="Arial" w:eastAsia="Arial" w:hAnsi="Arial"/>
          <w:sz w:val="18"/>
          <w:szCs w:val="18"/>
          <w:color w:val="auto"/>
        </w:rPr>
      </w:pPr>
    </w:p>
    <w:p>
      <w:pPr>
        <w:ind w:left="1040" w:hanging="228"/>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distribution of cash flows from joint ventures;</w:t>
      </w:r>
    </w:p>
    <w:p>
      <w:pPr>
        <w:spacing w:after="0" w:line="90" w:lineRule="exact"/>
        <w:rPr>
          <w:rFonts w:ascii="Arial" w:cs="Arial" w:eastAsia="Arial" w:hAnsi="Arial"/>
          <w:sz w:val="18"/>
          <w:szCs w:val="18"/>
          <w:color w:val="auto"/>
        </w:rPr>
      </w:pPr>
    </w:p>
    <w:p>
      <w:pPr>
        <w:ind w:left="1040" w:hanging="228"/>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cash and cash equivalent balances;</w:t>
      </w:r>
    </w:p>
    <w:p>
      <w:pPr>
        <w:spacing w:after="0" w:line="103" w:lineRule="exact"/>
        <w:rPr>
          <w:rFonts w:ascii="Arial" w:cs="Arial" w:eastAsia="Arial" w:hAnsi="Arial"/>
          <w:sz w:val="18"/>
          <w:szCs w:val="18"/>
          <w:color w:val="auto"/>
        </w:rPr>
      </w:pPr>
    </w:p>
    <w:p>
      <w:pPr>
        <w:ind w:left="1040" w:hanging="228"/>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borrowings under BPLP’s 2021 Credit Facility, unsecured term loans, short-term bridge facilities and construction loans;</w:t>
      </w:r>
    </w:p>
    <w:p>
      <w:pPr>
        <w:spacing w:after="0" w:line="103" w:lineRule="exact"/>
        <w:rPr>
          <w:rFonts w:ascii="Arial" w:cs="Arial" w:eastAsia="Arial" w:hAnsi="Arial"/>
          <w:sz w:val="18"/>
          <w:szCs w:val="18"/>
          <w:color w:val="auto"/>
        </w:rPr>
      </w:pPr>
    </w:p>
    <w:p>
      <w:pPr>
        <w:ind w:left="1040" w:hanging="228"/>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long-term secured and unsecured indebtedness (including unsecured exchangeable indebtedness);</w:t>
      </w:r>
    </w:p>
    <w:p>
      <w:pPr>
        <w:spacing w:after="0" w:line="90" w:lineRule="exact"/>
        <w:rPr>
          <w:rFonts w:ascii="Arial" w:cs="Arial" w:eastAsia="Arial" w:hAnsi="Arial"/>
          <w:sz w:val="18"/>
          <w:szCs w:val="18"/>
          <w:color w:val="auto"/>
        </w:rPr>
      </w:pPr>
    </w:p>
    <w:p>
      <w:pPr>
        <w:ind w:left="1040" w:hanging="228"/>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real estate and interests in joint ventures owning real estate;</w:t>
      </w:r>
    </w:p>
    <w:p>
      <w:pPr>
        <w:spacing w:after="0" w:line="103" w:lineRule="exact"/>
        <w:rPr>
          <w:rFonts w:ascii="Arial" w:cs="Arial" w:eastAsia="Arial" w:hAnsi="Arial"/>
          <w:sz w:val="18"/>
          <w:szCs w:val="18"/>
          <w:color w:val="auto"/>
        </w:rPr>
      </w:pPr>
    </w:p>
    <w:p>
      <w:pPr>
        <w:ind w:left="1040" w:hanging="228"/>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private equity sources, including institutional investors; and</w:t>
      </w:r>
    </w:p>
    <w:p>
      <w:pPr>
        <w:spacing w:after="0" w:line="103" w:lineRule="exact"/>
        <w:rPr>
          <w:rFonts w:ascii="Arial" w:cs="Arial" w:eastAsia="Arial" w:hAnsi="Arial"/>
          <w:sz w:val="18"/>
          <w:szCs w:val="18"/>
          <w:color w:val="auto"/>
        </w:rPr>
      </w:pPr>
    </w:p>
    <w:p>
      <w:pPr>
        <w:ind w:left="1040" w:hanging="228"/>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issuances of BXP equity securities and/or preferred or common units of partnership interests in BPLP.</w:t>
      </w:r>
    </w:p>
    <w:p>
      <w:pPr>
        <w:spacing w:after="0" w:line="25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draw on multiple financing sources to fund our long-term capital needs. We expect to fund our current development/redevelopment projects primarily with our available cash balances, funding from institutional private equity partners, construction loans, unsecured term loans, and proceeds from possible asset sales, BPLP’s 2021 Credit Facility and BPLP's commercial paper program. We use BPLP’s 2021 Credit Facility primarily as a bridge facility to fund acquisition opportunities, refinance outstanding indebtedness, fund short-term development costs and for working capital. We also use BPLP’s 2021 Credit Facility to backstop BPLP’s commercial paper program. Although we may seek to fund our development projects with construction loans, which may require guarantees by BPLP, the source of financing for each particular project ultimately depends on several factors, including, among others, the project’s size and duration, whether the project is owned by a joint venture, the extent of pre-leasing, our available cash and access to cost effective capital at the given time.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80" w:firstLine="445"/>
        <w:spacing w:after="0" w:line="287" w:lineRule="auto"/>
        <w:rPr>
          <w:sz w:val="20"/>
          <w:szCs w:val="20"/>
          <w:color w:val="auto"/>
        </w:rPr>
      </w:pPr>
      <w:r>
        <w:rPr>
          <w:rFonts w:ascii="Arial" w:cs="Arial" w:eastAsia="Arial" w:hAnsi="Arial"/>
          <w:sz w:val="18"/>
          <w:szCs w:val="18"/>
          <w:color w:val="auto"/>
        </w:rPr>
        <w:t>The following table presents information on properties under construction/redevelopment as of September 30, 2024 (dollars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3"/>
                <w:szCs w:val="13"/>
                <w:b w:val="1"/>
                <w:bCs w:val="1"/>
                <w:color w:val="auto"/>
              </w:rPr>
              <w:t>Financings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Estimated</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rPr>
              <w:t>Estimated</w:t>
            </w: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Estimated</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Estimated</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6"/>
              </w:rPr>
              <w:t>Investment</w:t>
            </w:r>
          </w:p>
        </w:tc>
        <w:tc>
          <w:tcPr>
            <w:tcW w:w="860" w:type="dxa"/>
            <w:vAlign w:val="bottom"/>
            <w:gridSpan w:val="3"/>
            <w:vMerge w:val="continue"/>
          </w:tcPr>
          <w:p>
            <w:pPr>
              <w:spacing w:after="0"/>
              <w:rPr>
                <w:sz w:val="11"/>
                <w:szCs w:val="11"/>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6"/>
              </w:rPr>
              <w:t>Total</w:t>
            </w:r>
          </w:p>
        </w:tc>
        <w:tc>
          <w:tcPr>
            <w:tcW w:w="9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Future</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6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97"/>
              </w:rPr>
              <w:t>Construction/Redevelopment</w:t>
            </w:r>
          </w:p>
        </w:tc>
        <w:tc>
          <w:tcPr>
            <w:tcW w:w="100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4"/>
              </w:rPr>
              <w:t># of</w:t>
            </w:r>
          </w:p>
        </w:tc>
        <w:tc>
          <w:tcPr>
            <w:tcW w:w="78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Total</w:t>
            </w:r>
          </w:p>
        </w:tc>
        <w:tc>
          <w:tcPr>
            <w:tcW w:w="760" w:type="dxa"/>
            <w:vAlign w:val="bottom"/>
            <w:gridSpan w:val="2"/>
            <w:vMerge w:val="continue"/>
          </w:tcPr>
          <w:p>
            <w:pPr>
              <w:spacing w:after="0"/>
              <w:rPr>
                <w:sz w:val="10"/>
                <w:szCs w:val="10"/>
                <w:color w:val="auto"/>
              </w:rPr>
            </w:pPr>
          </w:p>
        </w:tc>
        <w:tc>
          <w:tcPr>
            <w:tcW w:w="94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at September</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Equity</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Percentage</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60" w:type="dxa"/>
            <w:vAlign w:val="bottom"/>
            <w:gridSpan w:val="5"/>
            <w:vMerge w:val="continue"/>
          </w:tcPr>
          <w:p>
            <w:pPr>
              <w:spacing w:after="0"/>
              <w:rPr>
                <w:sz w:val="10"/>
                <w:szCs w:val="10"/>
                <w:color w:val="auto"/>
              </w:rPr>
            </w:pPr>
          </w:p>
        </w:tc>
        <w:tc>
          <w:tcPr>
            <w:tcW w:w="100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96"/>
              </w:rPr>
              <w:t>Stabilization</w:t>
            </w:r>
          </w:p>
        </w:tc>
        <w:tc>
          <w:tcPr>
            <w:tcW w:w="10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Location</w:t>
            </w:r>
          </w:p>
        </w:tc>
        <w:tc>
          <w:tcPr>
            <w:tcW w:w="700" w:type="dxa"/>
            <w:vAlign w:val="bottom"/>
            <w:gridSpan w:val="2"/>
            <w:vMerge w:val="continue"/>
          </w:tcPr>
          <w:p>
            <w:pPr>
              <w:spacing w:after="0"/>
              <w:rPr>
                <w:sz w:val="10"/>
                <w:szCs w:val="10"/>
                <w:color w:val="auto"/>
              </w:rPr>
            </w:pP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Square</w:t>
            </w:r>
          </w:p>
        </w:tc>
        <w:tc>
          <w:tcPr>
            <w:tcW w:w="8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to Date (1)</w:t>
            </w:r>
          </w:p>
        </w:tc>
        <w:tc>
          <w:tcPr>
            <w:tcW w:w="8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Investment</w:t>
            </w:r>
          </w:p>
        </w:tc>
        <w:tc>
          <w:tcPr>
            <w:tcW w:w="76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94"/>
              </w:rPr>
              <w:t>Available</w:t>
            </w:r>
          </w:p>
        </w:tc>
        <w:tc>
          <w:tcPr>
            <w:tcW w:w="140" w:type="dxa"/>
            <w:vAlign w:val="bottom"/>
          </w:tcPr>
          <w:p>
            <w:pPr>
              <w:spacing w:after="0"/>
              <w:rPr>
                <w:sz w:val="10"/>
                <w:szCs w:val="10"/>
                <w:color w:val="auto"/>
              </w:rPr>
            </w:pPr>
          </w:p>
        </w:tc>
        <w:tc>
          <w:tcPr>
            <w:tcW w:w="720" w:type="dxa"/>
            <w:vAlign w:val="bottom"/>
          </w:tcPr>
          <w:p>
            <w:pPr>
              <w:jc w:val="right"/>
              <w:ind w:right="113"/>
              <w:spacing w:after="0" w:line="122" w:lineRule="exact"/>
              <w:rPr>
                <w:sz w:val="20"/>
                <w:szCs w:val="20"/>
                <w:color w:val="auto"/>
              </w:rPr>
            </w:pPr>
            <w:r>
              <w:rPr>
                <w:rFonts w:ascii="Arial" w:cs="Arial" w:eastAsia="Arial" w:hAnsi="Arial"/>
                <w:sz w:val="13"/>
                <w:szCs w:val="13"/>
                <w:b w:val="1"/>
                <w:bCs w:val="1"/>
                <w:color w:val="auto"/>
              </w:rPr>
              <w:t>30, 2024</w:t>
            </w:r>
          </w:p>
        </w:tc>
        <w:tc>
          <w:tcPr>
            <w:tcW w:w="80" w:type="dxa"/>
            <w:vAlign w:val="bottom"/>
          </w:tcPr>
          <w:p>
            <w:pPr>
              <w:spacing w:after="0"/>
              <w:rPr>
                <w:sz w:val="10"/>
                <w:szCs w:val="10"/>
                <w:color w:val="auto"/>
              </w:rPr>
            </w:pP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Requirement</w:t>
            </w:r>
          </w:p>
        </w:tc>
        <w:tc>
          <w:tcPr>
            <w:tcW w:w="8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3"/>
          </w:tcPr>
          <w:p>
            <w:pPr>
              <w:jc w:val="center"/>
              <w:ind w:right="800"/>
              <w:spacing w:after="0"/>
              <w:rPr>
                <w:sz w:val="20"/>
                <w:szCs w:val="20"/>
                <w:color w:val="auto"/>
              </w:rPr>
            </w:pPr>
            <w:r>
              <w:rPr>
                <w:rFonts w:ascii="Arial" w:cs="Arial" w:eastAsia="Arial" w:hAnsi="Arial"/>
                <w:sz w:val="13"/>
                <w:szCs w:val="13"/>
                <w:b w:val="1"/>
                <w:bCs w:val="1"/>
                <w:color w:val="auto"/>
                <w:w w:val="96"/>
              </w:rPr>
              <w:t>Properties</w:t>
            </w:r>
          </w:p>
        </w:tc>
        <w:tc>
          <w:tcPr>
            <w:tcW w:w="10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Date</w:t>
            </w:r>
          </w:p>
        </w:tc>
        <w:tc>
          <w:tcPr>
            <w:tcW w:w="1020" w:type="dxa"/>
            <w:vAlign w:val="bottom"/>
            <w:gridSpan w:val="2"/>
            <w:vMerge w:val="continue"/>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Buildings</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Feet</w:t>
            </w:r>
          </w:p>
        </w:tc>
        <w:tc>
          <w:tcPr>
            <w:tcW w:w="100" w:type="dxa"/>
            <w:vAlign w:val="bottom"/>
          </w:tcPr>
          <w:p>
            <w:pPr>
              <w:spacing w:after="0"/>
              <w:rPr>
                <w:sz w:val="16"/>
                <w:szCs w:val="16"/>
                <w:color w:val="auto"/>
              </w:rPr>
            </w:pPr>
          </w:p>
        </w:tc>
        <w:tc>
          <w:tcPr>
            <w:tcW w:w="68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(1)(2)</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73"/>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4"/>
              <w:spacing w:after="0"/>
              <w:rPr>
                <w:sz w:val="20"/>
                <w:szCs w:val="20"/>
                <w:color w:val="auto"/>
              </w:rPr>
            </w:pPr>
            <w:r>
              <w:rPr>
                <w:rFonts w:ascii="Arial" w:cs="Arial" w:eastAsia="Arial" w:hAnsi="Arial"/>
                <w:sz w:val="13"/>
                <w:szCs w:val="13"/>
                <w:b w:val="1"/>
                <w:bCs w:val="1"/>
                <w:color w:val="auto"/>
                <w:w w:val="96"/>
              </w:rPr>
              <w:t>(1)(2)(4)</w:t>
            </w:r>
          </w:p>
        </w:tc>
        <w:tc>
          <w:tcPr>
            <w:tcW w:w="80" w:type="dxa"/>
            <w:vAlign w:val="bottom"/>
          </w:tcPr>
          <w:p>
            <w:pPr>
              <w:spacing w:after="0"/>
              <w:rPr>
                <w:sz w:val="16"/>
                <w:szCs w:val="16"/>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b w:val="1"/>
                <w:bCs w:val="1"/>
                <w:color w:val="auto"/>
              </w:rPr>
              <w:t>Leased (5)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4"/>
          </w:tcPr>
          <w:p>
            <w:pPr>
              <w:spacing w:after="0" w:line="146" w:lineRule="exact"/>
              <w:rPr>
                <w:sz w:val="20"/>
                <w:szCs w:val="20"/>
                <w:color w:val="auto"/>
              </w:rPr>
            </w:pPr>
            <w:r>
              <w:rPr>
                <w:rFonts w:ascii="Arial" w:cs="Arial" w:eastAsia="Arial" w:hAnsi="Arial"/>
                <w:sz w:val="13"/>
                <w:szCs w:val="13"/>
                <w:b w:val="1"/>
                <w:bCs w:val="1"/>
                <w:color w:val="auto"/>
              </w:rPr>
              <w:t>Office</w:t>
            </w: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2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360 Park Avenue South (71%</w:t>
            </w: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Q4 2026</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New York, NY</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450,000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352,530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418,300</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$ 156,470</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156,470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65,770</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26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ownership) (Redevelopment)</w:t>
            </w:r>
          </w:p>
        </w:tc>
        <w:tc>
          <w:tcPr>
            <w:tcW w:w="100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5"/>
          </w:tcPr>
          <w:p>
            <w:pPr>
              <w:spacing w:after="0"/>
              <w:rPr>
                <w:sz w:val="20"/>
                <w:szCs w:val="20"/>
                <w:color w:val="auto"/>
              </w:rPr>
            </w:pPr>
            <w:r>
              <w:rPr>
                <w:rFonts w:ascii="Arial" w:cs="Arial" w:eastAsia="Arial" w:hAnsi="Arial"/>
                <w:sz w:val="13"/>
                <w:szCs w:val="13"/>
                <w:color w:val="auto"/>
              </w:rPr>
              <w:t>Reston Next Office Phase II</w:t>
            </w: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rPr>
              <w:t>Q2 2026</w:t>
            </w: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90,000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44,207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61,000</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16,793</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4 %</w:t>
            </w:r>
          </w:p>
        </w:tc>
        <w:tc>
          <w:tcPr>
            <w:tcW w:w="320" w:type="dxa"/>
            <w:vAlign w:val="bottom"/>
          </w:tcPr>
          <w:p>
            <w:pPr>
              <w:ind w:lef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CCEEFF"/>
            </w:tcBorders>
            <w:gridSpan w:val="9"/>
            <w:shd w:val="clear" w:color="auto" w:fill="CCEEFF"/>
          </w:tcPr>
          <w:p>
            <w:pPr>
              <w:ind w:left="160"/>
              <w:spacing w:after="0"/>
              <w:rPr>
                <w:sz w:val="20"/>
                <w:szCs w:val="20"/>
                <w:color w:val="auto"/>
              </w:rPr>
            </w:pPr>
            <w:r>
              <w:rPr>
                <w:rFonts w:ascii="Arial" w:cs="Arial" w:eastAsia="Arial" w:hAnsi="Arial"/>
                <w:sz w:val="13"/>
                <w:szCs w:val="13"/>
                <w:b w:val="1"/>
                <w:bCs w:val="1"/>
                <w:color w:val="auto"/>
              </w:rPr>
              <w:t>Total Office Properties under Construction/Redevelopment</w:t>
            </w: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2</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540,000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396,737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479,300</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156,470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156,470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82,563</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Laboratory/Life Sciences</w:t>
            </w:r>
          </w:p>
        </w:tc>
        <w:tc>
          <w:tcPr>
            <w:tcW w:w="640" w:type="dxa"/>
            <w:vAlign w:val="bottom"/>
            <w:tcBorders>
              <w:bottom w:val="single" w:sz="8" w:color="CCEEFF"/>
            </w:tcBorders>
            <w:gridSpan w:val="2"/>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5"/>
          </w:tcPr>
          <w:p>
            <w:pPr>
              <w:spacing w:after="0"/>
              <w:rPr>
                <w:sz w:val="20"/>
                <w:szCs w:val="20"/>
                <w:color w:val="auto"/>
              </w:rPr>
            </w:pPr>
            <w:r>
              <w:rPr>
                <w:rFonts w:ascii="Arial" w:cs="Arial" w:eastAsia="Arial" w:hAnsi="Arial"/>
                <w:sz w:val="13"/>
                <w:szCs w:val="13"/>
                <w:color w:val="auto"/>
              </w:rPr>
              <w:t>103 CityPoint</w:t>
            </w: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rPr>
              <w:t>Q4 2026</w:t>
            </w: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Waltham, MA</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113,000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91,682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115,100</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23,418</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320" w:type="dxa"/>
            <w:vAlign w:val="bottom"/>
          </w:tcPr>
          <w:p>
            <w:pPr>
              <w:ind w:lef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260" w:type="dxa"/>
            <w:vAlign w:val="bottom"/>
            <w:gridSpan w:val="5"/>
            <w:shd w:val="clear" w:color="auto" w:fill="CCEEFF"/>
          </w:tcPr>
          <w:p>
            <w:pPr>
              <w:spacing w:after="0" w:line="142" w:lineRule="exact"/>
              <w:rPr>
                <w:sz w:val="20"/>
                <w:szCs w:val="20"/>
                <w:color w:val="auto"/>
              </w:rPr>
            </w:pPr>
            <w:r>
              <w:rPr>
                <w:rFonts w:ascii="Arial" w:cs="Arial" w:eastAsia="Arial" w:hAnsi="Arial"/>
                <w:sz w:val="13"/>
                <w:szCs w:val="13"/>
                <w:color w:val="auto"/>
              </w:rPr>
              <w:t>300 Binney Street (55% ownership)</w:t>
            </w: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Q4 2024</w:t>
            </w:r>
          </w:p>
        </w:tc>
        <w:tc>
          <w:tcPr>
            <w:tcW w:w="10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Cambridge,</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236,000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56,357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112,900</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56,543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26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(Redevelopment)</w:t>
            </w:r>
          </w:p>
        </w:tc>
        <w:tc>
          <w:tcPr>
            <w:tcW w:w="1000" w:type="dxa"/>
            <w:vAlign w:val="bottom"/>
            <w:gridSpan w:val="2"/>
            <w:vMerge w:val="continue"/>
            <w:shd w:val="clear" w:color="auto" w:fill="CCEEFF"/>
          </w:tcPr>
          <w:p>
            <w:pPr>
              <w:spacing w:after="0"/>
              <w:rPr>
                <w:sz w:val="16"/>
                <w:szCs w:val="16"/>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w:t>
            </w: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5"/>
          </w:tcPr>
          <w:p>
            <w:pPr>
              <w:spacing w:after="0" w:line="136" w:lineRule="exact"/>
              <w:rPr>
                <w:sz w:val="20"/>
                <w:szCs w:val="20"/>
                <w:color w:val="auto"/>
              </w:rPr>
            </w:pPr>
            <w:r>
              <w:rPr>
                <w:rFonts w:ascii="Arial" w:cs="Arial" w:eastAsia="Arial" w:hAnsi="Arial"/>
                <w:sz w:val="13"/>
                <w:szCs w:val="13"/>
                <w:color w:val="auto"/>
              </w:rPr>
              <w:t>651 Gateway (50% ownership)</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Q3 2026</w:t>
            </w:r>
          </w:p>
        </w:tc>
        <w:tc>
          <w:tcPr>
            <w:tcW w:w="102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South San</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1"/>
                <w:szCs w:val="11"/>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327,000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130,506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167,100</w:t>
            </w:r>
          </w:p>
        </w:tc>
        <w:tc>
          <w:tcPr>
            <w:tcW w:w="8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36,594</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21 %</w:t>
            </w:r>
          </w:p>
        </w:tc>
        <w:tc>
          <w:tcPr>
            <w:tcW w:w="320" w:type="dxa"/>
            <w:vAlign w:val="bottom"/>
            <w:vMerge w:val="restart"/>
          </w:tcPr>
          <w:p>
            <w:pPr>
              <w:ind w:lef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gridSpan w:val="5"/>
          </w:tcPr>
          <w:p>
            <w:pPr>
              <w:ind w:left="160"/>
              <w:spacing w:after="0"/>
              <w:rPr>
                <w:sz w:val="20"/>
                <w:szCs w:val="20"/>
                <w:color w:val="auto"/>
              </w:rPr>
            </w:pPr>
            <w:r>
              <w:rPr>
                <w:rFonts w:ascii="Arial" w:cs="Arial" w:eastAsia="Arial" w:hAnsi="Arial"/>
                <w:sz w:val="13"/>
                <w:szCs w:val="13"/>
                <w:color w:val="auto"/>
              </w:rPr>
              <w:t>(Redevelopment)</w:t>
            </w:r>
          </w:p>
        </w:tc>
        <w:tc>
          <w:tcPr>
            <w:tcW w:w="1000" w:type="dxa"/>
            <w:vAlign w:val="bottom"/>
            <w:gridSpan w:val="2"/>
            <w:vMerge w:val="continue"/>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Francisco, CA</w:t>
            </w: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260" w:type="dxa"/>
            <w:vAlign w:val="bottom"/>
            <w:gridSpan w:val="5"/>
            <w:vMerge w:val="restart"/>
            <w:shd w:val="clear" w:color="auto" w:fill="CCEEFF"/>
          </w:tcPr>
          <w:p>
            <w:pPr>
              <w:spacing w:after="0"/>
              <w:rPr>
                <w:sz w:val="20"/>
                <w:szCs w:val="20"/>
                <w:color w:val="auto"/>
              </w:rPr>
            </w:pPr>
            <w:r>
              <w:rPr>
                <w:rFonts w:ascii="Arial" w:cs="Arial" w:eastAsia="Arial" w:hAnsi="Arial"/>
                <w:sz w:val="13"/>
                <w:szCs w:val="13"/>
                <w:color w:val="auto"/>
              </w:rPr>
              <w:t>290 Binney Street (55% ownership)</w:t>
            </w: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Q2 2026</w:t>
            </w:r>
          </w:p>
        </w:tc>
        <w:tc>
          <w:tcPr>
            <w:tcW w:w="10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Cambridge,</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573,000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209,483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508,000</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298,517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260" w:type="dxa"/>
            <w:vAlign w:val="bottom"/>
            <w:gridSpan w:val="5"/>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w:t>
            </w: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gridSpan w:val="7"/>
          </w:tcPr>
          <w:p>
            <w:pPr>
              <w:ind w:left="160"/>
              <w:spacing w:after="0" w:line="115" w:lineRule="exact"/>
              <w:rPr>
                <w:sz w:val="20"/>
                <w:szCs w:val="20"/>
                <w:color w:val="auto"/>
              </w:rPr>
            </w:pPr>
            <w:r>
              <w:rPr>
                <w:rFonts w:ascii="Arial" w:cs="Arial" w:eastAsia="Arial" w:hAnsi="Arial"/>
                <w:sz w:val="13"/>
                <w:szCs w:val="13"/>
                <w:b w:val="1"/>
                <w:bCs w:val="1"/>
                <w:color w:val="auto"/>
              </w:rPr>
              <w:t>Total Laboratory/Life Sciences Properties under</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4</w:t>
            </w:r>
          </w:p>
        </w:tc>
        <w:tc>
          <w:tcPr>
            <w:tcW w:w="80" w:type="dxa"/>
            <w:vAlign w:val="bottom"/>
          </w:tcPr>
          <w:p>
            <w:pPr>
              <w:spacing w:after="0"/>
              <w:rPr>
                <w:sz w:val="10"/>
                <w:szCs w:val="10"/>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1,249,000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488,028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903,100</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415,072</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70 %</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60" w:type="dxa"/>
            <w:vAlign w:val="bottom"/>
            <w:gridSpan w:val="5"/>
          </w:tcPr>
          <w:p>
            <w:pPr>
              <w:ind w:left="340"/>
              <w:spacing w:after="0"/>
              <w:rPr>
                <w:sz w:val="20"/>
                <w:szCs w:val="20"/>
                <w:color w:val="auto"/>
              </w:rPr>
            </w:pPr>
            <w:r>
              <w:rPr>
                <w:rFonts w:ascii="Arial" w:cs="Arial" w:eastAsia="Arial" w:hAnsi="Arial"/>
                <w:sz w:val="13"/>
                <w:szCs w:val="13"/>
                <w:b w:val="1"/>
                <w:bCs w:val="1"/>
                <w:color w:val="auto"/>
              </w:rPr>
              <w:t>Construction/Redevelopment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gridSpan w:val="5"/>
          </w:tcPr>
          <w:p>
            <w:pPr>
              <w:spacing w:after="0"/>
              <w:rPr>
                <w:sz w:val="20"/>
                <w:szCs w:val="20"/>
                <w:color w:val="auto"/>
              </w:rPr>
            </w:pPr>
            <w:r>
              <w:rPr>
                <w:rFonts w:ascii="Arial" w:cs="Arial" w:eastAsia="Arial" w:hAnsi="Arial"/>
                <w:sz w:val="13"/>
                <w:szCs w:val="13"/>
                <w:b w:val="1"/>
                <w:bCs w:val="1"/>
                <w:color w:val="auto"/>
              </w:rPr>
              <w:t>Residential</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260" w:type="dxa"/>
            <w:vAlign w:val="bottom"/>
            <w:gridSpan w:val="5"/>
            <w:shd w:val="clear" w:color="auto" w:fill="CCEEFF"/>
          </w:tcPr>
          <w:p>
            <w:pPr>
              <w:spacing w:after="0" w:line="136" w:lineRule="exact"/>
              <w:rPr>
                <w:sz w:val="20"/>
                <w:szCs w:val="20"/>
                <w:color w:val="auto"/>
              </w:rPr>
            </w:pPr>
            <w:r>
              <w:rPr>
                <w:rFonts w:ascii="Arial" w:cs="Arial" w:eastAsia="Arial" w:hAnsi="Arial"/>
                <w:sz w:val="13"/>
                <w:szCs w:val="13"/>
                <w:color w:val="auto"/>
              </w:rPr>
              <w:t>Skymark - Reston Next Residential</w:t>
            </w: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Q2 2026</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417,000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42,192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47,700</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24,934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2,442</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36 %</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26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(508 units) (20% ownership)</w:t>
            </w:r>
          </w:p>
        </w:tc>
        <w:tc>
          <w:tcPr>
            <w:tcW w:w="100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5"/>
            <w:vMerge w:val="restart"/>
          </w:tcPr>
          <w:p>
            <w:pPr>
              <w:spacing w:after="0"/>
              <w:rPr>
                <w:sz w:val="20"/>
                <w:szCs w:val="20"/>
                <w:color w:val="auto"/>
              </w:rPr>
            </w:pPr>
            <w:r>
              <w:rPr>
                <w:rFonts w:ascii="Arial" w:cs="Arial" w:eastAsia="Arial" w:hAnsi="Arial"/>
                <w:sz w:val="13"/>
                <w:szCs w:val="13"/>
                <w:color w:val="auto"/>
              </w:rPr>
              <w:t>121 Broadway Street (439 units)</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Q2 2029</w:t>
            </w:r>
          </w:p>
        </w:tc>
        <w:tc>
          <w:tcPr>
            <w:tcW w:w="102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Cambridge,</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1"/>
                <w:szCs w:val="11"/>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492,000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78,889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597,800</w:t>
            </w:r>
          </w:p>
        </w:tc>
        <w:tc>
          <w:tcPr>
            <w:tcW w:w="8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518,911</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gridSpan w:val="5"/>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Borders>
              <w:top w:val="single" w:sz="8" w:color="CCEEFF"/>
            </w:tcBorders>
            <w:shd w:val="clear" w:color="auto" w:fill="CCEEFF"/>
          </w:tcPr>
          <w:p>
            <w:pPr>
              <w:spacing w:after="0"/>
              <w:rPr>
                <w:sz w:val="10"/>
                <w:szCs w:val="10"/>
                <w:color w:val="auto"/>
              </w:rPr>
            </w:pPr>
          </w:p>
        </w:tc>
        <w:tc>
          <w:tcPr>
            <w:tcW w:w="3260" w:type="dxa"/>
            <w:vAlign w:val="bottom"/>
            <w:tcBorders>
              <w:top w:val="single" w:sz="8" w:color="CCEEFF"/>
            </w:tcBorders>
            <w:gridSpan w:val="7"/>
            <w:shd w:val="clear" w:color="auto" w:fill="CCEEFF"/>
          </w:tcPr>
          <w:p>
            <w:pPr>
              <w:ind w:left="160"/>
              <w:spacing w:after="0" w:line="121" w:lineRule="exact"/>
              <w:rPr>
                <w:sz w:val="20"/>
                <w:szCs w:val="20"/>
                <w:color w:val="auto"/>
              </w:rPr>
            </w:pPr>
            <w:r>
              <w:rPr>
                <w:rFonts w:ascii="Arial" w:cs="Arial" w:eastAsia="Arial" w:hAnsi="Arial"/>
                <w:sz w:val="13"/>
                <w:szCs w:val="13"/>
                <w:b w:val="1"/>
                <w:bCs w:val="1"/>
                <w:color w:val="auto"/>
              </w:rPr>
              <w:t>Total Residential Properties under</w:t>
            </w: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2</w:t>
            </w: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909,000</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121,081</w:t>
            </w: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645,500</w:t>
            </w: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28,000</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24,934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521,353</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36 %</w:t>
            </w:r>
          </w:p>
        </w:tc>
        <w:tc>
          <w:tcPr>
            <w:tcW w:w="3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260" w:type="dxa"/>
            <w:vAlign w:val="bottom"/>
            <w:gridSpan w:val="5"/>
            <w:shd w:val="clear" w:color="auto" w:fill="CCEEFF"/>
          </w:tcPr>
          <w:p>
            <w:pPr>
              <w:ind w:left="160"/>
              <w:spacing w:after="0"/>
              <w:rPr>
                <w:sz w:val="20"/>
                <w:szCs w:val="20"/>
                <w:color w:val="auto"/>
              </w:rPr>
            </w:pPr>
            <w:r>
              <w:rPr>
                <w:rFonts w:ascii="Arial" w:cs="Arial" w:eastAsia="Arial" w:hAnsi="Arial"/>
                <w:sz w:val="13"/>
                <w:szCs w:val="13"/>
                <w:b w:val="1"/>
                <w:bCs w:val="1"/>
                <w:color w:val="auto"/>
              </w:rPr>
              <w:t>Construction</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Retail</w:t>
            </w:r>
          </w:p>
        </w:tc>
        <w:tc>
          <w:tcPr>
            <w:tcW w:w="1880" w:type="dxa"/>
            <w:vAlign w:val="bottom"/>
            <w:tcBorders>
              <w:bottom w:val="single" w:sz="8" w:color="CCEEFF"/>
            </w:tcBorders>
            <w:gridSpan w:val="4"/>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gridSpan w:val="5"/>
          </w:tcPr>
          <w:p>
            <w:pPr>
              <w:spacing w:after="0"/>
              <w:rPr>
                <w:sz w:val="20"/>
                <w:szCs w:val="20"/>
                <w:color w:val="auto"/>
              </w:rPr>
            </w:pPr>
            <w:r>
              <w:rPr>
                <w:rFonts w:ascii="Arial" w:cs="Arial" w:eastAsia="Arial" w:hAnsi="Arial"/>
                <w:sz w:val="13"/>
                <w:szCs w:val="13"/>
                <w:color w:val="auto"/>
              </w:rPr>
              <w:t>Reston Next Retail</w:t>
            </w:r>
          </w:p>
        </w:tc>
        <w:tc>
          <w:tcPr>
            <w:tcW w:w="10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3"/>
                <w:szCs w:val="13"/>
                <w:color w:val="auto"/>
              </w:rPr>
              <w:t>Q4 2025</w:t>
            </w:r>
          </w:p>
        </w:tc>
        <w:tc>
          <w:tcPr>
            <w:tcW w:w="1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33,000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23,259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26,600</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3,341</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13 %</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3260" w:type="dxa"/>
            <w:vAlign w:val="bottom"/>
            <w:gridSpan w:val="7"/>
            <w:shd w:val="clear" w:color="auto" w:fill="CCEEFF"/>
          </w:tcPr>
          <w:p>
            <w:pPr>
              <w:ind w:left="160"/>
              <w:spacing w:after="0"/>
              <w:rPr>
                <w:sz w:val="20"/>
                <w:szCs w:val="20"/>
                <w:color w:val="auto"/>
              </w:rPr>
            </w:pPr>
            <w:r>
              <w:rPr>
                <w:rFonts w:ascii="Arial" w:cs="Arial" w:eastAsia="Arial" w:hAnsi="Arial"/>
                <w:sz w:val="13"/>
                <w:szCs w:val="13"/>
                <w:b w:val="1"/>
                <w:bCs w:val="1"/>
                <w:color w:val="auto"/>
              </w:rPr>
              <w:t>Total Retail Properties under Construction</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23,259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26,600</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3,341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9"/>
            <w:shd w:val="clear" w:color="auto" w:fill="CCEEFF"/>
          </w:tcPr>
          <w:p>
            <w:pPr>
              <w:ind w:left="160"/>
              <w:spacing w:after="0"/>
              <w:rPr>
                <w:sz w:val="20"/>
                <w:szCs w:val="20"/>
                <w:color w:val="auto"/>
              </w:rPr>
            </w:pPr>
            <w:r>
              <w:rPr>
                <w:rFonts w:ascii="Arial" w:cs="Arial" w:eastAsia="Arial" w:hAnsi="Arial"/>
                <w:sz w:val="13"/>
                <w:szCs w:val="13"/>
                <w:b w:val="1"/>
                <w:bCs w:val="1"/>
                <w:color w:val="auto"/>
              </w:rPr>
              <w:t>Total Properties under Construction/Redevelopment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9</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2,731,000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1,029,105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2,054,500</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$ 184,470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181,404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1,022,329</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54 %</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68"/>
        </w:trPr>
        <w:tc>
          <w:tcPr>
            <w:tcW w:w="164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___________</w:t>
            </w: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Represents our share.</w:t>
      </w:r>
    </w:p>
    <w:p>
      <w:pPr>
        <w:spacing w:after="0" w:line="13" w:lineRule="exact"/>
        <w:rPr>
          <w:rFonts w:ascii="Arial" w:cs="Arial" w:eastAsia="Arial" w:hAnsi="Arial"/>
          <w:sz w:val="15"/>
          <w:szCs w:val="15"/>
          <w:color w:val="auto"/>
        </w:rPr>
      </w:pPr>
    </w:p>
    <w:p>
      <w:pPr>
        <w:ind w:left="580" w:right="340" w:hanging="329"/>
        <w:spacing w:after="0" w:line="256" w:lineRule="auto"/>
        <w:tabs>
          <w:tab w:leader="none" w:pos="578" w:val="left"/>
        </w:tabs>
        <w:numPr>
          <w:ilvl w:val="0"/>
          <w:numId w:val="57"/>
        </w:numPr>
        <w:rPr>
          <w:rFonts w:ascii="Arial" w:cs="Arial" w:eastAsia="Arial" w:hAnsi="Arial"/>
          <w:sz w:val="15"/>
          <w:szCs w:val="15"/>
          <w:color w:val="auto"/>
        </w:rPr>
      </w:pPr>
      <w:r>
        <w:rPr>
          <w:rFonts w:ascii="Arial" w:cs="Arial" w:eastAsia="Arial" w:hAnsi="Arial"/>
          <w:sz w:val="15"/>
          <w:szCs w:val="15"/>
          <w:color w:val="auto"/>
        </w:rPr>
        <w:t>Each of Investment to Date, Estimated Total Investment and Estimated Future Equity Requirement represent our share of acquisition expenses, as applicable, and reflect our share of the estimated net revenue/expenses that we expect to incur prior to stabilization of the project, including any amounts actually received or paid through September 30, 2024.</w:t>
      </w:r>
    </w:p>
    <w:p>
      <w:pPr>
        <w:spacing w:after="0" w:line="1" w:lineRule="exact"/>
        <w:rPr>
          <w:rFonts w:ascii="Arial" w:cs="Arial" w:eastAsia="Arial" w:hAnsi="Arial"/>
          <w:sz w:val="15"/>
          <w:szCs w:val="15"/>
          <w:color w:val="auto"/>
        </w:rPr>
      </w:pPr>
    </w:p>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Includes approximately $60.4 million of unpaid but accrued construction costs and leasing commissions.</w:t>
      </w:r>
    </w:p>
    <w:p>
      <w:pPr>
        <w:spacing w:after="0" w:line="5" w:lineRule="exact"/>
        <w:rPr>
          <w:rFonts w:ascii="Arial" w:cs="Arial" w:eastAsia="Arial" w:hAnsi="Arial"/>
          <w:sz w:val="15"/>
          <w:szCs w:val="15"/>
          <w:color w:val="auto"/>
        </w:rPr>
      </w:pPr>
    </w:p>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Excludes approximately $60.4 million of unpaid but accrued construction costs and leasing commissions.</w:t>
      </w:r>
    </w:p>
    <w:p>
      <w:pPr>
        <w:spacing w:after="0" w:line="13" w:lineRule="exact"/>
        <w:rPr>
          <w:rFonts w:ascii="Arial" w:cs="Arial" w:eastAsia="Arial" w:hAnsi="Arial"/>
          <w:sz w:val="15"/>
          <w:szCs w:val="15"/>
          <w:color w:val="auto"/>
        </w:rPr>
      </w:pPr>
    </w:p>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Represents percentage leased as of October 31, 2024, including leases with future commencement dates.</w:t>
      </w:r>
    </w:p>
    <w:p>
      <w:pPr>
        <w:spacing w:after="0" w:line="5" w:lineRule="exact"/>
        <w:rPr>
          <w:rFonts w:ascii="Arial" w:cs="Arial" w:eastAsia="Arial" w:hAnsi="Arial"/>
          <w:sz w:val="15"/>
          <w:szCs w:val="15"/>
          <w:color w:val="auto"/>
        </w:rPr>
      </w:pPr>
    </w:p>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As of September 30, 2024, this property was 8% placed in-service.</w:t>
      </w:r>
    </w:p>
    <w:p>
      <w:pPr>
        <w:spacing w:after="0" w:line="13" w:lineRule="exact"/>
        <w:rPr>
          <w:rFonts w:ascii="Arial" w:cs="Arial" w:eastAsia="Arial" w:hAnsi="Arial"/>
          <w:sz w:val="15"/>
          <w:szCs w:val="15"/>
          <w:color w:val="auto"/>
        </w:rPr>
      </w:pPr>
    </w:p>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As of September 30, 2024, this property was 2% placed in-service.</w:t>
      </w:r>
    </w:p>
    <w:p>
      <w:pPr>
        <w:spacing w:after="0" w:line="16" w:lineRule="exact"/>
        <w:rPr>
          <w:rFonts w:ascii="Arial" w:cs="Arial" w:eastAsia="Arial" w:hAnsi="Arial"/>
          <w:sz w:val="15"/>
          <w:szCs w:val="15"/>
          <w:color w:val="auto"/>
        </w:rPr>
      </w:pPr>
    </w:p>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As of September 30, 2024, this property was 4% placed in-service.</w:t>
      </w:r>
    </w:p>
    <w:p>
      <w:pPr>
        <w:spacing w:after="0" w:line="5" w:lineRule="exact"/>
        <w:rPr>
          <w:rFonts w:ascii="Arial" w:cs="Arial" w:eastAsia="Arial" w:hAnsi="Arial"/>
          <w:sz w:val="15"/>
          <w:szCs w:val="15"/>
          <w:color w:val="auto"/>
        </w:rPr>
      </w:pPr>
    </w:p>
    <w:p>
      <w:pPr>
        <w:ind w:left="580" w:right="120" w:hanging="329"/>
        <w:spacing w:after="0" w:line="253" w:lineRule="auto"/>
        <w:tabs>
          <w:tab w:leader="none" w:pos="578"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institutional investor funded approximately $212.9 million at closing for its investment in 300 Binney Street. We withdrew approximately $212.9 million at closing and will fund all future costs of the project. See Note 14 to the Consolidated Financial Statements.</w:t>
      </w:r>
    </w:p>
    <w:p>
      <w:pPr>
        <w:ind w:left="560" w:hanging="309"/>
        <w:spacing w:after="0"/>
        <w:tabs>
          <w:tab w:leader="none" w:pos="5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As of September 30, 2024, this property was 21% placed in-service.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0" w:hanging="329"/>
        <w:spacing w:after="0" w:line="258" w:lineRule="auto"/>
        <w:tabs>
          <w:tab w:leader="none" w:pos="557" w:val="left"/>
        </w:tabs>
        <w:numPr>
          <w:ilvl w:val="0"/>
          <w:numId w:val="58"/>
        </w:numPr>
        <w:rPr>
          <w:rFonts w:ascii="Arial" w:cs="Arial" w:eastAsia="Arial" w:hAnsi="Arial"/>
          <w:sz w:val="15"/>
          <w:szCs w:val="15"/>
          <w:color w:val="auto"/>
        </w:rPr>
      </w:pPr>
      <w:r>
        <w:rPr>
          <w:rFonts w:ascii="Arial" w:cs="Arial" w:eastAsia="Arial" w:hAnsi="Arial"/>
          <w:sz w:val="15"/>
          <w:szCs w:val="15"/>
          <w:color w:val="auto"/>
        </w:rPr>
        <w:t>On March 21, 2024, we completed the sale of a 45% interest in 290 Binney Street (See Note 9 to the Consolidated Financial Statements). The project budget reflects our 55% share of joint venture costs related to 290 Binney Street. We have the sole obligation to construct an underground electrical vault for an estimated gross cost of $183.9 million. We have entered into a contract to sell the electrical vault to a third party for a fixed price of $84.1 million upon completion. The net investment of $99.8 million will be included in our outside basis in 290 Binney Street. We have invested $58.9 million for the vault as of September 30, 2024.</w:t>
      </w:r>
    </w:p>
    <w:p>
      <w:pPr>
        <w:spacing w:after="0" w:line="2" w:lineRule="exact"/>
        <w:rPr>
          <w:rFonts w:ascii="Arial" w:cs="Arial" w:eastAsia="Arial" w:hAnsi="Arial"/>
          <w:sz w:val="15"/>
          <w:szCs w:val="15"/>
          <w:color w:val="auto"/>
        </w:rPr>
      </w:pPr>
    </w:p>
    <w:p>
      <w:pPr>
        <w:ind w:left="560" w:hanging="309"/>
        <w:spacing w:after="0"/>
        <w:tabs>
          <w:tab w:leader="none" w:pos="5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As of September 30, 2024, this property was 42% placed in-service.</w:t>
      </w:r>
    </w:p>
    <w:p>
      <w:pPr>
        <w:spacing w:after="0" w:line="16" w:lineRule="exact"/>
        <w:rPr>
          <w:rFonts w:ascii="Arial" w:cs="Arial" w:eastAsia="Arial" w:hAnsi="Arial"/>
          <w:sz w:val="15"/>
          <w:szCs w:val="15"/>
          <w:color w:val="auto"/>
        </w:rPr>
      </w:pPr>
    </w:p>
    <w:p>
      <w:pPr>
        <w:ind w:left="560" w:hanging="309"/>
        <w:spacing w:after="0"/>
        <w:tabs>
          <w:tab w:leader="none" w:pos="5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Percentage leased excludes the residential properties.</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We seek to maximize income from our existing properties by maintaining quality standards for our properties that promote high occupancy rates and permit increases in rental rates while reducing client turnover and controlling operating expenses. Our sources of revenue also include third-party fees generated by our property management, leasing, development and construction businesses, interest earned on cash deposits and, from time to time, the sale of assets. We believe these sources of capital will continue to provide the funds necessary for our short-term liquidity needs. Material adverse changes in one or more sources of capital may adversely affect our net cash flows.</w:t>
      </w:r>
    </w:p>
    <w:p>
      <w:pPr>
        <w:spacing w:after="0" w:line="128" w:lineRule="exact"/>
        <w:rPr>
          <w:sz w:val="20"/>
          <w:szCs w:val="20"/>
          <w:color w:val="auto"/>
        </w:rPr>
      </w:pPr>
    </w:p>
    <w:p>
      <w:pPr>
        <w:jc w:val="both"/>
        <w:ind w:right="880" w:firstLine="445"/>
        <w:spacing w:after="0" w:line="318" w:lineRule="auto"/>
        <w:rPr>
          <w:sz w:val="20"/>
          <w:szCs w:val="20"/>
          <w:color w:val="auto"/>
        </w:rPr>
      </w:pPr>
      <w:r>
        <w:rPr>
          <w:rFonts w:ascii="Arial" w:cs="Arial" w:eastAsia="Arial" w:hAnsi="Arial"/>
          <w:sz w:val="17"/>
          <w:szCs w:val="17"/>
          <w:color w:val="auto"/>
        </w:rPr>
        <w:t>As of September 30, 2024, we had nine properties under development or redevelopment. BXP’s Share of the estimated total investment for these projects is approximately $2.2 billion, of which approximately $1.1 billion remains to be funded through 2029.</w:t>
      </w:r>
    </w:p>
    <w:p>
      <w:pPr>
        <w:spacing w:after="0" w:line="76" w:lineRule="exact"/>
        <w:rPr>
          <w:sz w:val="20"/>
          <w:szCs w:val="20"/>
          <w:color w:val="auto"/>
        </w:rPr>
      </w:pPr>
    </w:p>
    <w:p>
      <w:pPr>
        <w:ind w:right="460" w:firstLine="445"/>
        <w:spacing w:after="0" w:line="287" w:lineRule="auto"/>
        <w:rPr>
          <w:sz w:val="20"/>
          <w:szCs w:val="20"/>
          <w:color w:val="auto"/>
        </w:rPr>
      </w:pPr>
      <w:r>
        <w:rPr>
          <w:rFonts w:ascii="Arial" w:cs="Arial" w:eastAsia="Arial" w:hAnsi="Arial"/>
          <w:sz w:val="18"/>
          <w:szCs w:val="18"/>
          <w:color w:val="auto"/>
        </w:rPr>
        <w:t>Since the second quarter of 2024, we further strengthened our balance sheet by sourcing additional liquidity. Notable transactions include:</w:t>
      </w:r>
    </w:p>
    <w:p>
      <w:pPr>
        <w:spacing w:after="0" w:line="99" w:lineRule="exact"/>
        <w:rPr>
          <w:sz w:val="20"/>
          <w:szCs w:val="20"/>
          <w:color w:val="auto"/>
        </w:rPr>
      </w:pPr>
    </w:p>
    <w:p>
      <w:pPr>
        <w:ind w:left="1040" w:right="20" w:hanging="228"/>
        <w:spacing w:after="0" w:line="257" w:lineRule="auto"/>
        <w:tabs>
          <w:tab w:leader="none" w:pos="10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August 26, 2024, BPLP completed a public offering of $850.0 million in aggregate principal amount of its 5.750% unsecured senior notes due 2035. The notes were priced at 99.961% of the principal amount to yield an effective rate (including financing fees) of approximately 5.842% per annum to maturity. The notes will mature on January 15, 2035, unless earlier redeemed. The aggregate net proceeds from the offering were approximately $841.9 million after deducting underwriting discounts and transaction expenses. We intend to use the net proceeds to repay the $850.0 million of 3.200% unsecured senior notes due January 15, 2025.</w:t>
      </w:r>
    </w:p>
    <w:p>
      <w:pPr>
        <w:spacing w:after="0" w:line="128" w:lineRule="exact"/>
        <w:rPr>
          <w:rFonts w:ascii="Arial" w:cs="Arial" w:eastAsia="Arial" w:hAnsi="Arial"/>
          <w:sz w:val="18"/>
          <w:szCs w:val="18"/>
          <w:color w:val="auto"/>
        </w:rPr>
      </w:pPr>
    </w:p>
    <w:p>
      <w:pPr>
        <w:ind w:left="1040" w:hanging="228"/>
        <w:spacing w:after="0" w:line="255" w:lineRule="auto"/>
        <w:tabs>
          <w:tab w:leader="none" w:pos="10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September 27, 2024, BPLP entered into the 2024 Unsecured Term Loan that provides for a $100.0 million unsecured term loan facility with the Lender under the SMBP Loan. The 2024 Unsecured Term Loan bears interest at a variable rate, matures on September 26, 2025 and has three, one-year extension options, subject to customary conditions. The interest rate is subject to an existing interest rate swap to fix Daily Simple SOFR at a fixed interest rate of approximately 2.688% per annum for a period that ends on April 1, 2025 (See Notes 6 and 7 to the Consolidated Financial Statements). Upon entry into the credit agreement, BPLP exercised its option to draw $100.0 million under the 2024 Unsecured Term Loan. The proceeds were used to repay the portion of the SMBP Loan held by the Lender. After the repayment, the SMBP Loan had a remaining principal balance of $200.0 million.</w:t>
      </w:r>
    </w:p>
    <w:p>
      <w:pPr>
        <w:spacing w:after="0" w:line="130" w:lineRule="exact"/>
        <w:rPr>
          <w:rFonts w:ascii="Arial" w:cs="Arial" w:eastAsia="Arial" w:hAnsi="Arial"/>
          <w:sz w:val="18"/>
          <w:szCs w:val="18"/>
          <w:color w:val="auto"/>
        </w:rPr>
      </w:pPr>
    </w:p>
    <w:p>
      <w:pPr>
        <w:ind w:left="1040" w:right="20" w:hanging="228"/>
        <w:spacing w:after="0" w:line="256" w:lineRule="auto"/>
        <w:tabs>
          <w:tab w:leader="none" w:pos="10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October 8, 2024, we modified the SMBP Loan. The SMBP Loan had an outstanding principal balance of $200.0 million, bore interest at a variable rate equal to Daily Simple SOFR + 1.38% per annum and was scheduled to mature on July 19, 2025. The modified loan is scheduled to mature on October 8, 2028 and continues to bear interest at a variable rate equal to Daily Simple SOFR + 1.38% per annum until July 19, 2025. Beginning July 19, 2025, the mortgage loan will bear interest at Daily Simple SOFR + 1.60% per annum through the maturity date. The entire principal is subject to interest rate swap contracts to fix Daily Simple SOFR at a weighted-average fixed interest rate of approximately 2.675% per annum through April 1, 2025 (See Note 7 to the Consolidated Financial Statements).</w:t>
      </w:r>
    </w:p>
    <w:p>
      <w:pPr>
        <w:spacing w:after="0" w:line="129"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As of September 30, 2024, our share of unconsolidated joint venture debt maturing through November 2025 was approximately $588.7 million. The foregoing debt matures at different times through November 2025 and, to the extent not refinanced, we expect to fund the repayment of this debt using available cash balances, proceeds from asset sales, draws on BPLP’s 2021 Credit Facility, proceeds from BPLP’s unsecured commercial paper program, secured debt or unsecured debt, or both. We expect our interest expense will be flat or slightly less in 2025 compared to 2024 primarily due to expiring below market debt related to acquisitions in late 2023 and early 2024, lower average outstanding debt balances and the impact of anticipated lower short-term rates.</w:t>
      </w:r>
    </w:p>
    <w:p>
      <w:pPr>
        <w:spacing w:after="0" w:line="12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As of October 31, 2024, we had available cash of approximately $1.2 billion (of which approximately $121.2 million was attributable to our consolidated joint venture partners). Our liquidity and capital resources depend on a wide range of factors, and we believe that our access to capital and our strong liquidity, including the approximately $2.0 billion available under BPLP’s 2021 Credit Facility, of which $500.0 million is being used to backstop the unsecured commercial paper program, and our available cash, as of October 31, 2024, are sufficient to fund our remaining capital needs on existing development and redevelopment projects, fund acquisitions, repay our maturing indebtedness when due (if not refinanced or extended), satisfy our REIT distribution requirements and still allow us to act opportunistically on attractive investment opportunities. We are currently in active negotiations for the disposition of three land positions which, if successful, would generate approximately $70.0 million of proceeds in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2025. However, there can be no assurance that we will complete any of these transactions on the terms currently contemplated or at all.</w:t>
      </w:r>
    </w:p>
    <w:p>
      <w:pPr>
        <w:spacing w:after="0" w:line="171"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We may seek to enhance our liquidity to fund our current and future development activity, pursue additional attractive investment opportunities and refinance or repay indebtedness. Depending on then-current interest rates, the overall conditions in the public and private debt and equity markets, and our existing and expected leverage at the time, we may decide to access one or more of these capital sources. Doing so may result in greater cash and cash equivalents pending our use of the proceeds, and depending on the sources of liquidity, higher interest expense or share count.</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sold any shares under BXP’s $600.0 million “at the market” equity offering program.</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REIT Tax Distribution Considerations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w:t>
      </w:r>
    </w:p>
    <w:p>
      <w:pPr>
        <w:spacing w:after="0" w:line="102"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As a REIT, BXP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Common and LTIP unitholders (other than unearned MYLTIP units) of limited partnership interest in BPLP receive the same distribution per unit that is paid per share of BXP common stock.</w:t>
      </w:r>
    </w:p>
    <w:p>
      <w:pPr>
        <w:spacing w:after="0" w:line="125"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BXP’s Board of Directors will continue to evaluate BXP’s dividend rate in light of our actual and projected taxable income (including gains on sales), liquidity requirements and other circumstances, and there can be no assurance that the future dividends declared by BXP’s Board of Directors will not differ materially from the current quarterly dividend amount.</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Sales</w:t>
      </w:r>
    </w:p>
    <w:p>
      <w:pPr>
        <w:spacing w:after="0" w:line="88"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To the extent that we sell assets at a gain and cannot efficiently use the proceeds in a tax deferred manner for either our development activities or attractive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w:t>
      </w:r>
    </w:p>
    <w:p>
      <w:pPr>
        <w:spacing w:after="0" w:line="129" w:lineRule="exact"/>
        <w:rPr>
          <w:sz w:val="20"/>
          <w:szCs w:val="20"/>
          <w:color w:val="auto"/>
        </w:rPr>
      </w:pPr>
    </w:p>
    <w:p>
      <w:pPr>
        <w:ind w:right="60" w:firstLine="445"/>
        <w:spacing w:after="0" w:line="268" w:lineRule="auto"/>
        <w:rPr>
          <w:sz w:val="20"/>
          <w:szCs w:val="20"/>
          <w:color w:val="auto"/>
        </w:rPr>
      </w:pPr>
      <w:r>
        <w:rPr>
          <w:rFonts w:ascii="Arial" w:cs="Arial" w:eastAsia="Arial" w:hAnsi="Arial"/>
          <w:sz w:val="18"/>
          <w:szCs w:val="18"/>
          <w:color w:val="auto"/>
        </w:rPr>
        <w:t>From time to time in select cases, whether due to a change in use, structuring issues to comply with applicable REIT regulations or other reasons, we may sell an asset that is held by a taxable REIT subsidiary (“TRS”). Such a sale by a TRS would be subject to federal and local taxes.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02"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99"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Cash and cash equivalents and cash held in escrows aggregated approximately $1.5 billion and $ 0.9 billion at September 30, 2024 and 2023, respectively, representing an increase of approximately $0.5 billion. The following table sets forth changes in cash flows: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center"/>
              <w:ind w:left="654"/>
              <w:spacing w:after="0"/>
              <w:rPr>
                <w:sz w:val="20"/>
                <w:szCs w:val="20"/>
                <w:color w:val="auto"/>
              </w:rPr>
            </w:pPr>
            <w:r>
              <w:rPr>
                <w:rFonts w:ascii="Arial" w:cs="Arial" w:eastAsia="Arial" w:hAnsi="Arial"/>
                <w:sz w:val="16"/>
                <w:szCs w:val="16"/>
                <w:b w:val="1"/>
                <w:bCs w:val="1"/>
                <w:color w:val="auto"/>
              </w:rPr>
              <w:t>Nine months ended September 30,</w:t>
            </w:r>
          </w:p>
        </w:tc>
        <w:tc>
          <w:tcPr>
            <w:tcW w:w="1080" w:type="dxa"/>
            <w:vAlign w:val="bottom"/>
            <w:tcBorders>
              <w:bottom w:val="single" w:sz="8" w:color="auto"/>
            </w:tcBorders>
          </w:tcPr>
          <w:p>
            <w:pPr>
              <w:spacing w:after="0"/>
              <w:rPr>
                <w:sz w:val="18"/>
                <w:szCs w:val="18"/>
                <w:color w:val="auto"/>
              </w:rPr>
            </w:pPr>
          </w:p>
        </w:tc>
      </w:tr>
      <w:tr>
        <w:trPr>
          <w:trHeight w:val="236"/>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Change</w:t>
            </w:r>
          </w:p>
        </w:tc>
      </w:tr>
      <w:tr>
        <w:trPr>
          <w:trHeight w:val="195"/>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rPr>
              <w:t>850,755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8"/>
              </w:rPr>
              <w:t>914,372</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(63,617)</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240" w:type="dxa"/>
            <w:vAlign w:val="bottom"/>
          </w:tcPr>
          <w:p>
            <w:pPr>
              <w:jc w:val="center"/>
              <w:ind w:left="234"/>
              <w:spacing w:after="0"/>
              <w:rPr>
                <w:sz w:val="20"/>
                <w:szCs w:val="20"/>
                <w:color w:val="auto"/>
              </w:rPr>
            </w:pPr>
            <w:r>
              <w:rPr>
                <w:rFonts w:ascii="Arial" w:cs="Arial" w:eastAsia="Arial" w:hAnsi="Arial"/>
                <w:sz w:val="18"/>
                <w:szCs w:val="18"/>
                <w:color w:val="auto"/>
                <w:w w:val="98"/>
              </w:rPr>
              <w:t>(850,787)</w:t>
            </w:r>
          </w:p>
        </w:tc>
        <w:tc>
          <w:tcPr>
            <w:tcW w:w="260" w:type="dxa"/>
            <w:vAlign w:val="bottom"/>
          </w:tcPr>
          <w:p>
            <w:pPr>
              <w:spacing w:after="0"/>
              <w:rPr>
                <w:sz w:val="19"/>
                <w:szCs w:val="19"/>
                <w:color w:val="auto"/>
              </w:rPr>
            </w:pPr>
          </w:p>
        </w:tc>
        <w:tc>
          <w:tcPr>
            <w:tcW w:w="1380" w:type="dxa"/>
            <w:vAlign w:val="bottom"/>
          </w:tcPr>
          <w:p>
            <w:pPr>
              <w:jc w:val="center"/>
              <w:ind w:left="395"/>
              <w:spacing w:after="0"/>
              <w:rPr>
                <w:sz w:val="20"/>
                <w:szCs w:val="20"/>
                <w:color w:val="auto"/>
              </w:rPr>
            </w:pPr>
            <w:r>
              <w:rPr>
                <w:rFonts w:ascii="Arial" w:cs="Arial" w:eastAsia="Arial" w:hAnsi="Arial"/>
                <w:sz w:val="18"/>
                <w:szCs w:val="18"/>
                <w:color w:val="auto"/>
              </w:rPr>
              <w:t>(875,578)</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24,791</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98"/>
              </w:rPr>
              <w:t>(141,051)</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8"/>
              </w:rPr>
              <w:t>154,782</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(295,833)</w:t>
            </w:r>
          </w:p>
        </w:tc>
      </w:tr>
    </w:tbl>
    <w:p>
      <w:pPr>
        <w:spacing w:after="0" w:line="332"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Our principal source of cash flow is related to the operation of our properties. The weighted-average term of our in-place leases, including leases signed by our unconsolidated joint ventures, excluding residential units, was approximately 7.6 years as of September 30, 2024, with occupancy rates historically in the range of 87% to 92%.</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Generally, our properties generate a relatively consistent stream of cash flow that provides us with 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spacing w:after="0" w:line="117"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Cash is used in investing activities to fund acquisitions, development, net investments in unconsolidated joint ventures and maintenance and repositioning capital expenditures. We selectively invest in new projects that enable us to take advantage of our development, leasing, financing and property management skills and invest in existing buildings to enhance or maintain our market position. Cash used in investing activities for the nine months ended September 30, 2024 and September 30, 2023 is detailed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7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0"/>
        </w:trPr>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 (1)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(469,948)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(361,625)</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Building and other capital improvements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(118,411)</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(117,393)</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improvements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(178,835)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(244,841)</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Proceeds from sales of real estate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real estate (net of cash received upon consolidation) (2)</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Capital contributions to unconsolidated joint ventures (3)</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(87,498)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(148,875)</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distributions from unconsolidated joint ventures (4)</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7,350</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Investment in non-real estate investments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(1,990)</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note receivables (including related party) (5)</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w:t>
            </w:r>
          </w:p>
        </w:tc>
      </w:tr>
      <w:tr>
        <w:trPr>
          <w:trHeight w:val="21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securities, net</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w:t>
            </w:r>
          </w:p>
        </w:tc>
      </w:tr>
      <w:tr>
        <w:trPr>
          <w:trHeight w:val="23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(850,787)</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(875,578)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used in investing activities changed primarily due to the following:</w:t>
      </w:r>
    </w:p>
    <w:p>
      <w:pPr>
        <w:spacing w:after="0" w:line="171" w:lineRule="exact"/>
        <w:rPr>
          <w:sz w:val="20"/>
          <w:szCs w:val="20"/>
          <w:color w:val="auto"/>
        </w:rPr>
      </w:pPr>
    </w:p>
    <w:p>
      <w:pPr>
        <w:ind w:left="660" w:right="40" w:hanging="328"/>
        <w:spacing w:after="0" w:line="259"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Construction in progress for the nine months ended September 30, 2024 included ongoing expenditures associated with 760 Boylston Street and 180 CityPoint, which were fully placed in-service during the nine months ended September 30, 2024, and 103 CityPoint that was partially placed in-service during 2023 (See Note 14 to the Consolidated Financial Statements). In addition, we incurred costs associated with our continued development/redevelopment of Reston Next Office Phase II that was partially placed in-service, 290 Binney Street, 300 Binney Street and 121 Broadway.</w:t>
      </w:r>
    </w:p>
    <w:p>
      <w:pPr>
        <w:spacing w:after="0" w:line="125" w:lineRule="exact"/>
        <w:rPr>
          <w:rFonts w:ascii="Arial" w:cs="Arial" w:eastAsia="Arial" w:hAnsi="Arial"/>
          <w:sz w:val="18"/>
          <w:szCs w:val="18"/>
          <w:color w:val="auto"/>
        </w:rPr>
      </w:pPr>
    </w:p>
    <w:p>
      <w:pPr>
        <w:ind w:left="660"/>
        <w:spacing w:after="0" w:line="259" w:lineRule="auto"/>
        <w:rPr>
          <w:rFonts w:ascii="Arial" w:cs="Arial" w:eastAsia="Arial" w:hAnsi="Arial"/>
          <w:sz w:val="18"/>
          <w:szCs w:val="18"/>
          <w:color w:val="auto"/>
        </w:rPr>
      </w:pPr>
      <w:r>
        <w:rPr>
          <w:rFonts w:ascii="Arial" w:cs="Arial" w:eastAsia="Arial" w:hAnsi="Arial"/>
          <w:sz w:val="18"/>
          <w:szCs w:val="18"/>
          <w:color w:val="auto"/>
        </w:rPr>
        <w:t>Construction in progress for the nine months ended September 30, 2023 included ongoing expenditures associated with 2100 Pennsylvania Avenue, 140 Kendrick Street Building A and the View Boston observatory at The Prudential Center, which were fully placed in-service during the nine months ended September 30, 2023 and 180 CityPoint that was partially placed in-service during the nine months ended September 30, 2023. In addition, we incurred costs associated with our continued development/redevelopment of 103 CityPoint, Reston Next Office Phase II, 760 Boylston Street, 105 Carnegie Center, 290 Binney Street and 300 Binney Street.</w:t>
      </w:r>
    </w:p>
    <w:p>
      <w:pPr>
        <w:spacing w:after="0" w:line="125" w:lineRule="exact"/>
        <w:rPr>
          <w:rFonts w:ascii="Arial" w:cs="Arial" w:eastAsia="Arial" w:hAnsi="Arial"/>
          <w:sz w:val="18"/>
          <w:szCs w:val="18"/>
          <w:color w:val="auto"/>
        </w:rPr>
      </w:pPr>
    </w:p>
    <w:p>
      <w:pPr>
        <w:ind w:left="660" w:right="40" w:hanging="328"/>
        <w:spacing w:after="0" w:line="268"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January 8, 2024, we completed the acquisition of our joint venture partner’s 50% economic ownership interest in the joint venture that owns 901 New York Avenue, located in Washington, DC, for a gross purchase price of $10.0 million and we acquired net working capital, including cash and cash equivalents of approximately $16.1 million.</w:t>
      </w:r>
    </w:p>
    <w:p>
      <w:pPr>
        <w:spacing w:after="0" w:line="116" w:lineRule="exact"/>
        <w:rPr>
          <w:rFonts w:ascii="Arial" w:cs="Arial" w:eastAsia="Arial" w:hAnsi="Arial"/>
          <w:sz w:val="18"/>
          <w:szCs w:val="18"/>
          <w:color w:val="auto"/>
        </w:rPr>
      </w:pPr>
    </w:p>
    <w:p>
      <w:pPr>
        <w:ind w:left="660" w:right="260" w:hanging="328"/>
        <w:spacing w:after="0" w:line="268"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Capital contributions to unconsolidated joint ventures for the nine months ended September 30, 2024 consisted primarily of cash contributions of approximately $27.5 million, $25.2 million, $11.8 million and $11.5 million to our 360 Park Avenue South, Gateway Commons, Platform 16 and Dock 72 joint ventures, respectively.</w:t>
      </w:r>
    </w:p>
    <w:p>
      <w:pPr>
        <w:spacing w:after="0" w:line="116" w:lineRule="exact"/>
        <w:rPr>
          <w:rFonts w:ascii="Arial" w:cs="Arial" w:eastAsia="Arial" w:hAnsi="Arial"/>
          <w:sz w:val="18"/>
          <w:szCs w:val="18"/>
          <w:color w:val="auto"/>
        </w:rPr>
      </w:pPr>
    </w:p>
    <w:p>
      <w:pPr>
        <w:ind w:left="660" w:right="260"/>
        <w:spacing w:after="0" w:line="262" w:lineRule="auto"/>
        <w:rPr>
          <w:rFonts w:ascii="Arial" w:cs="Arial" w:eastAsia="Arial" w:hAnsi="Arial"/>
          <w:sz w:val="18"/>
          <w:szCs w:val="18"/>
          <w:color w:val="auto"/>
        </w:rPr>
      </w:pPr>
      <w:r>
        <w:rPr>
          <w:rFonts w:ascii="Arial" w:cs="Arial" w:eastAsia="Arial" w:hAnsi="Arial"/>
          <w:sz w:val="18"/>
          <w:szCs w:val="18"/>
          <w:color w:val="auto"/>
        </w:rPr>
        <w:t>Capital contributions to unconsolidated joint ventures for the nine months ended September 30, 2023 consisted primarily of cash contributions of approximately $46.8 million, $32.8 million, $17.5 million, $14.4 million and $9.5 million to our Gateway Commons, Platform 16, Worldgate Drive, Dock 72 and 751 Gateway joint ventures, respectively. On January 31, 2023, we entered into a new joint venture for 13100 and 13150 Worldgate Drive located in Herndon, Virginia.</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60" w:hanging="328"/>
        <w:spacing w:after="0" w:line="287" w:lineRule="auto"/>
        <w:tabs>
          <w:tab w:leader="none" w:pos="6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Capital distributions from unconsolidated joint ventures for the nine months ended September 30, 2023 consisted primarily of a cash distribution totaling approximately $7.4 million from our 360 Park Avenue South joint venture.</w:t>
      </w:r>
    </w:p>
    <w:p>
      <w:pPr>
        <w:spacing w:after="0" w:line="98" w:lineRule="exact"/>
        <w:rPr>
          <w:rFonts w:ascii="Arial" w:cs="Arial" w:eastAsia="Arial" w:hAnsi="Arial"/>
          <w:sz w:val="18"/>
          <w:szCs w:val="18"/>
          <w:color w:val="auto"/>
        </w:rPr>
      </w:pPr>
    </w:p>
    <w:p>
      <w:pPr>
        <w:ind w:left="660" w:right="20" w:hanging="328"/>
        <w:spacing w:after="0" w:line="256" w:lineRule="auto"/>
        <w:tabs>
          <w:tab w:leader="none" w:pos="6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June 5, 2023, a joint venture in which we own a 30% interest repaid the existing construction loan collateralized by its 500 North Capitol Street, NW property and obtained new mortgage loans with related parties. At the time of the payoff, the outstanding balance of the loan totaled approximately $105.0 million and was scheduled to mature on June 6, 2023. The new mortgage loans have an aggregate principal balance of $105.0 million, bear interest at a weighted average fixed rate of 6.83% per annum and mature on June 5, 2026. Our portion of the mortgage loans, $10.5 million, has been reflected as a Related Party Note Receivable on our Consolidated Balance Sheets. 500 North Capitol Street, NW is an approximately 231,000 square foot premier workplace in Washington, DC.</w:t>
      </w:r>
    </w:p>
    <w:p>
      <w:pPr>
        <w:spacing w:after="0" w:line="183"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 xml:space="preserve">Cash used in financing activities for the nine months ended September 30, 2024 totaled approximately $141.1 million. This amount consisted primarily of the repayment of BPLP’s $700 million in aggregate principal amount of its 3.800% unsecured senior notes due February 1, 2024 and payment of our regular dividends and distributions to our shareholders and unitholders and distributions to noncontrolling interests in property partnerships, partially offset by the issuance of BPLP’s $ 850 million in aggregate principal amount of its 5.750% unsecured senior notes due 2035 and contributions from noncontrolling interests in property partnerships including approximately $97.2 million from the sale of a 45% interest in 290 Binney Street in Cambridge, Massachusetts. Future debt payments are discussed below under the heading </w:t>
      </w:r>
      <w:r>
        <w:rPr>
          <w:rFonts w:ascii="Arial" w:cs="Arial" w:eastAsia="Arial" w:hAnsi="Arial"/>
          <w:sz w:val="18"/>
          <w:szCs w:val="18"/>
          <w:i w:val="1"/>
          <w:iCs w:val="1"/>
          <w:color w:val="auto"/>
        </w:rPr>
        <w:t>“Debt Financing</w:t>
      </w: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Capitalization</w:t>
      </w:r>
    </w:p>
    <w:p>
      <w:pPr>
        <w:spacing w:after="0" w:line="88" w:lineRule="exact"/>
        <w:rPr>
          <w:sz w:val="20"/>
          <w:szCs w:val="20"/>
          <w:color w:val="auto"/>
        </w:rPr>
      </w:pPr>
    </w:p>
    <w:p>
      <w:pPr>
        <w:ind w:right="680" w:firstLine="445"/>
        <w:spacing w:after="0" w:line="268" w:lineRule="auto"/>
        <w:rPr>
          <w:sz w:val="20"/>
          <w:szCs w:val="20"/>
          <w:color w:val="auto"/>
        </w:rPr>
      </w:pPr>
      <w:r>
        <w:rPr>
          <w:rFonts w:ascii="Arial" w:cs="Arial" w:eastAsia="Arial" w:hAnsi="Arial"/>
          <w:sz w:val="18"/>
          <w:szCs w:val="18"/>
          <w:color w:val="auto"/>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September 30, 2024</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60" w:type="dxa"/>
            <w:vAlign w:val="bottom"/>
          </w:tcPr>
          <w:p>
            <w:pPr>
              <w:spacing w:after="0"/>
              <w:rPr>
                <w:sz w:val="13"/>
                <w:szCs w:val="13"/>
                <w:color w:val="auto"/>
              </w:rPr>
            </w:pPr>
          </w:p>
        </w:tc>
        <w:tc>
          <w:tcPr>
            <w:tcW w:w="16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 / Units</w:t>
            </w:r>
          </w:p>
        </w:tc>
        <w:tc>
          <w:tcPr>
            <w:tcW w:w="16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Common Stock</w:t>
            </w:r>
          </w:p>
        </w:tc>
        <w:tc>
          <w:tcPr>
            <w:tcW w:w="16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Equivalent Value (1)</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Outstanding</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Equivalent</w:t>
            </w:r>
          </w:p>
        </w:tc>
        <w:tc>
          <w:tcPr>
            <w:tcW w:w="16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157,980</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157,980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12,711,071</w:t>
            </w: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Common Operating Partnership Units</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18,263</w:t>
            </w: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1,469,441</w:t>
            </w:r>
          </w:p>
        </w:tc>
        <w:tc>
          <w:tcPr>
            <w:tcW w:w="4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5"/>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Equity</w:t>
            </w:r>
          </w:p>
        </w:tc>
        <w:tc>
          <w:tcPr>
            <w:tcW w:w="1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176,243</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14,180,512</w:t>
            </w:r>
          </w:p>
        </w:tc>
        <w:tc>
          <w:tcPr>
            <w:tcW w:w="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Debt</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16,215,246</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Add:</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BXP’s share of unconsolidated joint venture debt (3)</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1,382,412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Subtract: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Partners’ share of Consolidated Debt (4)</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1,361,869</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BXP’s Share of Debt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16,235,789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Consolidated Market Capitalization</w:t>
            </w:r>
          </w:p>
        </w:tc>
        <w:tc>
          <w:tcPr>
            <w:tcW w:w="14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30,395,758</w:t>
            </w:r>
          </w:p>
        </w:tc>
        <w:tc>
          <w:tcPr>
            <w:tcW w:w="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BXP’s Share of Market Capitalization</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30,416,301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Arial" w:cs="Arial" w:eastAsia="Arial" w:hAnsi="Arial"/>
                <w:sz w:val="16"/>
                <w:szCs w:val="16"/>
                <w:color w:val="auto"/>
              </w:rPr>
              <w:t>Consolidated Debt/Consolidated Market Capitalization</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53.35 %</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BXP’s Share of Debt/BXP’s Share of Market Capitalization</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53.38 %</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6"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Values are based on the closing price per share of BXP’s common stock on the New York Stock Exchange on September 30, 2024 of $80.46.</w:t>
      </w:r>
    </w:p>
    <w:p>
      <w:pPr>
        <w:spacing w:after="0" w:line="5" w:lineRule="exact"/>
        <w:rPr>
          <w:rFonts w:ascii="Arial" w:cs="Arial" w:eastAsia="Arial" w:hAnsi="Arial"/>
          <w:sz w:val="16"/>
          <w:szCs w:val="16"/>
          <w:color w:val="auto"/>
        </w:rPr>
      </w:pPr>
    </w:p>
    <w:p>
      <w:pPr>
        <w:ind w:left="660" w:right="380" w:hanging="328"/>
        <w:spacing w:after="0" w:line="255"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long-term incentive plan units (including 2012 OPP Units and 2013 - 2021 MYLTIP Units) but excludes the 2022 - 2024 MYLTIP Units because the three-year performance periods had not ended as of September 30, 2024.</w:t>
      </w: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See page 95 for additional information.</w:t>
      </w:r>
    </w:p>
    <w:p>
      <w:pPr>
        <w:spacing w:after="0" w:line="14"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See page 94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spacing w:after="0" w:line="136" w:lineRule="exact"/>
        <w:rPr>
          <w:sz w:val="20"/>
          <w:szCs w:val="20"/>
          <w:color w:val="auto"/>
        </w:rPr>
      </w:pPr>
    </w:p>
    <w:p>
      <w:pPr>
        <w:ind w:left="1120" w:hanging="464"/>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consolidated debt; plus</w:t>
      </w:r>
    </w:p>
    <w:p>
      <w:pPr>
        <w:spacing w:after="0" w:line="198" w:lineRule="exact"/>
        <w:rPr>
          <w:rFonts w:ascii="Arial" w:cs="Arial" w:eastAsia="Arial" w:hAnsi="Arial"/>
          <w:sz w:val="18"/>
          <w:szCs w:val="18"/>
          <w:color w:val="auto"/>
        </w:rPr>
      </w:pPr>
    </w:p>
    <w:p>
      <w:pPr>
        <w:ind w:right="460" w:firstLine="656"/>
        <w:spacing w:after="0" w:line="287" w:lineRule="auto"/>
        <w:tabs>
          <w:tab w:leader="none" w:pos="111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product of (x) the closing price per share of BXP common stock on September 30, 2024, as reported by the New York Stock Exchange, multiplied by (y) the sum of:</w:t>
      </w:r>
    </w:p>
    <w:p>
      <w:pPr>
        <w:spacing w:after="0" w:line="112" w:lineRule="exact"/>
        <w:rPr>
          <w:rFonts w:ascii="Arial" w:cs="Arial" w:eastAsia="Arial" w:hAnsi="Arial"/>
          <w:sz w:val="18"/>
          <w:szCs w:val="18"/>
          <w:color w:val="auto"/>
        </w:rPr>
      </w:pPr>
    </w:p>
    <w:p>
      <w:pPr>
        <w:ind w:left="1720" w:hanging="416"/>
        <w:spacing w:after="0"/>
        <w:tabs>
          <w:tab w:leader="none" w:pos="17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number of outstanding shares of common stock of BXP,</w:t>
      </w:r>
    </w:p>
    <w:p>
      <w:pPr>
        <w:spacing w:after="0" w:line="184" w:lineRule="exact"/>
        <w:rPr>
          <w:rFonts w:ascii="Arial" w:cs="Arial" w:eastAsia="Arial" w:hAnsi="Arial"/>
          <w:sz w:val="18"/>
          <w:szCs w:val="18"/>
          <w:color w:val="auto"/>
        </w:rPr>
      </w:pPr>
    </w:p>
    <w:p>
      <w:pPr>
        <w:ind w:left="1760" w:hanging="456"/>
        <w:spacing w:after="0"/>
        <w:tabs>
          <w:tab w:leader="none" w:pos="17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number of outstanding OP Units in BPLP (excluding OP Units held by BXP),</w:t>
      </w:r>
    </w:p>
    <w:p>
      <w:pPr>
        <w:spacing w:after="0" w:line="198" w:lineRule="exact"/>
        <w:rPr>
          <w:rFonts w:ascii="Arial" w:cs="Arial" w:eastAsia="Arial" w:hAnsi="Arial"/>
          <w:sz w:val="18"/>
          <w:szCs w:val="18"/>
          <w:color w:val="auto"/>
        </w:rPr>
      </w:pPr>
    </w:p>
    <w:p>
      <w:pPr>
        <w:ind w:left="1960" w:right="320" w:hanging="656"/>
        <w:spacing w:after="0" w:line="287" w:lineRule="auto"/>
        <w:tabs>
          <w:tab w:leader="none" w:pos="180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all outstanding LTIP Units, assuming all conditions have been met for the conversion of the LTIP Units, and</w:t>
      </w:r>
    </w:p>
    <w:p>
      <w:pPr>
        <w:spacing w:after="0" w:line="112" w:lineRule="exact"/>
        <w:rPr>
          <w:rFonts w:ascii="Arial" w:cs="Arial" w:eastAsia="Arial" w:hAnsi="Arial"/>
          <w:sz w:val="18"/>
          <w:szCs w:val="18"/>
          <w:color w:val="auto"/>
        </w:rPr>
      </w:pPr>
    </w:p>
    <w:p>
      <w:pPr>
        <w:ind w:left="1960" w:hanging="656"/>
        <w:spacing w:after="0" w:line="287" w:lineRule="auto"/>
        <w:tabs>
          <w:tab w:leader="none" w:pos="181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2012 OPP Units, and 2013 - 2021 MYLTIP Units that were issued in the form of LTIP Units.</w:t>
      </w:r>
    </w:p>
    <w:p>
      <w:pPr>
        <w:spacing w:after="0" w:line="112"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The calculation of consolidated market capitalization does not include LTIP Units issued in the form of MYLTIP Awards unless and until certain performance thresholds are achieved and they are earned. Because their three-year performance periods have not yet ended, 2022 - 2024 MYLTIP Units are not included in this calculation as of September 30, 2024.</w:t>
      </w:r>
    </w:p>
    <w:p>
      <w:pPr>
        <w:spacing w:after="0" w:line="14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spacing w:after="0" w:line="13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For a discussion of our unconsolidated joint venture indebtedness, see “</w:t>
      </w:r>
      <w:r>
        <w:rPr>
          <w:rFonts w:ascii="Arial" w:cs="Arial" w:eastAsia="Arial" w:hAnsi="Arial"/>
          <w:sz w:val="18"/>
          <w:szCs w:val="18"/>
          <w:i w:val="1"/>
          <w:iCs w:val="1"/>
          <w:color w:val="auto"/>
        </w:rPr>
        <w:t>Liquidity and Capital Resources—Investment in Unconsolidated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Joint Ventures - Secured Debt” w</w:t>
      </w:r>
      <w:r>
        <w:rPr>
          <w:rFonts w:ascii="Arial" w:cs="Arial" w:eastAsia="Arial" w:hAnsi="Arial"/>
          <w:sz w:val="18"/>
          <w:szCs w:val="18"/>
          <w:color w:val="auto"/>
        </w:rPr>
        <w:t>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for a discussion of our consolidated joint venture indebtedness see </w:t>
      </w:r>
      <w:r>
        <w:rPr>
          <w:rFonts w:ascii="Arial" w:cs="Arial" w:eastAsia="Arial" w:hAnsi="Arial"/>
          <w:sz w:val="18"/>
          <w:szCs w:val="18"/>
          <w:i w:val="1"/>
          <w:iCs w:val="1"/>
          <w:color w:val="auto"/>
        </w:rPr>
        <w:t>“Liquidity and Capital Resources—Mortgage Notes Payable</w:t>
      </w:r>
      <w:r>
        <w:rPr>
          <w:rFonts w:ascii="Arial" w:cs="Arial" w:eastAsia="Arial" w:hAnsi="Arial"/>
          <w:sz w:val="18"/>
          <w:szCs w:val="18"/>
          <w:color w:val="auto"/>
        </w:rPr>
        <w:t>” within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Financing</w:t>
      </w:r>
    </w:p>
    <w:p>
      <w:pPr>
        <w:spacing w:after="0" w:line="8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As of September 30, 2024, we had approximately $16.2 billion of outstanding consolidated indebtedness, representing approximately 53.35% of our Consolidated Market Capitalization as calculated above consisting of approximately (1) $10.6 billion (net of discount and deferred financing fees) in publicly traded unsecured senior notes having a GAAP weighted-average interest rate of 4.07% per annum and maturities in 2025 through 2035, (2) $4.3 billion (net of deferred financing fees and fair value interest adjustments) of property-specific mortgage debt having a GAAP weighted-average interest rate of 4.16% per annum and a weighted-average term of 3.7 years, (3) $0.8 billion (net of deferred financing fees and fair value interest adjustments) of unsecured term loans having a GAAP weighted-average interest rate of 6.45% per annum with maturities in 2025, and (4) $0.5 billion of unsecured commercial paper borrowings having a weighted-average interest rate of 5.22% per annum and a weighted-average maturity of 34 days, from the issuance date.</w:t>
      </w:r>
    </w:p>
    <w:p>
      <w:pPr>
        <w:spacing w:after="0" w:line="131" w:lineRule="exact"/>
        <w:rPr>
          <w:sz w:val="20"/>
          <w:szCs w:val="20"/>
          <w:color w:val="auto"/>
        </w:rPr>
      </w:pPr>
    </w:p>
    <w:p>
      <w:pPr>
        <w:ind w:right="320" w:firstLine="405"/>
        <w:spacing w:after="0" w:line="287" w:lineRule="auto"/>
        <w:rPr>
          <w:sz w:val="20"/>
          <w:szCs w:val="20"/>
          <w:color w:val="auto"/>
        </w:rPr>
      </w:pPr>
      <w:r>
        <w:rPr>
          <w:rFonts w:ascii="Arial" w:cs="Arial" w:eastAsia="Arial" w:hAnsi="Arial"/>
          <w:sz w:val="18"/>
          <w:szCs w:val="18"/>
          <w:color w:val="auto"/>
        </w:rPr>
        <w:t>The table below summarizes the aggregate carrying value of our outstanding indebtedness, as well as Consolidated Debt Financing Statistics at September 30, 2024 and September 30, 2023.</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7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7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(dollars in thousands)</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 Summary:</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Balance</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notes payable,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4,275,155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3,275,974</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Unsecured senior notes, net</w:t>
            </w:r>
          </w:p>
        </w:tc>
        <w:tc>
          <w:tcPr>
            <w:tcW w:w="3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10,642,033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10,488,568</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 line of credit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Unsecured term loans, net</w:t>
            </w:r>
          </w:p>
        </w:tc>
        <w:tc>
          <w:tcPr>
            <w:tcW w:w="3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798,058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1,197,173</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 commercial paper</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Consolidated Debt</w:t>
            </w:r>
          </w:p>
        </w:tc>
        <w:tc>
          <w:tcPr>
            <w:tcW w:w="3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16,215,246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14,961,715</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BXP’s share of unconsolidated joint venture debt, net (1)</w:t>
            </w:r>
          </w:p>
        </w:tc>
        <w:tc>
          <w:tcPr>
            <w:tcW w:w="3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1,382,412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1,518,195</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Subtract: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Partners’ share of consolidated mortgage notes payable, net (2)</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1,361,869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1,359,877</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BXP’s Share of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16,235,789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15,120,033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60" w:type="dxa"/>
            <w:vAlign w:val="bottom"/>
          </w:tcPr>
          <w:p>
            <w:pPr>
              <w:spacing w:after="0"/>
              <w:rPr>
                <w:sz w:val="20"/>
                <w:szCs w:val="20"/>
                <w:color w:val="auto"/>
              </w:rPr>
            </w:pPr>
          </w:p>
        </w:tc>
        <w:tc>
          <w:tcPr>
            <w:tcW w:w="2400" w:type="dxa"/>
            <w:vAlign w:val="bottom"/>
            <w:tcBorders>
              <w:bottom w:val="single" w:sz="8" w:color="auto"/>
            </w:tcBorders>
            <w:gridSpan w:val="3"/>
          </w:tcPr>
          <w:p>
            <w:pPr>
              <w:ind w:left="1120"/>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Debt Financing Statistics: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Percent of total debt:</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rate (3)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Variable rate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7.40 %</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shd w:val="clear" w:color="auto" w:fill="CCEEFF"/>
          </w:tcPr>
          <w:p>
            <w:pPr>
              <w:jc w:val="center"/>
              <w:ind w:right="5930"/>
              <w:spacing w:after="0"/>
              <w:rPr>
                <w:sz w:val="20"/>
                <w:szCs w:val="20"/>
                <w:color w:val="auto"/>
              </w:rPr>
            </w:pPr>
            <w:r>
              <w:rPr>
                <w:rFonts w:ascii="Arial" w:cs="Arial" w:eastAsia="Arial" w:hAnsi="Arial"/>
                <w:sz w:val="18"/>
                <w:szCs w:val="18"/>
                <w:color w:val="auto"/>
                <w:w w:val="94"/>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GAAP Weighted-average interest rate at end of period:</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6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jc w:val="center"/>
              <w:ind w:right="5890"/>
              <w:spacing w:after="0"/>
              <w:rPr>
                <w:sz w:val="20"/>
                <w:szCs w:val="20"/>
                <w:color w:val="auto"/>
              </w:rPr>
            </w:pPr>
            <w:r>
              <w:rPr>
                <w:rFonts w:ascii="Arial" w:cs="Arial" w:eastAsia="Arial" w:hAnsi="Arial"/>
                <w:sz w:val="18"/>
                <w:szCs w:val="18"/>
                <w:color w:val="auto"/>
                <w:w w:val="98"/>
              </w:rPr>
              <w:t>Fixed rate (3)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jc w:val="center"/>
              <w:ind w:right="5950"/>
              <w:spacing w:after="0"/>
              <w:rPr>
                <w:sz w:val="20"/>
                <w:szCs w:val="20"/>
                <w:color w:val="auto"/>
              </w:rPr>
            </w:pPr>
            <w:r>
              <w:rPr>
                <w:rFonts w:ascii="Arial" w:cs="Arial" w:eastAsia="Arial" w:hAnsi="Arial"/>
                <w:sz w:val="18"/>
                <w:szCs w:val="18"/>
                <w:color w:val="auto"/>
                <w:w w:val="97"/>
              </w:rPr>
              <w:t>Variable rate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6.04 %</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jc w:val="center"/>
              <w:ind w:right="5930"/>
              <w:spacing w:after="0"/>
              <w:rPr>
                <w:sz w:val="20"/>
                <w:szCs w:val="20"/>
                <w:color w:val="auto"/>
              </w:rPr>
            </w:pPr>
            <w:r>
              <w:rPr>
                <w:rFonts w:ascii="Arial" w:cs="Arial" w:eastAsia="Arial" w:hAnsi="Arial"/>
                <w:sz w:val="18"/>
                <w:szCs w:val="18"/>
                <w:color w:val="auto"/>
                <w:w w:val="94"/>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0" w:type="dxa"/>
            <w:vAlign w:val="bottom"/>
          </w:tcPr>
          <w:p>
            <w:pPr>
              <w:spacing w:after="0"/>
              <w:rPr>
                <w:sz w:val="1"/>
                <w:szCs w:val="1"/>
                <w:color w:val="auto"/>
              </w:rPr>
            </w:pPr>
          </w:p>
        </w:tc>
      </w:tr>
      <w:tr>
        <w:trPr>
          <w:trHeight w:val="210"/>
        </w:trPr>
        <w:tc>
          <w:tcPr>
            <w:tcW w:w="7760" w:type="dxa"/>
            <w:vAlign w:val="bottom"/>
          </w:tcPr>
          <w:p>
            <w:pPr>
              <w:ind w:left="20"/>
              <w:spacing w:after="0"/>
              <w:rPr>
                <w:sz w:val="20"/>
                <w:szCs w:val="20"/>
                <w:color w:val="auto"/>
              </w:rPr>
            </w:pPr>
            <w:r>
              <w:rPr>
                <w:rFonts w:ascii="Arial" w:cs="Arial" w:eastAsia="Arial" w:hAnsi="Arial"/>
                <w:sz w:val="18"/>
                <w:szCs w:val="18"/>
                <w:color w:val="auto"/>
              </w:rPr>
              <w:t>Coupon/Stated Weighted-average interest rate at end of period: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jc w:val="center"/>
              <w:ind w:right="5890"/>
              <w:spacing w:after="0"/>
              <w:rPr>
                <w:sz w:val="20"/>
                <w:szCs w:val="20"/>
                <w:color w:val="auto"/>
              </w:rPr>
            </w:pPr>
            <w:r>
              <w:rPr>
                <w:rFonts w:ascii="Arial" w:cs="Arial" w:eastAsia="Arial" w:hAnsi="Arial"/>
                <w:sz w:val="18"/>
                <w:szCs w:val="18"/>
                <w:color w:val="auto"/>
                <w:w w:val="98"/>
              </w:rPr>
              <w:t>Fixed rate (3)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jc w:val="center"/>
              <w:ind w:right="5950"/>
              <w:spacing w:after="0"/>
              <w:rPr>
                <w:sz w:val="20"/>
                <w:szCs w:val="20"/>
                <w:color w:val="auto"/>
              </w:rPr>
            </w:pPr>
            <w:r>
              <w:rPr>
                <w:rFonts w:ascii="Arial" w:cs="Arial" w:eastAsia="Arial" w:hAnsi="Arial"/>
                <w:sz w:val="18"/>
                <w:szCs w:val="18"/>
                <w:color w:val="auto"/>
                <w:w w:val="97"/>
              </w:rPr>
              <w:t>Variable rate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5.91 %</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jc w:val="center"/>
              <w:ind w:right="5930"/>
              <w:spacing w:after="0"/>
              <w:rPr>
                <w:sz w:val="20"/>
                <w:szCs w:val="20"/>
                <w:color w:val="auto"/>
              </w:rPr>
            </w:pPr>
            <w:r>
              <w:rPr>
                <w:rFonts w:ascii="Arial" w:cs="Arial" w:eastAsia="Arial" w:hAnsi="Arial"/>
                <w:sz w:val="18"/>
                <w:szCs w:val="18"/>
                <w:color w:val="auto"/>
                <w:w w:val="94"/>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4.04 %</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10"/>
        </w:trPr>
        <w:tc>
          <w:tcPr>
            <w:tcW w:w="7760" w:type="dxa"/>
            <w:vAlign w:val="bottom"/>
          </w:tcPr>
          <w:p>
            <w:pPr>
              <w:ind w:left="20"/>
              <w:spacing w:after="0"/>
              <w:rPr>
                <w:sz w:val="20"/>
                <w:szCs w:val="20"/>
                <w:color w:val="auto"/>
              </w:rPr>
            </w:pPr>
            <w:r>
              <w:rPr>
                <w:rFonts w:ascii="Arial" w:cs="Arial" w:eastAsia="Arial" w:hAnsi="Arial"/>
                <w:sz w:val="18"/>
                <w:szCs w:val="18"/>
                <w:color w:val="auto"/>
              </w:rPr>
              <w:t>Weighted-average maturity at end of period (in years):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jc w:val="center"/>
              <w:ind w:right="5890"/>
              <w:spacing w:after="0"/>
              <w:rPr>
                <w:sz w:val="20"/>
                <w:szCs w:val="20"/>
                <w:color w:val="auto"/>
              </w:rPr>
            </w:pPr>
            <w:r>
              <w:rPr>
                <w:rFonts w:ascii="Arial" w:cs="Arial" w:eastAsia="Arial" w:hAnsi="Arial"/>
                <w:sz w:val="18"/>
                <w:szCs w:val="18"/>
                <w:color w:val="auto"/>
                <w:w w:val="98"/>
              </w:rPr>
              <w:t>Fixed rate (3)</w:t>
            </w: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jc w:val="center"/>
              <w:ind w:right="5950"/>
              <w:spacing w:after="0"/>
              <w:rPr>
                <w:sz w:val="20"/>
                <w:szCs w:val="20"/>
                <w:color w:val="auto"/>
              </w:rPr>
            </w:pPr>
            <w:r>
              <w:rPr>
                <w:rFonts w:ascii="Arial" w:cs="Arial" w:eastAsia="Arial" w:hAnsi="Arial"/>
                <w:sz w:val="18"/>
                <w:szCs w:val="18"/>
                <w:color w:val="auto"/>
                <w:w w:val="97"/>
              </w:rPr>
              <w:t>Variable rate</w:t>
            </w: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jc w:val="center"/>
              <w:ind w:right="5930"/>
              <w:spacing w:after="0"/>
              <w:rPr>
                <w:sz w:val="20"/>
                <w:szCs w:val="20"/>
                <w:color w:val="auto"/>
              </w:rPr>
            </w:pPr>
            <w:r>
              <w:rPr>
                <w:rFonts w:ascii="Arial" w:cs="Arial" w:eastAsia="Arial" w:hAnsi="Arial"/>
                <w:sz w:val="18"/>
                <w:szCs w:val="18"/>
                <w:color w:val="auto"/>
                <w:w w:val="94"/>
              </w:rPr>
              <w:t>Total</w:t>
            </w: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See page 95 for additional information.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See page 94 for additional information.</w:t>
      </w:r>
    </w:p>
    <w:p>
      <w:pPr>
        <w:spacing w:after="0" w:line="5" w:lineRule="exact"/>
        <w:rPr>
          <w:rFonts w:ascii="Arial" w:cs="Arial" w:eastAsia="Arial" w:hAnsi="Arial"/>
          <w:sz w:val="16"/>
          <w:szCs w:val="16"/>
          <w:color w:val="auto"/>
        </w:rPr>
      </w:pPr>
    </w:p>
    <w:p>
      <w:pPr>
        <w:ind w:left="660" w:right="380" w:hanging="328"/>
        <w:spacing w:after="0" w:line="260" w:lineRule="auto"/>
        <w:tabs>
          <w:tab w:leader="none" w:pos="65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 September 30, 2024, BPLP’s $100.0 million 2024 Unsecured Term Loan and two of our mortgage loans aggregating approximately $800.0 million bore interest at variable rates. We entered into interest rate swap contracts that effectively fixed the variability of these loans for all or a portion of the applicable debt term and as such, they are reflected in our Fixed rate statistics. At September 30, 2023, BPLP’s 2023 Unsecured Term Loan bore interest at a variable rate which was subject to interest rate swaps that effectively fixed the interest rate for a portion of the applicable debt term, and as such, the 2023 Unsecured Term Loan is reflected in our Fixed rate statistics.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Unsecured Credit Facility</w:t>
      </w:r>
    </w:p>
    <w:p>
      <w:pPr>
        <w:spacing w:after="0" w:line="88"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2021 Credit Facility provides for borrowings of up to $2.0 billion, as described below, through BPLP’s revolving facility, subject to customary conditions. The 2021 Credit Facility matures on June 15, 2026 and includes a sustainability-linked pricing component. Under the 2021 Credit Facility, BPLP had the option to increase the original total commitment of $1.5 billion by up to an additional $500.0 million by increasing the amount of the revolving facility and/or by incurring one or more term loans, in each case, subject to syndication of the increase and other conditions (the “Accordion Option”). On September 28, 2023, BPLP exercised a portion of the Accordion Option, which increased the then maximum borrowing amount under the 2021 Credit Facility from $1.5 billion to $1.815 billion. On April 29, 2024, BPLP exercised the remainder of the Accordion Option and further increased the maximum borrowing amount under the 2021 Credit Facility to $2.0 billion. All other terms of the 2021 Credit Facility remain unchanged.</w:t>
      </w:r>
    </w:p>
    <w:p>
      <w:pPr>
        <w:spacing w:after="0" w:line="131"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At BPLP’s option, loans under the 2021 Credit Facility will bear interest at a rate per annum equal to (1) (a) in the case of loans denominated in Dollars, Term SOFR and SOFR, (b) in the case of loans denominated in Euro, EURIBOR, (c) in the case of loans denominated in Canadian Dollars, Term CORRA, and (d) in the case of loans denominated in Sterling, SONIA, in each case, plus a margin ranging from 70.0 to 140.0 basis points based on BPLP’s credit rating or (2) an alternate base rate equal to the greatest of (a) the Federal Funds rate plus 0.5%, (b) the administrative agent’s prime rate, (c) Term SOFR plus 1.00%, and (d) 1.00%, in each case, plus a margin ranging from 0 to 40 basis points based on BPLP’s credit rating. In addition, there is a SOFR credit spread adjustment of 0.10%.</w:t>
      </w:r>
    </w:p>
    <w:p>
      <w:pPr>
        <w:spacing w:after="0" w:line="128"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Based on BPLP’s September 30, 2024 credit rating, (1) the applicable Daily SOFR, Term SOFR, alternative currency daily rate, and alternative currency term rate margins are 0.850%, (2) the alternate base rate margin is zero basis points and (3) the facility fee is 0.20% per annum.</w:t>
      </w:r>
    </w:p>
    <w:p>
      <w:pPr>
        <w:spacing w:after="0" w:line="117"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color w:val="auto"/>
        </w:rPr>
        <w:t>The 2021 Credit Facility is used as a backstop for BPLP’s $500.0 million unsecured commercial paper program (See “</w:t>
      </w:r>
      <w:r>
        <w:rPr>
          <w:rFonts w:ascii="Arial" w:cs="Arial" w:eastAsia="Arial" w:hAnsi="Arial"/>
          <w:sz w:val="18"/>
          <w:szCs w:val="18"/>
          <w:i w:val="1"/>
          <w:iCs w:val="1"/>
          <w:color w:val="auto"/>
        </w:rPr>
        <w:t>Unsecured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below). As such, BPLP intends to maintain, at a minimum, availability under the 2021 Credit Facility in an amount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amount of unsecured commercial paper notes outstanding.</w:t>
      </w:r>
    </w:p>
    <w:p>
      <w:pPr>
        <w:spacing w:after="0" w:line="117" w:lineRule="exact"/>
        <w:rPr>
          <w:sz w:val="20"/>
          <w:szCs w:val="20"/>
          <w:color w:val="auto"/>
        </w:rPr>
      </w:pPr>
    </w:p>
    <w:p>
      <w:pPr>
        <w:ind w:right="460" w:firstLine="445"/>
        <w:spacing w:after="0" w:line="268" w:lineRule="auto"/>
        <w:rPr>
          <w:sz w:val="20"/>
          <w:szCs w:val="20"/>
          <w:color w:val="auto"/>
        </w:rPr>
      </w:pPr>
      <w:r>
        <w:rPr>
          <w:rFonts w:ascii="Arial" w:cs="Arial" w:eastAsia="Arial" w:hAnsi="Arial"/>
          <w:sz w:val="18"/>
          <w:szCs w:val="18"/>
          <w:color w:val="auto"/>
        </w:rPr>
        <w:t>At September 30, 2024 and October 31, 2024, BPLP had no borrowings under its 2021 Credit Facility, outstanding letters of credit totaling approximately $6.1 million, and $500.0 million is being used as a backstop for the commercial paper program. Therefore, at September 30, 2024 and October 31, 2024, BPLP has the ability to borrow approximately $1.5 billion.</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Unsecured Term Loans</w:t>
      </w:r>
    </w:p>
    <w:p>
      <w:pPr>
        <w:spacing w:after="0" w:line="102"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The 2023 Unsecured Term Loan provided for a single borrowing of up to $1.2 billion. Upon entry into the credit agreement in January 2023, BPLP exercised its option to draw $ 1.2 billion under the 2023 Unsecured Term Loan. Under the credit agreement governing the 2023 Unsecured Term Loan, BPLP may, at any time prior to the maturity date, increase total commitments by up to an additional $300.0 million in aggregate principal amount by increasing the existing 2023 Unsecured Term Loan or incurring one or more additional term loans, in each case, subject to syndication of the increase and other conditions. On April 29, 2024, BPLP repaid $500.0 million of the outstanding balance under the 2023 Unsecured Term Loan from the proceeds of its unsecured commercial paper program (See “</w:t>
      </w:r>
      <w:r>
        <w:rPr>
          <w:rFonts w:ascii="Arial" w:cs="Arial" w:eastAsia="Arial" w:hAnsi="Arial"/>
          <w:sz w:val="18"/>
          <w:szCs w:val="18"/>
          <w:i w:val="1"/>
          <w:iCs w:val="1"/>
          <w:color w:val="auto"/>
        </w:rPr>
        <w:t>Unsecured Commercial Paper</w:t>
      </w:r>
      <w:r>
        <w:rPr>
          <w:rFonts w:ascii="Arial" w:cs="Arial" w:eastAsia="Arial" w:hAnsi="Arial"/>
          <w:sz w:val="18"/>
          <w:szCs w:val="18"/>
          <w:color w:val="auto"/>
        </w:rPr>
        <w:t>” below). The 2023 Unsecured Term Loan had an initial maturity date of May 16, 2024, with one 12-month extension option, subject to customary conditions. On May 16, 2024, BPLP exercised its option to extend the maturity date of the 2023 Unsecured Term Loan to May 16, 2025. All other terms of the 2023 Unsecured Term Loan remain unchanged.</w:t>
      </w:r>
    </w:p>
    <w:p>
      <w:pPr>
        <w:spacing w:after="0" w:line="127" w:lineRule="exact"/>
        <w:rPr>
          <w:sz w:val="20"/>
          <w:szCs w:val="20"/>
          <w:color w:val="auto"/>
        </w:rPr>
      </w:pPr>
    </w:p>
    <w:p>
      <w:pPr>
        <w:ind w:right="240" w:firstLine="445"/>
        <w:spacing w:after="0" w:line="262" w:lineRule="auto"/>
        <w:rPr>
          <w:sz w:val="20"/>
          <w:szCs w:val="20"/>
          <w:color w:val="auto"/>
        </w:rPr>
      </w:pPr>
      <w:r>
        <w:rPr>
          <w:rFonts w:ascii="Arial" w:cs="Arial" w:eastAsia="Arial" w:hAnsi="Arial"/>
          <w:sz w:val="18"/>
          <w:szCs w:val="18"/>
          <w:color w:val="auto"/>
        </w:rPr>
        <w:t>At BPLP’s option, loans under the 2023 Unsecured Term Loan will bear interest at a rate per annum equal to (1) a base rate equal to the greatest of (a) the Federal Funds rate plus 0.5%, (b) the administrative agent’s prime rate, (c) Term SOFR for a one-month period plus 1.00%, and (d) 1.00%, in each case, plus a margin ranging from 0 to 60 basis points based on BPLP’s credit rating; or (2) a rate equal to adjusted Term SOFR with a one-month period plus a margin ranging from 75 to 160 basis points based on BPLP’s credit rating.</w:t>
      </w:r>
    </w:p>
    <w:p>
      <w:pPr>
        <w:spacing w:after="0" w:line="122" w:lineRule="exact"/>
        <w:rPr>
          <w:sz w:val="20"/>
          <w:szCs w:val="20"/>
          <w:color w:val="auto"/>
        </w:rPr>
      </w:pPr>
    </w:p>
    <w:p>
      <w:pPr>
        <w:ind w:firstLine="445"/>
        <w:spacing w:after="0" w:line="282" w:lineRule="auto"/>
        <w:rPr>
          <w:sz w:val="20"/>
          <w:szCs w:val="20"/>
          <w:color w:val="auto"/>
        </w:rPr>
      </w:pPr>
      <w:r>
        <w:rPr>
          <w:rFonts w:ascii="Arial" w:cs="Arial" w:eastAsia="Arial" w:hAnsi="Arial"/>
          <w:sz w:val="17"/>
          <w:szCs w:val="17"/>
          <w:color w:val="auto"/>
        </w:rPr>
        <w:t>On September 27, 2024, BPLP entered into the 2024 Unsecured Term Loan with the Lender under the SMBP Loan. Upon entry into the credit agreement, BPLP exercised its option to draw $100.0 million under the 2024 Unsecured Term Loan. The proceeds were used to repay the portion of the SMBP Loan held by the Lender. After the repayment, the SMBP Loan had a remaining principal balance of $200.0 million (See Note 14 to the Consolidated Financial Statements). The 2024 Unsecured Term Loan matures on September 26, 2025 with three,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one-year extension options, subject to customary conditions.</w:t>
      </w:r>
    </w:p>
    <w:p>
      <w:pPr>
        <w:spacing w:after="0" w:line="171" w:lineRule="exact"/>
        <w:rPr>
          <w:sz w:val="20"/>
          <w:szCs w:val="20"/>
          <w:color w:val="auto"/>
        </w:rPr>
      </w:pPr>
    </w:p>
    <w:p>
      <w:pPr>
        <w:ind w:right="220" w:firstLine="445"/>
        <w:spacing w:after="0" w:line="276" w:lineRule="auto"/>
        <w:rPr>
          <w:sz w:val="20"/>
          <w:szCs w:val="20"/>
          <w:color w:val="auto"/>
        </w:rPr>
      </w:pPr>
      <w:r>
        <w:rPr>
          <w:rFonts w:ascii="Arial" w:cs="Arial" w:eastAsia="Arial" w:hAnsi="Arial"/>
          <w:sz w:val="17"/>
          <w:szCs w:val="17"/>
          <w:color w:val="auto"/>
        </w:rPr>
        <w:t>At BPLP’s option, loans under the 2024 Unsecured Term Loan will bear interest at a rate per annum equal to (1) a base rate equal to the highest of (a) zero, (b) Prime Rate, (c) the Federal Funds effective rate plus 0.50%, and (d) Term SOFR for a one-month period plus</w:t>
      </w:r>
    </w:p>
    <w:p>
      <w:pPr>
        <w:jc w:val="both"/>
        <w:ind w:right="400"/>
        <w:spacing w:after="0" w:line="296" w:lineRule="auto"/>
        <w:rPr>
          <w:sz w:val="20"/>
          <w:szCs w:val="20"/>
          <w:color w:val="auto"/>
        </w:rPr>
      </w:pPr>
      <w:r>
        <w:rPr>
          <w:rFonts w:ascii="Arial" w:cs="Arial" w:eastAsia="Arial" w:hAnsi="Arial"/>
          <w:sz w:val="17"/>
          <w:szCs w:val="17"/>
          <w:color w:val="auto"/>
        </w:rPr>
        <w:t>1.10%, in each case, plus a margin ranging from 0 to 60 basis points based on BPLP’s credit rating; or (2) a rate equal to adjusted Term SOFR or Daily Simple SOFR with a one-month period plus a margin ranging from 75 to 160 basis points based on BPLP’s credit rating.</w:t>
      </w:r>
    </w:p>
    <w:p>
      <w:pPr>
        <w:spacing w:after="0" w:line="94"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Based on BPLP’s September 30, 2024 credit rating, (1) the 2023 Unsecured Term Loan bears interest at a rate equal to Term SOFR plus 1.05% per annum and (2) the 2024 Unsecured Term Loan bears interest at a rate equal to Daily Simple SOFR plus1.05% per annum. The 2024 Unsecured Term Loan is subject to an existing interest rate swap to fix Daily Simple SOFR at a fixed rate of approximately 2.688% per annum for a period that ends on April 1, 2025 (See Note 7 to the Consolidated Financial Statements). At September 30, 2024 and October 31, 2024, BPLP had $700.0 million and $100.0 million of principal outstanding under the 2023 Unsecured Term Loan and 2024 Unsecured Term Loan, respectively.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Unsecured Senior Notes</w:t>
      </w:r>
    </w:p>
    <w:p>
      <w:pPr>
        <w:spacing w:after="0" w:line="88"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For a description of BPLP’s outstanding unsecured senior notes as of September 30, 2024, See Note 6 to the Consolidated Financial Statements.</w:t>
      </w:r>
    </w:p>
    <w:p>
      <w:pPr>
        <w:spacing w:after="0" w:line="99"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On February 1, 2024, BPLP repaid $700.0 million in aggregate principal amount of its 3.800% senior notes due February 1, 2024. The repayment was completed with available cash and the $600.0 million proceeds from the mortgage loan entered into on October 26, 2023. The repayment price was approximately $713.3 million, which was equal to the stated principal plus approximately $13.3 million of accrued and unpaid interest to, but not including, the repayment date. Excluding the accrued and unpaid interest, the repayment price was equal to the principal amount being repaid.</w:t>
      </w:r>
    </w:p>
    <w:p>
      <w:pPr>
        <w:spacing w:after="0" w:line="125"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On August 26, 2024, BPLP completed a public offering of $850.0 million in aggregate principal amount of its 5.750% unsecured senior notes due 2035. The notes were priced at 99.961% of the principal amount to yield an effective rate (including financing fees) of approximately 5.842% per annum to maturity. The notes will mature on January 15, 2035, unless earlier redeemed. The aggregate net proceeds from the offering were approximately $841.9 million after deducting underwriting discounts and transaction expenses.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Unsecured Commercial Paper</w:t>
      </w:r>
    </w:p>
    <w:p>
      <w:pPr>
        <w:spacing w:after="0" w:line="102"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On April 17, 2024, BPLP established an unsecured commercial paper program. Under the terms of the program, BPLP may issue, from time to time, unsecured commercial paper notes up to a maximum aggregate amount outstanding at any one time of $500.0 million with varying maturities of up to one year. Amounts available under the unsecured commercial paper program may be borrowed, repaid, and re-borrowed from time to time. The notes are sold in private placements and rank pari passu with all of BPLP’s other unsecured senior indebtedness, including its outstanding senior notes. The unsecured commercial paper program is backstopped by available capacity under the 2021 Credit Facility. At September 30, 2024, BPLP had an aggregate of $500.0 million of unsecured commercial paper notes outstanding that bore interest at a weighted-average rate of approximately 5.22% per annum and had a weighted-average maturity of 34 days, from the issuance date. At October 31, 2024, BPLP had an aggregate of $500.0 million of commercial paper notes outstanding that bore interest at a weighted-average rate of approximately 5.03% per annum and had a weighted-average maturity of 29 days, from the issuance date. Proceeds from the unsecured commercial paper program were used to reduce BPLP’s 2023 Unsecured Term Loan to $700.0 million.</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Mortgage Notes Payable</w:t>
      </w:r>
    </w:p>
    <w:p>
      <w:pPr>
        <w:spacing w:after="0" w:line="102"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On January 8, 2024, we acquired our joint venture partner’s 50% economic ownership interest in the joint venture that owns 901 New York Avenue located in Washington, DC (See Note 3 to the Consolidated Financial Statements). The property is subject to existing mortgage indebtedness. At acquisition, the mortgage loan had an outstanding principal balance of approximately $207.1 million, bore interest at 3.61% per annum and was scheduled to mature on January 5, 2025. The mortgage loan was recorded at a fair value of approximately $198.7 million. On January 11, 2024, we modified the mortgage loan to provide for two extension options totaling five years of additional term, each subject to certain conditions. The first loan extension option provides for an additional term of four years at a fixed interest rate of 5.0% per annum.</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outstanding mortgage notes payable, net at September 30,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Fair Value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center"/>
              <w:ind w:right="71"/>
              <w:spacing w:after="0"/>
              <w:rPr>
                <w:sz w:val="20"/>
                <w:szCs w:val="20"/>
                <w:color w:val="auto"/>
              </w:rPr>
            </w:pPr>
            <w:r>
              <w:rPr>
                <w:rFonts w:ascii="Arial" w:cs="Arial" w:eastAsia="Arial" w:hAnsi="Arial"/>
                <w:sz w:val="13"/>
                <w:szCs w:val="13"/>
                <w:b w:val="1"/>
                <w:bCs w:val="1"/>
                <w:color w:val="auto"/>
                <w:w w:val="97"/>
              </w:rPr>
              <w:t>Carrying</w:t>
            </w:r>
          </w:p>
        </w:tc>
        <w:tc>
          <w:tcPr>
            <w:tcW w:w="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vMerge w:val="restart"/>
          </w:tcPr>
          <w:p>
            <w:pPr>
              <w:jc w:val="center"/>
              <w:ind w:right="31"/>
              <w:spacing w:after="0"/>
              <w:rPr>
                <w:sz w:val="20"/>
                <w:szCs w:val="20"/>
                <w:color w:val="auto"/>
              </w:rPr>
            </w:pPr>
            <w:r>
              <w:rPr>
                <w:rFonts w:ascii="Arial" w:cs="Arial" w:eastAsia="Arial" w:hAnsi="Arial"/>
                <w:sz w:val="13"/>
                <w:szCs w:val="13"/>
                <w:b w:val="1"/>
                <w:bCs w:val="1"/>
                <w:color w:val="auto"/>
                <w:w w:val="95"/>
              </w:rPr>
              <w:t>GAAP</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Adjustment and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ind w:right="291"/>
              <w:spacing w:after="0"/>
              <w:rPr>
                <w:sz w:val="20"/>
                <w:szCs w:val="20"/>
                <w:color w:val="auto"/>
              </w:rPr>
            </w:pPr>
            <w:r>
              <w:rPr>
                <w:rFonts w:ascii="Arial" w:cs="Arial" w:eastAsia="Arial" w:hAnsi="Arial"/>
                <w:sz w:val="13"/>
                <w:szCs w:val="13"/>
                <w:b w:val="1"/>
                <w:bCs w:val="1"/>
                <w:color w:val="auto"/>
              </w:rPr>
              <w:t>Stated</w:t>
            </w:r>
          </w:p>
        </w:tc>
        <w:tc>
          <w:tcPr>
            <w:tcW w:w="1060" w:type="dxa"/>
            <w:vAlign w:val="bottom"/>
            <w:vMerge w:val="continue"/>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Stated Principal</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Deferred</w:t>
            </w:r>
          </w:p>
        </w:tc>
        <w:tc>
          <w:tcPr>
            <w:tcW w:w="180" w:type="dxa"/>
            <w:vAlign w:val="bottom"/>
          </w:tcPr>
          <w:p>
            <w:pPr>
              <w:spacing w:after="0"/>
              <w:rPr>
                <w:sz w:val="10"/>
                <w:szCs w:val="10"/>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860" w:type="dxa"/>
            <w:vAlign w:val="bottom"/>
          </w:tcPr>
          <w:p>
            <w:pPr>
              <w:jc w:val="center"/>
              <w:ind w:right="71"/>
              <w:spacing w:after="0" w:line="122" w:lineRule="exact"/>
              <w:rPr>
                <w:sz w:val="20"/>
                <w:szCs w:val="20"/>
                <w:color w:val="auto"/>
              </w:rPr>
            </w:pPr>
            <w:r>
              <w:rPr>
                <w:rFonts w:ascii="Arial" w:cs="Arial" w:eastAsia="Arial" w:hAnsi="Arial"/>
                <w:sz w:val="13"/>
                <w:szCs w:val="13"/>
                <w:b w:val="1"/>
                <w:bCs w:val="1"/>
                <w:color w:val="auto"/>
                <w:w w:val="97"/>
              </w:rPr>
              <w:t>Amount</w:t>
            </w:r>
          </w:p>
        </w:tc>
        <w:tc>
          <w:tcPr>
            <w:tcW w:w="6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Properties</w:t>
            </w:r>
          </w:p>
        </w:tc>
        <w:tc>
          <w:tcPr>
            <w:tcW w:w="1020" w:type="dxa"/>
            <w:vAlign w:val="bottom"/>
            <w:vMerge w:val="continue"/>
          </w:tcPr>
          <w:p>
            <w:pPr>
              <w:spacing w:after="0"/>
              <w:rPr>
                <w:sz w:val="10"/>
                <w:szCs w:val="10"/>
                <w:color w:val="auto"/>
              </w:rPr>
            </w:pPr>
          </w:p>
        </w:tc>
        <w:tc>
          <w:tcPr>
            <w:tcW w:w="1060" w:type="dxa"/>
            <w:vAlign w:val="bottom"/>
          </w:tcPr>
          <w:p>
            <w:pPr>
              <w:jc w:val="center"/>
              <w:ind w:right="31"/>
              <w:spacing w:after="0" w:line="122" w:lineRule="exact"/>
              <w:rPr>
                <w:sz w:val="20"/>
                <w:szCs w:val="20"/>
                <w:color w:val="auto"/>
              </w:rPr>
            </w:pPr>
            <w:r>
              <w:rPr>
                <w:rFonts w:ascii="Arial" w:cs="Arial" w:eastAsia="Arial" w:hAnsi="Arial"/>
                <w:sz w:val="13"/>
                <w:szCs w:val="13"/>
                <w:b w:val="1"/>
                <w:bCs w:val="1"/>
                <w:color w:val="auto"/>
                <w:w w:val="96"/>
              </w:rPr>
              <w:t>Interest Rate</w:t>
            </w:r>
          </w:p>
        </w:tc>
        <w:tc>
          <w:tcPr>
            <w:tcW w:w="1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Financing</w:t>
            </w: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91"/>
              <w:spacing w:after="0" w:line="122" w:lineRule="exact"/>
              <w:rPr>
                <w:sz w:val="20"/>
                <w:szCs w:val="20"/>
                <w:color w:val="auto"/>
              </w:rPr>
            </w:pPr>
            <w:r>
              <w:rPr>
                <w:rFonts w:ascii="Arial" w:cs="Arial" w:eastAsia="Arial" w:hAnsi="Arial"/>
                <w:sz w:val="13"/>
                <w:szCs w:val="13"/>
                <w:b w:val="1"/>
                <w:bCs w:val="1"/>
                <w:color w:val="auto"/>
                <w:w w:val="96"/>
              </w:rPr>
              <w:t>(Partners</w:t>
            </w:r>
            <w:r>
              <w:rPr>
                <w:rFonts w:ascii="Arial" w:cs="Arial" w:eastAsia="Arial" w:hAnsi="Arial"/>
                <w:sz w:val="13"/>
                <w:szCs w:val="13"/>
                <w:color w:val="auto"/>
                <w:w w:val="96"/>
              </w:rPr>
              <w:t>’</w:t>
            </w:r>
          </w:p>
        </w:tc>
        <w:tc>
          <w:tcPr>
            <w:tcW w:w="660" w:type="dxa"/>
            <w:vAlign w:val="bottom"/>
          </w:tcPr>
          <w:p>
            <w:pPr>
              <w:spacing w:after="0"/>
              <w:rPr>
                <w:sz w:val="10"/>
                <w:szCs w:val="10"/>
                <w:color w:val="auto"/>
              </w:rPr>
            </w:pPr>
          </w:p>
        </w:tc>
        <w:tc>
          <w:tcPr>
            <w:tcW w:w="156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Arial" w:cs="Arial" w:eastAsia="Arial" w:hAnsi="Arial"/>
                <w:sz w:val="13"/>
                <w:szCs w:val="13"/>
                <w:b w:val="1"/>
                <w:bCs w:val="1"/>
                <w:color w:val="auto"/>
              </w:rPr>
              <w:t>Interest Rate</w:t>
            </w:r>
          </w:p>
        </w:tc>
        <w:tc>
          <w:tcPr>
            <w:tcW w:w="1060" w:type="dxa"/>
            <w:vAlign w:val="bottom"/>
          </w:tcPr>
          <w:p>
            <w:pPr>
              <w:jc w:val="center"/>
              <w:ind w:right="31"/>
              <w:spacing w:after="0"/>
              <w:rPr>
                <w:sz w:val="20"/>
                <w:szCs w:val="20"/>
                <w:color w:val="auto"/>
              </w:rPr>
            </w:pPr>
            <w:r>
              <w:rPr>
                <w:rFonts w:ascii="Arial" w:cs="Arial" w:eastAsia="Arial" w:hAnsi="Arial"/>
                <w:sz w:val="13"/>
                <w:szCs w:val="13"/>
                <w:b w:val="1"/>
                <w:bCs w:val="1"/>
                <w:color w:val="auto"/>
              </w:rPr>
              <w:t>(1)</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Costs, Net</w:t>
            </w: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6"/>
                <w:szCs w:val="16"/>
                <w:color w:val="auto"/>
              </w:rPr>
            </w:pPr>
          </w:p>
        </w:tc>
        <w:tc>
          <w:tcPr>
            <w:tcW w:w="860" w:type="dxa"/>
            <w:vAlign w:val="bottom"/>
          </w:tcPr>
          <w:p>
            <w:pPr>
              <w:jc w:val="center"/>
              <w:ind w:right="91"/>
              <w:spacing w:after="0"/>
              <w:rPr>
                <w:sz w:val="20"/>
                <w:szCs w:val="20"/>
                <w:color w:val="auto"/>
              </w:rPr>
            </w:pPr>
            <w:r>
              <w:rPr>
                <w:rFonts w:ascii="Arial" w:cs="Arial" w:eastAsia="Arial" w:hAnsi="Arial"/>
                <w:sz w:val="13"/>
                <w:szCs w:val="13"/>
                <w:b w:val="1"/>
                <w:bCs w:val="1"/>
                <w:color w:val="auto"/>
                <w:w w:val="93"/>
              </w:rPr>
              <w:t>Share)</w:t>
            </w:r>
          </w:p>
        </w:tc>
        <w:tc>
          <w:tcPr>
            <w:tcW w:w="66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Wholly-owned</w:t>
            </w:r>
          </w:p>
        </w:tc>
        <w:tc>
          <w:tcPr>
            <w:tcW w:w="1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gridSpan w:val="4"/>
          </w:tcPr>
          <w:p>
            <w:pPr>
              <w:spacing w:after="0"/>
              <w:rPr>
                <w:sz w:val="20"/>
                <w:szCs w:val="20"/>
                <w:color w:val="auto"/>
              </w:rPr>
            </w:pPr>
            <w:r>
              <w:rPr>
                <w:rFonts w:ascii="Arial" w:cs="Arial" w:eastAsia="Arial" w:hAnsi="Arial"/>
                <w:sz w:val="14"/>
                <w:szCs w:val="14"/>
                <w:color w:val="auto"/>
              </w:rPr>
              <w:t>901 New York Avenue</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3.61 %</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7.69 %</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203,632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(2,330)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201,302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N/A</w:t>
            </w:r>
          </w:p>
        </w:tc>
        <w:tc>
          <w:tcPr>
            <w:tcW w:w="660" w:type="dxa"/>
            <w:vAlign w:val="bottom"/>
          </w:tcPr>
          <w:p>
            <w:pPr>
              <w:ind w:left="160"/>
              <w:spacing w:after="0"/>
              <w:rPr>
                <w:sz w:val="20"/>
                <w:szCs w:val="20"/>
                <w:color w:val="auto"/>
              </w:rPr>
            </w:pPr>
            <w:r>
              <w:rPr>
                <w:rFonts w:ascii="Arial" w:cs="Arial" w:eastAsia="Arial" w:hAnsi="Arial"/>
                <w:sz w:val="14"/>
                <w:szCs w:val="14"/>
                <w:color w:val="auto"/>
              </w:rPr>
              <w:t>(2)</w:t>
            </w:r>
          </w:p>
        </w:tc>
        <w:tc>
          <w:tcPr>
            <w:tcW w:w="1560" w:type="dxa"/>
            <w:vAlign w:val="bottom"/>
          </w:tcPr>
          <w:p>
            <w:pPr>
              <w:ind w:left="160"/>
              <w:spacing w:after="0"/>
              <w:rPr>
                <w:sz w:val="20"/>
                <w:szCs w:val="20"/>
                <w:color w:val="auto"/>
              </w:rPr>
            </w:pPr>
            <w:r>
              <w:rPr>
                <w:rFonts w:ascii="Arial" w:cs="Arial" w:eastAsia="Arial" w:hAnsi="Arial"/>
                <w:sz w:val="14"/>
                <w:szCs w:val="14"/>
                <w:color w:val="auto"/>
              </w:rPr>
              <w:t>January 5, 2025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Santa Monica Business Park</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4.06 %</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6.53 %</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(3)(4)</w:t>
            </w:r>
          </w:p>
        </w:tc>
        <w:tc>
          <w:tcPr>
            <w:tcW w:w="1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July 19,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gridSpan w:val="4"/>
          </w:tcPr>
          <w:p>
            <w:pPr>
              <w:spacing w:after="0" w:line="149" w:lineRule="exact"/>
              <w:rPr>
                <w:sz w:val="20"/>
                <w:szCs w:val="20"/>
                <w:color w:val="auto"/>
              </w:rPr>
            </w:pPr>
            <w:r>
              <w:rPr>
                <w:rFonts w:ascii="Arial" w:cs="Arial" w:eastAsia="Arial" w:hAnsi="Arial"/>
                <w:sz w:val="14"/>
                <w:szCs w:val="14"/>
                <w:color w:val="auto"/>
              </w:rPr>
              <w:t>90 Broadway, 325 Main Street, 355</w:t>
            </w: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40" w:type="dxa"/>
            <w:vAlign w:val="bottom"/>
            <w:gridSpan w:val="4"/>
          </w:tcPr>
          <w:p>
            <w:pPr>
              <w:ind w:left="160"/>
              <w:spacing w:after="0" w:line="139" w:lineRule="exact"/>
              <w:rPr>
                <w:sz w:val="20"/>
                <w:szCs w:val="20"/>
                <w:color w:val="auto"/>
              </w:rPr>
            </w:pPr>
            <w:r>
              <w:rPr>
                <w:rFonts w:ascii="Arial" w:cs="Arial" w:eastAsia="Arial" w:hAnsi="Arial"/>
                <w:sz w:val="14"/>
                <w:szCs w:val="14"/>
                <w:color w:val="auto"/>
              </w:rPr>
              <w:t>Main Street, and Cambridge East</w:t>
            </w: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gridSpan w:val="4"/>
          </w:tcPr>
          <w:p>
            <w:pPr>
              <w:ind w:left="160"/>
              <w:spacing w:after="0" w:line="149" w:lineRule="exact"/>
              <w:rPr>
                <w:sz w:val="20"/>
                <w:szCs w:val="20"/>
                <w:color w:val="auto"/>
              </w:rPr>
            </w:pPr>
            <w:r>
              <w:rPr>
                <w:rFonts w:ascii="Arial" w:cs="Arial" w:eastAsia="Arial" w:hAnsi="Arial"/>
                <w:sz w:val="14"/>
                <w:szCs w:val="14"/>
                <w:color w:val="auto"/>
              </w:rPr>
              <w:t>Garage (also known as Kendall</w:t>
            </w:r>
          </w:p>
        </w:tc>
        <w:tc>
          <w:tcPr>
            <w:tcW w:w="1020" w:type="dxa"/>
            <w:vAlign w:val="bottom"/>
            <w:vMerge w:val="restart"/>
          </w:tcPr>
          <w:p>
            <w:pPr>
              <w:jc w:val="right"/>
              <w:ind w:right="31"/>
              <w:spacing w:after="0"/>
              <w:rPr>
                <w:sz w:val="20"/>
                <w:szCs w:val="20"/>
                <w:color w:val="auto"/>
              </w:rPr>
            </w:pPr>
            <w:r>
              <w:rPr>
                <w:rFonts w:ascii="Arial" w:cs="Arial" w:eastAsia="Arial" w:hAnsi="Arial"/>
                <w:sz w:val="14"/>
                <w:szCs w:val="14"/>
                <w:color w:val="auto"/>
              </w:rPr>
              <w:t>6.04 %</w:t>
            </w:r>
          </w:p>
        </w:tc>
        <w:tc>
          <w:tcPr>
            <w:tcW w:w="1060" w:type="dxa"/>
            <w:vAlign w:val="bottom"/>
            <w:vMerge w:val="restart"/>
          </w:tcPr>
          <w:p>
            <w:pPr>
              <w:jc w:val="right"/>
              <w:ind w:right="51"/>
              <w:spacing w:after="0"/>
              <w:rPr>
                <w:sz w:val="20"/>
                <w:szCs w:val="20"/>
                <w:color w:val="auto"/>
              </w:rPr>
            </w:pPr>
            <w:r>
              <w:rPr>
                <w:rFonts w:ascii="Arial" w:cs="Arial" w:eastAsia="Arial" w:hAnsi="Arial"/>
                <w:sz w:val="14"/>
                <w:szCs w:val="14"/>
                <w:color w:val="auto"/>
              </w:rPr>
              <w:t>6.27 %</w:t>
            </w:r>
          </w:p>
        </w:tc>
        <w:tc>
          <w:tcPr>
            <w:tcW w:w="18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(5,467)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594,533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660" w:type="dxa"/>
            <w:vAlign w:val="bottom"/>
            <w:vMerge w:val="restart"/>
          </w:tcPr>
          <w:p>
            <w:pPr>
              <w:ind w:left="160"/>
              <w:spacing w:after="0"/>
              <w:rPr>
                <w:sz w:val="20"/>
                <w:szCs w:val="20"/>
                <w:color w:val="auto"/>
              </w:rPr>
            </w:pPr>
            <w:r>
              <w:rPr>
                <w:rFonts w:ascii="Arial" w:cs="Arial" w:eastAsia="Arial" w:hAnsi="Arial"/>
                <w:sz w:val="14"/>
                <w:szCs w:val="14"/>
                <w:color w:val="auto"/>
              </w:rPr>
              <w:t>(3)(5)</w:t>
            </w:r>
          </w:p>
        </w:tc>
        <w:tc>
          <w:tcPr>
            <w:tcW w:w="1560" w:type="dxa"/>
            <w:vAlign w:val="bottom"/>
            <w:vMerge w:val="restart"/>
          </w:tcPr>
          <w:p>
            <w:pPr>
              <w:ind w:left="160"/>
              <w:spacing w:after="0"/>
              <w:rPr>
                <w:sz w:val="20"/>
                <w:szCs w:val="20"/>
                <w:color w:val="auto"/>
              </w:rPr>
            </w:pPr>
            <w:r>
              <w:rPr>
                <w:rFonts w:ascii="Arial" w:cs="Arial" w:eastAsia="Arial" w:hAnsi="Arial"/>
                <w:sz w:val="14"/>
                <w:szCs w:val="14"/>
                <w:color w:val="auto"/>
              </w:rPr>
              <w:t>October 26, 2028</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gridSpan w:val="4"/>
          </w:tcPr>
          <w:p>
            <w:pPr>
              <w:ind w:left="160"/>
              <w:spacing w:after="0"/>
              <w:rPr>
                <w:sz w:val="20"/>
                <w:szCs w:val="20"/>
                <w:color w:val="auto"/>
              </w:rPr>
            </w:pPr>
            <w:r>
              <w:rPr>
                <w:rFonts w:ascii="Arial" w:cs="Arial" w:eastAsia="Arial" w:hAnsi="Arial"/>
                <w:sz w:val="14"/>
                <w:szCs w:val="14"/>
                <w:color w:val="auto"/>
              </w:rPr>
              <w:t>Center Green Garage)</w:t>
            </w:r>
          </w:p>
        </w:tc>
        <w:tc>
          <w:tcPr>
            <w:tcW w:w="1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Subtotal</w:t>
            </w: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1,003,632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994,338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Consolidated Joint Ventures</w:t>
            </w: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5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767 Fifth Avenue (the General</w:t>
            </w: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3.43 %</w:t>
            </w:r>
          </w:p>
        </w:tc>
        <w:tc>
          <w:tcPr>
            <w:tcW w:w="10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3.64 %</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(9,375)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2,290,625</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916,283</w:t>
            </w:r>
          </w:p>
        </w:tc>
        <w:tc>
          <w:tcPr>
            <w:tcW w:w="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(3)(6)</w:t>
            </w:r>
          </w:p>
        </w:tc>
        <w:tc>
          <w:tcPr>
            <w:tcW w:w="156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June 9, 2027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54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Motors Building)</w:t>
            </w:r>
          </w:p>
        </w:tc>
        <w:tc>
          <w:tcPr>
            <w:tcW w:w="10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(7)</w:t>
            </w:r>
          </w:p>
        </w:tc>
        <w:tc>
          <w:tcPr>
            <w:tcW w:w="1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601 Lexington Avenue</w:t>
            </w:r>
          </w:p>
        </w:tc>
        <w:tc>
          <w:tcPr>
            <w:tcW w:w="1020" w:type="dxa"/>
            <w:vAlign w:val="bottom"/>
            <w:tcBorders>
              <w:bottom w:val="single" w:sz="8" w:color="CCEEFF"/>
            </w:tcBorders>
          </w:tcPr>
          <w:p>
            <w:pPr>
              <w:jc w:val="right"/>
              <w:ind w:right="31"/>
              <w:spacing w:after="0"/>
              <w:rPr>
                <w:sz w:val="20"/>
                <w:szCs w:val="20"/>
                <w:color w:val="auto"/>
              </w:rPr>
            </w:pPr>
            <w:r>
              <w:rPr>
                <w:rFonts w:ascii="Arial" w:cs="Arial" w:eastAsia="Arial" w:hAnsi="Arial"/>
                <w:sz w:val="14"/>
                <w:szCs w:val="14"/>
                <w:color w:val="auto"/>
              </w:rPr>
              <w:t>2.79 %</w:t>
            </w:r>
          </w:p>
        </w:tc>
        <w:tc>
          <w:tcPr>
            <w:tcW w:w="1060" w:type="dxa"/>
            <w:vAlign w:val="bottom"/>
            <w:tcBorders>
              <w:bottom w:val="single" w:sz="8" w:color="CCEEFF"/>
            </w:tcBorders>
          </w:tcPr>
          <w:p>
            <w:pPr>
              <w:jc w:val="right"/>
              <w:ind w:right="51"/>
              <w:spacing w:after="0"/>
              <w:rPr>
                <w:sz w:val="20"/>
                <w:szCs w:val="20"/>
                <w:color w:val="auto"/>
              </w:rPr>
            </w:pPr>
            <w:r>
              <w:rPr>
                <w:rFonts w:ascii="Arial" w:cs="Arial" w:eastAsia="Arial" w:hAnsi="Arial"/>
                <w:sz w:val="14"/>
                <w:szCs w:val="14"/>
                <w:color w:val="auto"/>
              </w:rPr>
              <w:t>2.93 %</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990,192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445,586</w:t>
            </w:r>
          </w:p>
        </w:tc>
        <w:tc>
          <w:tcPr>
            <w:tcW w:w="6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(3)(8)</w:t>
            </w:r>
          </w:p>
        </w:tc>
        <w:tc>
          <w:tcPr>
            <w:tcW w:w="15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January 9, 2032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Subtotal</w:t>
            </w: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3,300,000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3,280,817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1,361,869</w:t>
            </w: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40" w:type="dxa"/>
            <w:vAlign w:val="bottom"/>
            <w:gridSpan w:val="4"/>
          </w:tcPr>
          <w:p>
            <w:pPr>
              <w:spacing w:after="0"/>
              <w:rPr>
                <w:sz w:val="20"/>
                <w:szCs w:val="20"/>
                <w:color w:val="auto"/>
              </w:rPr>
            </w:pPr>
            <w:r>
              <w:rPr>
                <w:rFonts w:ascii="Arial" w:cs="Arial" w:eastAsia="Arial" w:hAnsi="Arial"/>
                <w:sz w:val="14"/>
                <w:szCs w:val="14"/>
                <w:color w:val="auto"/>
              </w:rPr>
              <w:t>Total</w:t>
            </w: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4,303,632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(28,477)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4,275,155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1,361,869</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660" w:right="40" w:hanging="328"/>
        <w:spacing w:after="0" w:line="252"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GAAP interest rate differs from the stated interest rate due to the inclusion of the amortization of financing charges, the effects of hedging transactions (if any) and adjustments required under Accounting Standards Codification 805 “Business Combinations” to reflect loans and swaps at their fair values (if any).</w:t>
      </w:r>
    </w:p>
    <w:p>
      <w:pPr>
        <w:ind w:left="660" w:right="200" w:hanging="328"/>
        <w:spacing w:after="0" w:line="255"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Carrying amount includes an approximately $2.2 million fair value interest adjustment. The loan includes two extension options, subject to certain conditions. The first loan extension option provides for an additional term of four years at a fixed interest rate of 5.0% per annum.</w:t>
      </w: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mortgage loan requires interest only payments with a balloon payment due at maturity.</w:t>
      </w:r>
    </w:p>
    <w:p>
      <w:pPr>
        <w:spacing w:after="0" w:line="14" w:lineRule="exact"/>
        <w:rPr>
          <w:rFonts w:ascii="Arial" w:cs="Arial" w:eastAsia="Arial" w:hAnsi="Arial"/>
          <w:sz w:val="16"/>
          <w:szCs w:val="16"/>
          <w:color w:val="auto"/>
        </w:rPr>
      </w:pPr>
    </w:p>
    <w:p>
      <w:pPr>
        <w:ind w:left="660" w:right="80" w:hanging="328"/>
        <w:spacing w:after="0" w:line="253"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mortgage loan bears interest at a variable rate of Daily Simple SOFR plus 1.38% per annum (See Notes 6 and 14 to the Consolidated Financial Statements). The borrower under the loan entered into interest rate swap contracts to fix Daily Simple SOFR at a weighted-average fixed interest rate of 2.675% for the period commencing on February 1, 2023 and ending on April 1, 2025. Stated interest rate reflects the weighted average fixed interest rate based on the interest rate swap contracts plus 1.38% per annum. Carrying amount includes an approximately $1.5 million fair value interest adjustment and excludes the adjustment required to reflect the interest rate swap at fair value upon acquisition of approximately $1.9 million.</w:t>
      </w:r>
    </w:p>
    <w:p>
      <w:pPr>
        <w:spacing w:after="0" w:line="1" w:lineRule="exact"/>
        <w:rPr>
          <w:rFonts w:ascii="Arial" w:cs="Arial" w:eastAsia="Arial" w:hAnsi="Arial"/>
          <w:sz w:val="16"/>
          <w:szCs w:val="16"/>
          <w:color w:val="auto"/>
        </w:rPr>
      </w:pPr>
    </w:p>
    <w:p>
      <w:pPr>
        <w:ind w:left="660" w:right="80" w:hanging="328"/>
        <w:spacing w:after="0" w:line="254"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mortgage loan bears interest at a variable rate of Daily Compounded SOFR plus 2.25% per annum. On December 7, 2023, BPLP entered into three interest rate swap contracts with notional amounts aggregating $600.0 million to fix Daily Compounded SOFR at a weighted-average fixed interest rate of 3.7925% for the period commencing on December 15, 2023 and ending on October 26, 2028. The stated interest rate reflects the weighted average fixed interest rate based on the interest rate swap contracts plus 2.25% per annum.</w:t>
      </w:r>
    </w:p>
    <w:p>
      <w:pPr>
        <w:ind w:left="660" w:right="80" w:hanging="328"/>
        <w:spacing w:after="0" w:line="249"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60% interest. The partners’ share of the carrying amount has been adjusted for basis differentials.</w:t>
      </w:r>
    </w:p>
    <w:p>
      <w:pPr>
        <w:ind w:left="660" w:right="200" w:hanging="328"/>
        <w:spacing w:after="0" w:line="253"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connection with the refinancing of the loan, we guaranteed the consolidated entity’s obligation to fund various reserves for tenant improvement costs and allowances, leasing commissions and free rent obligations in lieu of cash deposits. As of September 30, 2024, the maximum funding obligation under the guarantee was approximately $6.4 million. We earn a fee from the joint venture for providing the guarantee and have an agreement with our partners to reimburse the joint venture for their share of any payments made under the guarantee (See Note 8 to the Consolidated Financial Statements).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55% interest.</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02" w:lineRule="exact"/>
        <w:rPr>
          <w:sz w:val="20"/>
          <w:szCs w:val="20"/>
          <w:color w:val="auto"/>
        </w:rPr>
      </w:pPr>
    </w:p>
    <w:p>
      <w:pPr>
        <w:jc w:val="both"/>
        <w:ind w:right="160" w:firstLine="445"/>
        <w:spacing w:after="0" w:line="318" w:lineRule="auto"/>
        <w:rPr>
          <w:sz w:val="20"/>
          <w:szCs w:val="20"/>
          <w:color w:val="auto"/>
        </w:rPr>
      </w:pPr>
      <w:r>
        <w:rPr>
          <w:rFonts w:ascii="Arial" w:cs="Arial" w:eastAsia="Arial" w:hAnsi="Arial"/>
          <w:sz w:val="17"/>
          <w:szCs w:val="17"/>
          <w:color w:val="auto"/>
        </w:rPr>
        <w:t>As of September 30, 2024, we had $ 900.0 million of interest rate swaps outstanding, where hedge accounting was elected, with a fair value of approximately $(10.2) million. For a description of these interest rate swaps, see Note 7 to the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 in Unconsolidated Joint Ventures - Secured Debt</w:t>
      </w:r>
    </w:p>
    <w:p>
      <w:pPr>
        <w:spacing w:after="0" w:line="88"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We have investments in unconsolidated joint ventures with our effective ownership interests ranging from 20% to approximately 71%. Fourteen of these ventures have mortgage indebtedness. We exercise significant influence over, but do not control, these entities. As a result, we account for them using the equity method of accounting. See also Note 5 to the Consolidated Financial Statements. At September 30, 2024, the aggregate carrying amount of debt, including both our and our partners’ share, incurred by these ventures was approximately $3.2 billion (of which our proportionate share is approximately $1.4 billion). The table below summarizes the outstanding debt of these joint venture properties at September 30, 2024.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Nominal %</w:t>
            </w:r>
          </w:p>
        </w:tc>
        <w:tc>
          <w:tcPr>
            <w:tcW w:w="880" w:type="dxa"/>
            <w:vAlign w:val="bottom"/>
          </w:tcPr>
          <w:p>
            <w:pPr>
              <w:jc w:val="center"/>
              <w:ind w:right="41"/>
              <w:spacing w:after="0"/>
              <w:rPr>
                <w:sz w:val="20"/>
                <w:szCs w:val="20"/>
                <w:color w:val="auto"/>
              </w:rPr>
            </w:pPr>
            <w:r>
              <w:rPr>
                <w:rFonts w:ascii="Arial" w:cs="Arial" w:eastAsia="Arial" w:hAnsi="Arial"/>
                <w:sz w:val="14"/>
                <w:szCs w:val="14"/>
                <w:b w:val="1"/>
                <w:bCs w:val="1"/>
                <w:color w:val="auto"/>
              </w:rPr>
              <w:t>Stated</w:t>
            </w:r>
          </w:p>
        </w:tc>
        <w:tc>
          <w:tcPr>
            <w:tcW w:w="840" w:type="dxa"/>
            <w:vAlign w:val="bottom"/>
          </w:tcPr>
          <w:p>
            <w:pPr>
              <w:jc w:val="right"/>
              <w:ind w:right="181"/>
              <w:spacing w:after="0"/>
              <w:rPr>
                <w:sz w:val="20"/>
                <w:szCs w:val="20"/>
                <w:color w:val="auto"/>
              </w:rPr>
            </w:pPr>
            <w:r>
              <w:rPr>
                <w:rFonts w:ascii="Arial" w:cs="Arial" w:eastAsia="Arial" w:hAnsi="Arial"/>
                <w:sz w:val="14"/>
                <w:szCs w:val="14"/>
                <w:b w:val="1"/>
                <w:bCs w:val="1"/>
                <w:color w:val="auto"/>
              </w:rPr>
              <w:t>GAAP</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Term of</w:t>
            </w: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Stated</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Properties</w:t>
            </w:r>
          </w:p>
        </w:tc>
        <w:tc>
          <w:tcPr>
            <w:tcW w:w="1020" w:type="dxa"/>
            <w:vAlign w:val="bottom"/>
            <w:vMerge w:val="continue"/>
          </w:tcPr>
          <w:p>
            <w:pPr>
              <w:spacing w:after="0"/>
              <w:rPr>
                <w:sz w:val="12"/>
                <w:szCs w:val="12"/>
                <w:color w:val="auto"/>
              </w:rPr>
            </w:pPr>
          </w:p>
        </w:tc>
        <w:tc>
          <w:tcPr>
            <w:tcW w:w="88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rPr>
              <w:t>Interest</w:t>
            </w:r>
          </w:p>
        </w:tc>
        <w:tc>
          <w:tcPr>
            <w:tcW w:w="840" w:type="dxa"/>
            <w:vAlign w:val="bottom"/>
          </w:tcPr>
          <w:p>
            <w:pPr>
              <w:jc w:val="right"/>
              <w:ind w:right="121"/>
              <w:spacing w:after="0" w:line="145" w:lineRule="exact"/>
              <w:rPr>
                <w:sz w:val="20"/>
                <w:szCs w:val="20"/>
                <w:color w:val="auto"/>
              </w:rPr>
            </w:pPr>
            <w:r>
              <w:rPr>
                <w:rFonts w:ascii="Arial" w:cs="Arial" w:eastAsia="Arial" w:hAnsi="Arial"/>
                <w:sz w:val="14"/>
                <w:szCs w:val="14"/>
                <w:b w:val="1"/>
                <w:bCs w:val="1"/>
                <w:color w:val="auto"/>
              </w:rPr>
              <w:t>Interest</w:t>
            </w: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Variable Rate</w:t>
            </w: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Principal</w:t>
            </w:r>
          </w:p>
        </w:tc>
        <w:tc>
          <w:tcPr>
            <w:tcW w:w="88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Financing</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2"/>
                <w:szCs w:val="12"/>
                <w:color w:val="auto"/>
              </w:rPr>
            </w:pP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9"/>
        </w:trPr>
        <w:tc>
          <w:tcPr>
            <w:tcW w:w="1700" w:type="dxa"/>
            <w:vAlign w:val="bottom"/>
            <w:gridSpan w:val="2"/>
            <w:vMerge w:val="continue"/>
          </w:tcPr>
          <w:p>
            <w:pPr>
              <w:spacing w:after="0"/>
              <w:rPr>
                <w:sz w:val="16"/>
                <w:szCs w:val="16"/>
                <w:color w:val="auto"/>
              </w:rPr>
            </w:pPr>
          </w:p>
        </w:tc>
        <w:tc>
          <w:tcPr>
            <w:tcW w:w="1020" w:type="dxa"/>
            <w:vAlign w:val="bottom"/>
          </w:tcPr>
          <w:p>
            <w:pPr>
              <w:jc w:val="right"/>
              <w:ind w:right="120"/>
              <w:spacing w:after="0"/>
              <w:rPr>
                <w:sz w:val="20"/>
                <w:szCs w:val="20"/>
                <w:color w:val="auto"/>
              </w:rPr>
            </w:pPr>
            <w:r>
              <w:rPr>
                <w:rFonts w:ascii="Arial" w:cs="Arial" w:eastAsia="Arial" w:hAnsi="Arial"/>
                <w:sz w:val="14"/>
                <w:szCs w:val="14"/>
                <w:b w:val="1"/>
                <w:bCs w:val="1"/>
                <w:color w:val="auto"/>
              </w:rPr>
              <w:t>Ownership</w:t>
            </w: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Rate</w:t>
            </w:r>
          </w:p>
        </w:tc>
        <w:tc>
          <w:tcPr>
            <w:tcW w:w="840" w:type="dxa"/>
            <w:vAlign w:val="bottom"/>
          </w:tcPr>
          <w:p>
            <w:pPr>
              <w:jc w:val="right"/>
              <w:ind w:right="121"/>
              <w:spacing w:after="0"/>
              <w:rPr>
                <w:sz w:val="20"/>
                <w:szCs w:val="20"/>
                <w:color w:val="auto"/>
              </w:rPr>
            </w:pPr>
            <w:r>
              <w:rPr>
                <w:rFonts w:ascii="Arial" w:cs="Arial" w:eastAsia="Arial" w:hAnsi="Arial"/>
                <w:sz w:val="14"/>
                <w:szCs w:val="14"/>
                <w:b w:val="1"/>
                <w:bCs w:val="1"/>
                <w:color w:val="auto"/>
              </w:rPr>
              <w:t>Rate (1)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 Spread</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Costs, Net</w:t>
            </w: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(Our share)</w:t>
            </w:r>
          </w:p>
        </w:tc>
        <w:tc>
          <w:tcPr>
            <w:tcW w:w="6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360 Park Avenue</w:t>
            </w: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rPr>
              <w:t>Adjusted</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(2)(3)</w:t>
            </w:r>
          </w:p>
        </w:tc>
        <w:tc>
          <w:tcPr>
            <w:tcW w:w="124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December 14,</w:t>
            </w:r>
          </w:p>
        </w:tc>
        <w:tc>
          <w:tcPr>
            <w:tcW w:w="0" w:type="dxa"/>
            <w:vAlign w:val="bottom"/>
          </w:tcPr>
          <w:p>
            <w:pPr>
              <w:spacing w:after="0"/>
              <w:rPr>
                <w:sz w:val="1"/>
                <w:szCs w:val="1"/>
                <w:color w:val="auto"/>
              </w:rPr>
            </w:pPr>
          </w:p>
        </w:tc>
      </w:tr>
      <w:tr>
        <w:trPr>
          <w:trHeight w:val="162"/>
        </w:trPr>
        <w:tc>
          <w:tcPr>
            <w:tcW w:w="1700" w:type="dxa"/>
            <w:vAlign w:val="bottom"/>
            <w:gridSpan w:val="2"/>
            <w:vMerge w:val="continue"/>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71.11 %</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7.70 %</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8.16 %</w:t>
            </w:r>
          </w:p>
        </w:tc>
        <w:tc>
          <w:tcPr>
            <w:tcW w:w="110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9"/>
              </w:rPr>
              <w:t>Term SOFR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220,000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219,795</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156,297</w:t>
            </w:r>
          </w:p>
        </w:tc>
        <w:tc>
          <w:tcPr>
            <w:tcW w:w="66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South</w:t>
            </w:r>
          </w:p>
        </w:tc>
        <w:tc>
          <w:tcPr>
            <w:tcW w:w="10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+ 2.40%</w:t>
            </w: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62"/>
        </w:trPr>
        <w:tc>
          <w:tcPr>
            <w:tcW w:w="1700" w:type="dxa"/>
            <w:vAlign w:val="bottom"/>
            <w:gridSpan w:val="2"/>
            <w:vMerge w:val="restart"/>
          </w:tcPr>
          <w:p>
            <w:pPr>
              <w:ind w:left="20"/>
              <w:spacing w:after="0"/>
              <w:rPr>
                <w:sz w:val="20"/>
                <w:szCs w:val="20"/>
                <w:color w:val="auto"/>
              </w:rPr>
            </w:pPr>
            <w:r>
              <w:rPr>
                <w:rFonts w:ascii="Arial" w:cs="Arial" w:eastAsia="Arial" w:hAnsi="Arial"/>
                <w:sz w:val="16"/>
                <w:szCs w:val="16"/>
                <w:color w:val="auto"/>
              </w:rPr>
              <w:t>Market Square North</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50.00 %</w:t>
            </w:r>
          </w:p>
        </w:tc>
        <w:tc>
          <w:tcPr>
            <w:tcW w:w="880" w:type="dxa"/>
            <w:vAlign w:val="bottom"/>
            <w:vMerge w:val="restart"/>
          </w:tcPr>
          <w:p>
            <w:pPr>
              <w:jc w:val="right"/>
              <w:ind w:right="41"/>
              <w:spacing w:after="0"/>
              <w:rPr>
                <w:sz w:val="20"/>
                <w:szCs w:val="20"/>
                <w:color w:val="auto"/>
              </w:rPr>
            </w:pPr>
            <w:r>
              <w:rPr>
                <w:rFonts w:ascii="Arial" w:cs="Arial" w:eastAsia="Arial" w:hAnsi="Arial"/>
                <w:sz w:val="16"/>
                <w:szCs w:val="16"/>
                <w:color w:val="auto"/>
              </w:rPr>
              <w:t>7.52 %</w:t>
            </w: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7.70 %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SOFR +</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125,000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124,746</w:t>
            </w:r>
          </w:p>
        </w:tc>
        <w:tc>
          <w:tcPr>
            <w:tcW w:w="10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62,373</w:t>
            </w:r>
          </w:p>
        </w:tc>
        <w:tc>
          <w:tcPr>
            <w:tcW w:w="660" w:type="dxa"/>
            <w:vAlign w:val="bottom"/>
          </w:tcPr>
          <w:p>
            <w:pPr>
              <w:ind w:left="100"/>
              <w:spacing w:after="0" w:line="162" w:lineRule="exact"/>
              <w:rPr>
                <w:sz w:val="20"/>
                <w:szCs w:val="20"/>
                <w:color w:val="auto"/>
              </w:rPr>
            </w:pPr>
            <w:r>
              <w:rPr>
                <w:rFonts w:ascii="Arial" w:cs="Arial" w:eastAsia="Arial" w:hAnsi="Arial"/>
                <w:sz w:val="16"/>
                <w:szCs w:val="16"/>
                <w:color w:val="auto"/>
              </w:rPr>
              <w:t>(2)(3)</w:t>
            </w:r>
          </w:p>
        </w:tc>
        <w:tc>
          <w:tcPr>
            <w:tcW w:w="1240" w:type="dxa"/>
            <w:vAlign w:val="bottom"/>
          </w:tcPr>
          <w:p>
            <w:pPr>
              <w:ind w:left="80"/>
              <w:spacing w:after="0" w:line="162" w:lineRule="exact"/>
              <w:rPr>
                <w:sz w:val="20"/>
                <w:szCs w:val="20"/>
                <w:color w:val="auto"/>
              </w:rPr>
            </w:pPr>
            <w:r>
              <w:rPr>
                <w:rFonts w:ascii="Arial" w:cs="Arial" w:eastAsia="Arial" w:hAnsi="Arial"/>
                <w:sz w:val="16"/>
                <w:szCs w:val="16"/>
                <w:color w:val="auto"/>
              </w:rPr>
              <w:t>November 10,</w:t>
            </w:r>
          </w:p>
        </w:tc>
        <w:tc>
          <w:tcPr>
            <w:tcW w:w="0" w:type="dxa"/>
            <w:vAlign w:val="bottom"/>
          </w:tcPr>
          <w:p>
            <w:pPr>
              <w:spacing w:after="0"/>
              <w:rPr>
                <w:sz w:val="1"/>
                <w:szCs w:val="1"/>
                <w:color w:val="auto"/>
              </w:rPr>
            </w:pPr>
          </w:p>
        </w:tc>
      </w:tr>
      <w:tr>
        <w:trPr>
          <w:trHeight w:val="215"/>
        </w:trPr>
        <w:tc>
          <w:tcPr>
            <w:tcW w:w="17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auto"/>
              </w:rPr>
              <w:t>(5)</w:t>
            </w:r>
          </w:p>
        </w:tc>
        <w:tc>
          <w:tcPr>
            <w:tcW w:w="1240" w:type="dxa"/>
            <w:vAlign w:val="bottom"/>
          </w:tcPr>
          <w:p>
            <w:pPr>
              <w:ind w:left="80"/>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63"/>
        </w:trPr>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1265 Main Street</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50.00 %</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3.77 %</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3.84 %</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33,943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33,741</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16,871</w:t>
            </w:r>
          </w:p>
        </w:tc>
        <w:tc>
          <w:tcPr>
            <w:tcW w:w="660" w:type="dxa"/>
            <w:vAlign w:val="bottom"/>
            <w:shd w:val="clear" w:color="auto" w:fill="CCEEFF"/>
          </w:tcPr>
          <w:p>
            <w:pPr>
              <w:spacing w:after="0"/>
              <w:rPr>
                <w:sz w:val="14"/>
                <w:szCs w:val="14"/>
                <w:color w:val="auto"/>
              </w:rPr>
            </w:pPr>
          </w:p>
        </w:tc>
        <w:tc>
          <w:tcPr>
            <w:tcW w:w="1240" w:type="dxa"/>
            <w:vAlign w:val="bottom"/>
            <w:shd w:val="clear" w:color="auto" w:fill="CCEEFF"/>
          </w:tcPr>
          <w:p>
            <w:pPr>
              <w:ind w:left="80"/>
              <w:spacing w:after="0" w:line="163" w:lineRule="exact"/>
              <w:rPr>
                <w:sz w:val="20"/>
                <w:szCs w:val="20"/>
                <w:color w:val="auto"/>
              </w:rPr>
            </w:pPr>
            <w:r>
              <w:rPr>
                <w:rFonts w:ascii="Arial" w:cs="Arial" w:eastAsia="Arial" w:hAnsi="Arial"/>
                <w:sz w:val="16"/>
                <w:szCs w:val="16"/>
                <w:color w:val="auto"/>
              </w:rPr>
              <w:t>January 1,</w:t>
            </w:r>
          </w:p>
        </w:tc>
        <w:tc>
          <w:tcPr>
            <w:tcW w:w="0" w:type="dxa"/>
            <w:vAlign w:val="bottom"/>
          </w:tcPr>
          <w:p>
            <w:pPr>
              <w:spacing w:after="0"/>
              <w:rPr>
                <w:sz w:val="1"/>
                <w:szCs w:val="1"/>
                <w:color w:val="auto"/>
              </w:rPr>
            </w:pPr>
          </w:p>
        </w:tc>
      </w:tr>
      <w:tr>
        <w:trPr>
          <w:trHeight w:val="216"/>
        </w:trPr>
        <w:tc>
          <w:tcPr>
            <w:tcW w:w="17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15"/>
        </w:trPr>
        <w:tc>
          <w:tcPr>
            <w:tcW w:w="1700" w:type="dxa"/>
            <w:vAlign w:val="bottom"/>
            <w:gridSpan w:val="2"/>
          </w:tcPr>
          <w:p>
            <w:pPr>
              <w:ind w:left="20"/>
              <w:spacing w:after="0"/>
              <w:rPr>
                <w:sz w:val="20"/>
                <w:szCs w:val="20"/>
                <w:color w:val="auto"/>
              </w:rPr>
            </w:pPr>
            <w:r>
              <w:rPr>
                <w:rFonts w:ascii="Arial" w:cs="Arial" w:eastAsia="Arial" w:hAnsi="Arial"/>
                <w:sz w:val="16"/>
                <w:szCs w:val="16"/>
                <w:color w:val="auto"/>
              </w:rPr>
              <w:t>Colorado Center</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50.00 %</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3.56 %</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3.59 %</w:t>
            </w:r>
          </w:p>
        </w:tc>
        <w:tc>
          <w:tcPr>
            <w:tcW w:w="1100" w:type="dxa"/>
            <w:vAlign w:val="bottom"/>
          </w:tcPr>
          <w:p>
            <w:pPr>
              <w:jc w:val="center"/>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549,490</w:t>
            </w:r>
          </w:p>
        </w:tc>
        <w:tc>
          <w:tcPr>
            <w:tcW w:w="1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274,745</w:t>
            </w:r>
          </w:p>
        </w:tc>
        <w:tc>
          <w:tcPr>
            <w:tcW w:w="660" w:type="dxa"/>
            <w:vAlign w:val="bottom"/>
          </w:tcPr>
          <w:p>
            <w:pPr>
              <w:ind w:left="100"/>
              <w:spacing w:after="0"/>
              <w:rPr>
                <w:sz w:val="20"/>
                <w:szCs w:val="20"/>
                <w:color w:val="auto"/>
              </w:rPr>
            </w:pPr>
            <w:r>
              <w:rPr>
                <w:rFonts w:ascii="Arial" w:cs="Arial" w:eastAsia="Arial" w:hAnsi="Arial"/>
                <w:sz w:val="16"/>
                <w:szCs w:val="16"/>
                <w:color w:val="auto"/>
              </w:rPr>
              <w:t>(2)</w:t>
            </w:r>
          </w:p>
        </w:tc>
        <w:tc>
          <w:tcPr>
            <w:tcW w:w="1240" w:type="dxa"/>
            <w:vAlign w:val="bottom"/>
          </w:tcPr>
          <w:p>
            <w:pPr>
              <w:ind w:left="80"/>
              <w:spacing w:after="0"/>
              <w:rPr>
                <w:sz w:val="20"/>
                <w:szCs w:val="20"/>
                <w:color w:val="auto"/>
              </w:rPr>
            </w:pPr>
            <w:r>
              <w:rPr>
                <w:rFonts w:ascii="Arial" w:cs="Arial" w:eastAsia="Arial" w:hAnsi="Arial"/>
                <w:sz w:val="16"/>
                <w:szCs w:val="16"/>
                <w:color w:val="auto"/>
              </w:rPr>
              <w:t>August 9, 2027</w:t>
            </w:r>
          </w:p>
        </w:tc>
        <w:tc>
          <w:tcPr>
            <w:tcW w:w="0" w:type="dxa"/>
            <w:vAlign w:val="bottom"/>
          </w:tcPr>
          <w:p>
            <w:pPr>
              <w:spacing w:after="0"/>
              <w:rPr>
                <w:sz w:val="1"/>
                <w:szCs w:val="1"/>
                <w:color w:val="auto"/>
              </w:rPr>
            </w:pPr>
          </w:p>
        </w:tc>
      </w:tr>
      <w:tr>
        <w:trPr>
          <w:trHeight w:val="163"/>
        </w:trPr>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Dock 72</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50.00 %</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7.75 %</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8.02 %</w:t>
            </w:r>
          </w:p>
        </w:tc>
        <w:tc>
          <w:tcPr>
            <w:tcW w:w="110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8"/>
              </w:rPr>
              <w:t>SOFR</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198,383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197,820</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98,910</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(2)(6)</w:t>
            </w:r>
          </w:p>
        </w:tc>
        <w:tc>
          <w:tcPr>
            <w:tcW w:w="1240" w:type="dxa"/>
            <w:vAlign w:val="bottom"/>
            <w:shd w:val="clear" w:color="auto" w:fill="CCEEFF"/>
          </w:tcPr>
          <w:p>
            <w:pPr>
              <w:ind w:left="80"/>
              <w:spacing w:after="0" w:line="163" w:lineRule="exact"/>
              <w:rPr>
                <w:sz w:val="20"/>
                <w:szCs w:val="20"/>
                <w:color w:val="auto"/>
              </w:rPr>
            </w:pPr>
            <w:r>
              <w:rPr>
                <w:rFonts w:ascii="Arial" w:cs="Arial" w:eastAsia="Arial" w:hAnsi="Arial"/>
                <w:sz w:val="16"/>
                <w:szCs w:val="16"/>
                <w:color w:val="auto"/>
              </w:rPr>
              <w:t>December 18,</w:t>
            </w:r>
          </w:p>
        </w:tc>
        <w:tc>
          <w:tcPr>
            <w:tcW w:w="0" w:type="dxa"/>
            <w:vAlign w:val="bottom"/>
          </w:tcPr>
          <w:p>
            <w:pPr>
              <w:spacing w:after="0"/>
              <w:rPr>
                <w:sz w:val="1"/>
                <w:szCs w:val="1"/>
                <w:color w:val="auto"/>
              </w:rPr>
            </w:pPr>
          </w:p>
        </w:tc>
      </w:tr>
      <w:tr>
        <w:trPr>
          <w:trHeight w:val="216"/>
        </w:trPr>
        <w:tc>
          <w:tcPr>
            <w:tcW w:w="17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62"/>
        </w:trPr>
        <w:tc>
          <w:tcPr>
            <w:tcW w:w="1700" w:type="dxa"/>
            <w:vAlign w:val="bottom"/>
            <w:gridSpan w:val="2"/>
            <w:vMerge w:val="restart"/>
          </w:tcPr>
          <w:p>
            <w:pPr>
              <w:ind w:left="20"/>
              <w:spacing w:after="0"/>
              <w:rPr>
                <w:sz w:val="20"/>
                <w:szCs w:val="20"/>
                <w:color w:val="auto"/>
              </w:rPr>
            </w:pPr>
            <w:r>
              <w:rPr>
                <w:rFonts w:ascii="Arial" w:cs="Arial" w:eastAsia="Arial" w:hAnsi="Arial"/>
                <w:sz w:val="16"/>
                <w:szCs w:val="16"/>
                <w:color w:val="auto"/>
              </w:rPr>
              <w:t>The Hub on</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Daily Simple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vMerge w:val="restart"/>
          </w:tcPr>
          <w:p>
            <w:pPr>
              <w:ind w:left="100"/>
              <w:spacing w:after="0"/>
              <w:rPr>
                <w:sz w:val="20"/>
                <w:szCs w:val="20"/>
                <w:color w:val="auto"/>
              </w:rPr>
            </w:pPr>
            <w:r>
              <w:rPr>
                <w:rFonts w:ascii="Arial" w:cs="Arial" w:eastAsia="Arial" w:hAnsi="Arial"/>
                <w:sz w:val="16"/>
                <w:szCs w:val="16"/>
                <w:color w:val="auto"/>
              </w:rPr>
              <w:t>(2)(3)</w:t>
            </w:r>
          </w:p>
        </w:tc>
        <w:tc>
          <w:tcPr>
            <w:tcW w:w="1240" w:type="dxa"/>
            <w:vAlign w:val="bottom"/>
            <w:vMerge w:val="restart"/>
          </w:tcPr>
          <w:p>
            <w:pPr>
              <w:ind w:left="80"/>
              <w:spacing w:after="0"/>
              <w:rPr>
                <w:sz w:val="20"/>
                <w:szCs w:val="20"/>
                <w:color w:val="auto"/>
              </w:rPr>
            </w:pPr>
            <w:r>
              <w:rPr>
                <w:rFonts w:ascii="Arial" w:cs="Arial" w:eastAsia="Arial" w:hAnsi="Arial"/>
                <w:sz w:val="16"/>
                <w:szCs w:val="16"/>
                <w:color w:val="auto"/>
              </w:rPr>
              <w:t>September 8,</w:t>
            </w:r>
          </w:p>
        </w:tc>
        <w:tc>
          <w:tcPr>
            <w:tcW w:w="0" w:type="dxa"/>
            <w:vAlign w:val="bottom"/>
          </w:tcPr>
          <w:p>
            <w:pPr>
              <w:spacing w:after="0"/>
              <w:rPr>
                <w:sz w:val="1"/>
                <w:szCs w:val="1"/>
                <w:color w:val="auto"/>
              </w:rPr>
            </w:pPr>
          </w:p>
        </w:tc>
      </w:tr>
      <w:tr>
        <w:trPr>
          <w:trHeight w:val="162"/>
        </w:trPr>
        <w:tc>
          <w:tcPr>
            <w:tcW w:w="1700" w:type="dxa"/>
            <w:vAlign w:val="bottom"/>
            <w:gridSpan w:val="2"/>
            <w:vMerge w:val="continue"/>
          </w:tcPr>
          <w:p>
            <w:pPr>
              <w:spacing w:after="0"/>
              <w:rPr>
                <w:sz w:val="14"/>
                <w:szCs w:val="14"/>
                <w:color w:val="auto"/>
              </w:rPr>
            </w:pP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50.00 %</w:t>
            </w:r>
          </w:p>
        </w:tc>
        <w:tc>
          <w:tcPr>
            <w:tcW w:w="880" w:type="dxa"/>
            <w:vAlign w:val="bottom"/>
            <w:vMerge w:val="restart"/>
          </w:tcPr>
          <w:p>
            <w:pPr>
              <w:jc w:val="right"/>
              <w:ind w:right="41"/>
              <w:spacing w:after="0"/>
              <w:rPr>
                <w:sz w:val="20"/>
                <w:szCs w:val="20"/>
                <w:color w:val="auto"/>
              </w:rPr>
            </w:pPr>
            <w:r>
              <w:rPr>
                <w:rFonts w:ascii="Arial" w:cs="Arial" w:eastAsia="Arial" w:hAnsi="Arial"/>
                <w:sz w:val="16"/>
                <w:szCs w:val="16"/>
                <w:color w:val="auto"/>
              </w:rPr>
              <w:t>7.35 %</w:t>
            </w: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7.75 %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SOFR +</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154,329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153,751</w:t>
            </w:r>
          </w:p>
        </w:tc>
        <w:tc>
          <w:tcPr>
            <w:tcW w:w="10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76,875</w:t>
            </w:r>
          </w:p>
        </w:tc>
        <w:tc>
          <w:tcPr>
            <w:tcW w:w="6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gridSpan w:val="2"/>
          </w:tcPr>
          <w:p>
            <w:pPr>
              <w:ind w:left="100"/>
              <w:spacing w:after="0"/>
              <w:rPr>
                <w:sz w:val="20"/>
                <w:szCs w:val="20"/>
                <w:color w:val="auto"/>
              </w:rPr>
            </w:pPr>
            <w:r>
              <w:rPr>
                <w:rFonts w:ascii="Arial" w:cs="Arial" w:eastAsia="Arial" w:hAnsi="Arial"/>
                <w:sz w:val="16"/>
                <w:szCs w:val="16"/>
                <w:color w:val="auto"/>
              </w:rPr>
              <w:t>Causeway - Podium</w:t>
            </w:r>
          </w:p>
        </w:tc>
        <w:tc>
          <w:tcPr>
            <w:tcW w:w="10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auto"/>
              </w:rPr>
              <w:t>(7)</w:t>
            </w:r>
          </w:p>
        </w:tc>
        <w:tc>
          <w:tcPr>
            <w:tcW w:w="1240" w:type="dxa"/>
            <w:vAlign w:val="bottom"/>
          </w:tcPr>
          <w:p>
            <w:pPr>
              <w:ind w:left="80"/>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63"/>
        </w:trPr>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Hub50House</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50.00 %</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4.43 %</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4.51 %</w:t>
            </w:r>
          </w:p>
        </w:tc>
        <w:tc>
          <w:tcPr>
            <w:tcW w:w="110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rPr>
              <w:t>SOFR +</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183,948</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91,974</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(2)(8)</w:t>
            </w:r>
          </w:p>
        </w:tc>
        <w:tc>
          <w:tcPr>
            <w:tcW w:w="124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June 17, 2032</w:t>
            </w:r>
          </w:p>
        </w:tc>
        <w:tc>
          <w:tcPr>
            <w:tcW w:w="0" w:type="dxa"/>
            <w:vAlign w:val="bottom"/>
          </w:tcPr>
          <w:p>
            <w:pPr>
              <w:spacing w:after="0"/>
              <w:rPr>
                <w:sz w:val="1"/>
                <w:szCs w:val="1"/>
                <w:color w:val="auto"/>
              </w:rPr>
            </w:pPr>
          </w:p>
        </w:tc>
      </w:tr>
      <w:tr>
        <w:trPr>
          <w:trHeight w:val="216"/>
        </w:trPr>
        <w:tc>
          <w:tcPr>
            <w:tcW w:w="17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gridSpan w:val="2"/>
            <w:vMerge w:val="restart"/>
          </w:tcPr>
          <w:p>
            <w:pPr>
              <w:ind w:left="20"/>
              <w:spacing w:after="0"/>
              <w:rPr>
                <w:sz w:val="20"/>
                <w:szCs w:val="20"/>
                <w:color w:val="auto"/>
              </w:rPr>
            </w:pPr>
            <w:r>
              <w:rPr>
                <w:rFonts w:ascii="Arial" w:cs="Arial" w:eastAsia="Arial" w:hAnsi="Arial"/>
                <w:sz w:val="16"/>
                <w:szCs w:val="16"/>
                <w:color w:val="auto"/>
              </w:rPr>
              <w:t>100 Causeway Street</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50.00 %</w:t>
            </w:r>
          </w:p>
        </w:tc>
        <w:tc>
          <w:tcPr>
            <w:tcW w:w="880" w:type="dxa"/>
            <w:vAlign w:val="bottom"/>
            <w:vMerge w:val="restart"/>
          </w:tcPr>
          <w:p>
            <w:pPr>
              <w:jc w:val="right"/>
              <w:ind w:right="41"/>
              <w:spacing w:after="0"/>
              <w:rPr>
                <w:sz w:val="20"/>
                <w:szCs w:val="20"/>
                <w:color w:val="auto"/>
              </w:rPr>
            </w:pPr>
            <w:r>
              <w:rPr>
                <w:rFonts w:ascii="Arial" w:cs="Arial" w:eastAsia="Arial" w:hAnsi="Arial"/>
                <w:sz w:val="16"/>
                <w:szCs w:val="16"/>
                <w:color w:val="auto"/>
              </w:rPr>
              <w:t>6.68 %</w:t>
            </w: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6.85 %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w w:val="99"/>
              </w:rPr>
              <w:t>Term SOFR</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333,579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333,037</w:t>
            </w:r>
          </w:p>
        </w:tc>
        <w:tc>
          <w:tcPr>
            <w:tcW w:w="10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166,519</w:t>
            </w:r>
          </w:p>
        </w:tc>
        <w:tc>
          <w:tcPr>
            <w:tcW w:w="660" w:type="dxa"/>
            <w:vAlign w:val="bottom"/>
            <w:vMerge w:val="restart"/>
          </w:tcPr>
          <w:p>
            <w:pPr>
              <w:ind w:left="100"/>
              <w:spacing w:after="0"/>
              <w:rPr>
                <w:sz w:val="20"/>
                <w:szCs w:val="20"/>
                <w:color w:val="auto"/>
              </w:rPr>
            </w:pPr>
            <w:r>
              <w:rPr>
                <w:rFonts w:ascii="Arial" w:cs="Arial" w:eastAsia="Arial" w:hAnsi="Arial"/>
                <w:sz w:val="16"/>
                <w:szCs w:val="16"/>
                <w:color w:val="auto"/>
              </w:rPr>
              <w:t>(2)</w:t>
            </w:r>
          </w:p>
        </w:tc>
        <w:tc>
          <w:tcPr>
            <w:tcW w:w="1240" w:type="dxa"/>
            <w:vAlign w:val="bottom"/>
          </w:tcPr>
          <w:p>
            <w:pPr>
              <w:ind w:left="80"/>
              <w:spacing w:after="0" w:line="162" w:lineRule="exact"/>
              <w:rPr>
                <w:sz w:val="20"/>
                <w:szCs w:val="20"/>
                <w:color w:val="auto"/>
              </w:rPr>
            </w:pPr>
            <w:r>
              <w:rPr>
                <w:rFonts w:ascii="Arial" w:cs="Arial" w:eastAsia="Arial" w:hAnsi="Arial"/>
                <w:sz w:val="16"/>
                <w:szCs w:val="16"/>
                <w:color w:val="auto"/>
              </w:rPr>
              <w:t>September 5,</w:t>
            </w:r>
          </w:p>
        </w:tc>
        <w:tc>
          <w:tcPr>
            <w:tcW w:w="0" w:type="dxa"/>
            <w:vAlign w:val="bottom"/>
          </w:tcPr>
          <w:p>
            <w:pPr>
              <w:spacing w:after="0"/>
              <w:rPr>
                <w:sz w:val="1"/>
                <w:szCs w:val="1"/>
                <w:color w:val="auto"/>
              </w:rPr>
            </w:pPr>
          </w:p>
        </w:tc>
      </w:tr>
      <w:tr>
        <w:trPr>
          <w:trHeight w:val="215"/>
        </w:trPr>
        <w:tc>
          <w:tcPr>
            <w:tcW w:w="17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+ 1.48%</w:t>
            </w: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63"/>
        </w:trPr>
        <w:tc>
          <w:tcPr>
            <w:tcW w:w="170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7750 Wisconsin</w:t>
            </w: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6"/>
                <w:szCs w:val="16"/>
                <w:color w:val="auto"/>
              </w:rPr>
              <w:t>Avenue (Marriott</w:t>
            </w: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SOFR +</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6"/>
                <w:szCs w:val="16"/>
                <w:color w:val="auto"/>
              </w:rPr>
              <w:t>International</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50.00 %</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6.46 %</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6.61 %</w:t>
            </w:r>
          </w:p>
        </w:tc>
        <w:tc>
          <w:tcPr>
            <w:tcW w:w="11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251,541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251,325</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125,663</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w:t>
            </w:r>
          </w:p>
        </w:tc>
        <w:tc>
          <w:tcPr>
            <w:tcW w:w="124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April 26, 2025</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Headquarters)</w:t>
            </w:r>
          </w:p>
        </w:tc>
        <w:tc>
          <w:tcPr>
            <w:tcW w:w="10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gridSpan w:val="2"/>
            <w:vMerge w:val="restart"/>
          </w:tcPr>
          <w:p>
            <w:pPr>
              <w:ind w:left="20"/>
              <w:spacing w:after="0"/>
              <w:rPr>
                <w:sz w:val="20"/>
                <w:szCs w:val="20"/>
                <w:color w:val="auto"/>
              </w:rPr>
            </w:pPr>
            <w:r>
              <w:rPr>
                <w:rFonts w:ascii="Arial" w:cs="Arial" w:eastAsia="Arial" w:hAnsi="Arial"/>
                <w:sz w:val="16"/>
                <w:szCs w:val="16"/>
                <w:color w:val="auto"/>
              </w:rPr>
              <w:t>Safeco Plaza</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33.67 %</w:t>
            </w:r>
          </w:p>
        </w:tc>
        <w:tc>
          <w:tcPr>
            <w:tcW w:w="880" w:type="dxa"/>
            <w:vAlign w:val="bottom"/>
            <w:vMerge w:val="restart"/>
          </w:tcPr>
          <w:p>
            <w:pPr>
              <w:jc w:val="right"/>
              <w:ind w:right="41"/>
              <w:spacing w:after="0"/>
              <w:rPr>
                <w:sz w:val="20"/>
                <w:szCs w:val="20"/>
                <w:color w:val="auto"/>
              </w:rPr>
            </w:pPr>
            <w:r>
              <w:rPr>
                <w:rFonts w:ascii="Arial" w:cs="Arial" w:eastAsia="Arial" w:hAnsi="Arial"/>
                <w:sz w:val="16"/>
                <w:szCs w:val="16"/>
                <w:color w:val="auto"/>
              </w:rPr>
              <w:t>4.82 %</w:t>
            </w: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6.68 %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SOFR +</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250,000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(652)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249,348</w:t>
            </w:r>
          </w:p>
        </w:tc>
        <w:tc>
          <w:tcPr>
            <w:tcW w:w="10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83,955</w:t>
            </w:r>
          </w:p>
        </w:tc>
        <w:tc>
          <w:tcPr>
            <w:tcW w:w="660" w:type="dxa"/>
            <w:vAlign w:val="bottom"/>
            <w:vMerge w:val="restart"/>
          </w:tcPr>
          <w:p>
            <w:pPr>
              <w:ind w:left="100"/>
              <w:spacing w:after="0"/>
              <w:rPr>
                <w:sz w:val="20"/>
                <w:szCs w:val="20"/>
                <w:color w:val="auto"/>
              </w:rPr>
            </w:pPr>
            <w:r>
              <w:rPr>
                <w:rFonts w:ascii="Arial" w:cs="Arial" w:eastAsia="Arial" w:hAnsi="Arial"/>
                <w:sz w:val="16"/>
                <w:szCs w:val="16"/>
                <w:color w:val="auto"/>
              </w:rPr>
              <w:t>(2)(9)</w:t>
            </w:r>
          </w:p>
        </w:tc>
        <w:tc>
          <w:tcPr>
            <w:tcW w:w="1240" w:type="dxa"/>
            <w:vAlign w:val="bottom"/>
          </w:tcPr>
          <w:p>
            <w:pPr>
              <w:ind w:left="80"/>
              <w:spacing w:after="0" w:line="162" w:lineRule="exact"/>
              <w:rPr>
                <w:sz w:val="20"/>
                <w:szCs w:val="20"/>
                <w:color w:val="auto"/>
              </w:rPr>
            </w:pPr>
            <w:r>
              <w:rPr>
                <w:rFonts w:ascii="Arial" w:cs="Arial" w:eastAsia="Arial" w:hAnsi="Arial"/>
                <w:sz w:val="16"/>
                <w:szCs w:val="16"/>
                <w:color w:val="auto"/>
              </w:rPr>
              <w:t>September 1,</w:t>
            </w:r>
          </w:p>
        </w:tc>
        <w:tc>
          <w:tcPr>
            <w:tcW w:w="0" w:type="dxa"/>
            <w:vAlign w:val="bottom"/>
          </w:tcPr>
          <w:p>
            <w:pPr>
              <w:spacing w:after="0"/>
              <w:rPr>
                <w:sz w:val="1"/>
                <w:szCs w:val="1"/>
                <w:color w:val="auto"/>
              </w:rPr>
            </w:pPr>
          </w:p>
        </w:tc>
      </w:tr>
      <w:tr>
        <w:trPr>
          <w:trHeight w:val="215"/>
        </w:trPr>
        <w:tc>
          <w:tcPr>
            <w:tcW w:w="17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163"/>
        </w:trPr>
        <w:tc>
          <w:tcPr>
            <w:tcW w:w="170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500 North Capitol</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30.00 %</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6.83 %</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7.16 %</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104,527</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31,252</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(2)(10)</w:t>
            </w:r>
          </w:p>
        </w:tc>
        <w:tc>
          <w:tcPr>
            <w:tcW w:w="124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June 5, 2026</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Street, NW</w:t>
            </w:r>
          </w:p>
        </w:tc>
        <w:tc>
          <w:tcPr>
            <w:tcW w:w="10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gridSpan w:val="2"/>
            <w:vMerge w:val="restart"/>
          </w:tcPr>
          <w:p>
            <w:pPr>
              <w:ind w:left="20"/>
              <w:spacing w:after="0"/>
              <w:rPr>
                <w:sz w:val="20"/>
                <w:szCs w:val="20"/>
                <w:color w:val="auto"/>
              </w:rPr>
            </w:pPr>
            <w:r>
              <w:rPr>
                <w:rFonts w:ascii="Arial" w:cs="Arial" w:eastAsia="Arial" w:hAnsi="Arial"/>
                <w:sz w:val="16"/>
                <w:szCs w:val="16"/>
                <w:color w:val="auto"/>
              </w:rPr>
              <w:t>200 Fifth Avenue</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26.69 %</w:t>
            </w:r>
          </w:p>
        </w:tc>
        <w:tc>
          <w:tcPr>
            <w:tcW w:w="880" w:type="dxa"/>
            <w:vAlign w:val="bottom"/>
            <w:vMerge w:val="restart"/>
          </w:tcPr>
          <w:p>
            <w:pPr>
              <w:jc w:val="right"/>
              <w:ind w:right="41"/>
              <w:spacing w:after="0"/>
              <w:rPr>
                <w:sz w:val="20"/>
                <w:szCs w:val="20"/>
                <w:color w:val="auto"/>
              </w:rPr>
            </w:pPr>
            <w:r>
              <w:rPr>
                <w:rFonts w:ascii="Arial" w:cs="Arial" w:eastAsia="Arial" w:hAnsi="Arial"/>
                <w:sz w:val="16"/>
                <w:szCs w:val="16"/>
                <w:color w:val="auto"/>
              </w:rPr>
              <w:t>4.34 %</w:t>
            </w: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5.60 %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w w:val="99"/>
              </w:rPr>
              <w:t>Term SOFR</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(6,929)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593,071</w:t>
            </w:r>
          </w:p>
        </w:tc>
        <w:tc>
          <w:tcPr>
            <w:tcW w:w="10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152,188</w:t>
            </w:r>
          </w:p>
        </w:tc>
        <w:tc>
          <w:tcPr>
            <w:tcW w:w="660" w:type="dxa"/>
            <w:vAlign w:val="bottom"/>
            <w:vMerge w:val="restart"/>
          </w:tcPr>
          <w:p>
            <w:pPr>
              <w:ind w:left="100"/>
              <w:spacing w:after="0"/>
              <w:rPr>
                <w:sz w:val="20"/>
                <w:szCs w:val="20"/>
                <w:color w:val="auto"/>
              </w:rPr>
            </w:pPr>
            <w:r>
              <w:rPr>
                <w:rFonts w:ascii="Arial" w:cs="Arial" w:eastAsia="Arial" w:hAnsi="Arial"/>
                <w:sz w:val="16"/>
                <w:szCs w:val="16"/>
                <w:color w:val="auto"/>
              </w:rPr>
              <w:t>(2)(11)</w:t>
            </w:r>
          </w:p>
        </w:tc>
        <w:tc>
          <w:tcPr>
            <w:tcW w:w="1240" w:type="dxa"/>
            <w:vAlign w:val="bottom"/>
          </w:tcPr>
          <w:p>
            <w:pPr>
              <w:ind w:left="80"/>
              <w:spacing w:after="0" w:line="162" w:lineRule="exact"/>
              <w:rPr>
                <w:sz w:val="20"/>
                <w:szCs w:val="20"/>
                <w:color w:val="auto"/>
              </w:rPr>
            </w:pPr>
            <w:r>
              <w:rPr>
                <w:rFonts w:ascii="Arial" w:cs="Arial" w:eastAsia="Arial" w:hAnsi="Arial"/>
                <w:sz w:val="16"/>
                <w:szCs w:val="16"/>
                <w:color w:val="auto"/>
              </w:rPr>
              <w:t>November 24,</w:t>
            </w:r>
          </w:p>
        </w:tc>
        <w:tc>
          <w:tcPr>
            <w:tcW w:w="0" w:type="dxa"/>
            <w:vAlign w:val="bottom"/>
          </w:tcPr>
          <w:p>
            <w:pPr>
              <w:spacing w:after="0"/>
              <w:rPr>
                <w:sz w:val="1"/>
                <w:szCs w:val="1"/>
                <w:color w:val="auto"/>
              </w:rPr>
            </w:pPr>
          </w:p>
        </w:tc>
      </w:tr>
      <w:tr>
        <w:trPr>
          <w:trHeight w:val="215"/>
        </w:trPr>
        <w:tc>
          <w:tcPr>
            <w:tcW w:w="17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+ 1.41%</w:t>
            </w: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163"/>
        </w:trPr>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3 Hudson Boulevard</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25.00 %</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11.24 %</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11.24 %</w:t>
            </w:r>
          </w:p>
        </w:tc>
        <w:tc>
          <w:tcPr>
            <w:tcW w:w="110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9"/>
              </w:rPr>
              <w:t>Term SOFR</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20,000</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(2)(12)</w:t>
            </w:r>
          </w:p>
        </w:tc>
        <w:tc>
          <w:tcPr>
            <w:tcW w:w="124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August 7, 2024</w:t>
            </w:r>
          </w:p>
        </w:tc>
        <w:tc>
          <w:tcPr>
            <w:tcW w:w="0" w:type="dxa"/>
            <w:vAlign w:val="bottom"/>
          </w:tcPr>
          <w:p>
            <w:pPr>
              <w:spacing w:after="0"/>
              <w:rPr>
                <w:sz w:val="1"/>
                <w:szCs w:val="1"/>
                <w:color w:val="auto"/>
              </w:rPr>
            </w:pPr>
          </w:p>
        </w:tc>
      </w:tr>
      <w:tr>
        <w:trPr>
          <w:trHeight w:val="216"/>
        </w:trPr>
        <w:tc>
          <w:tcPr>
            <w:tcW w:w="17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+ 3.61%</w:t>
            </w: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Skymark - Reston</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20.00 %</w:t>
            </w:r>
          </w:p>
        </w:tc>
        <w:tc>
          <w:tcPr>
            <w:tcW w:w="880" w:type="dxa"/>
            <w:vAlign w:val="bottom"/>
            <w:vMerge w:val="restart"/>
          </w:tcPr>
          <w:p>
            <w:pPr>
              <w:jc w:val="right"/>
              <w:ind w:right="41"/>
              <w:spacing w:after="0"/>
              <w:rPr>
                <w:sz w:val="20"/>
                <w:szCs w:val="20"/>
                <w:color w:val="auto"/>
              </w:rPr>
            </w:pPr>
            <w:r>
              <w:rPr>
                <w:rFonts w:ascii="Arial" w:cs="Arial" w:eastAsia="Arial" w:hAnsi="Arial"/>
                <w:sz w:val="16"/>
                <w:szCs w:val="16"/>
                <w:color w:val="auto"/>
              </w:rPr>
              <w:t>7.19 %</w:t>
            </w: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7.51 %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SOFR +</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124,672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123,948</w:t>
            </w:r>
          </w:p>
        </w:tc>
        <w:tc>
          <w:tcPr>
            <w:tcW w:w="10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24,790</w:t>
            </w:r>
          </w:p>
        </w:tc>
        <w:tc>
          <w:tcPr>
            <w:tcW w:w="660" w:type="dxa"/>
            <w:vAlign w:val="bottom"/>
          </w:tcPr>
          <w:p>
            <w:pPr>
              <w:ind w:left="100"/>
              <w:spacing w:after="0" w:line="162" w:lineRule="exact"/>
              <w:rPr>
                <w:sz w:val="20"/>
                <w:szCs w:val="20"/>
                <w:color w:val="auto"/>
              </w:rPr>
            </w:pPr>
            <w:r>
              <w:rPr>
                <w:rFonts w:ascii="Arial" w:cs="Arial" w:eastAsia="Arial" w:hAnsi="Arial"/>
                <w:sz w:val="16"/>
                <w:szCs w:val="16"/>
                <w:color w:val="auto"/>
              </w:rPr>
              <w:t>(2)(3)</w:t>
            </w:r>
          </w:p>
        </w:tc>
        <w:tc>
          <w:tcPr>
            <w:tcW w:w="1240" w:type="dxa"/>
            <w:vAlign w:val="bottom"/>
            <w:vMerge w:val="restart"/>
          </w:tcPr>
          <w:p>
            <w:pPr>
              <w:ind w:left="80"/>
              <w:spacing w:after="0"/>
              <w:rPr>
                <w:sz w:val="20"/>
                <w:szCs w:val="20"/>
                <w:color w:val="auto"/>
              </w:rPr>
            </w:pPr>
            <w:r>
              <w:rPr>
                <w:rFonts w:ascii="Arial" w:cs="Arial" w:eastAsia="Arial" w:hAnsi="Arial"/>
                <w:sz w:val="16"/>
                <w:szCs w:val="16"/>
                <w:color w:val="auto"/>
              </w:rPr>
              <w:t>May 13, 2026</w:t>
            </w:r>
          </w:p>
        </w:tc>
        <w:tc>
          <w:tcPr>
            <w:tcW w:w="0" w:type="dxa"/>
            <w:vAlign w:val="bottom"/>
          </w:tcPr>
          <w:p>
            <w:pPr>
              <w:spacing w:after="0"/>
              <w:rPr>
                <w:sz w:val="1"/>
                <w:szCs w:val="1"/>
                <w:color w:val="auto"/>
              </w:rPr>
            </w:pPr>
          </w:p>
        </w:tc>
      </w:tr>
      <w:tr>
        <w:trPr>
          <w:trHeight w:val="215"/>
        </w:trPr>
        <w:tc>
          <w:tcPr>
            <w:tcW w:w="1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Next Residential</w:t>
            </w:r>
          </w:p>
        </w:tc>
        <w:tc>
          <w:tcPr>
            <w:tcW w:w="102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(13)</w:t>
            </w:r>
          </w:p>
        </w:tc>
        <w:tc>
          <w:tcPr>
            <w:tcW w:w="12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3,211,447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(12,900)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3,198,547</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1,382,412</w:t>
            </w:r>
          </w:p>
        </w:tc>
        <w:tc>
          <w:tcPr>
            <w:tcW w:w="6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660" w:right="880" w:hanging="328"/>
        <w:spacing w:after="0" w:line="250" w:lineRule="auto"/>
        <w:tabs>
          <w:tab w:leader="none" w:pos="6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GAAP interest rate differs from the stated interest rate due to the inclusion of the amortization of financing costs, which includes mortgage recording fees, the effects of hedging transactions (if any) and adjustments required under Accounting Standards Codification 805 “Business Combinations” to reflect loans at their fair values (if any).</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loan requires interest only payments with a balloon payment due at maturity.</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loan includes certain extension options, subject to certain conditions.</w:t>
      </w:r>
    </w:p>
    <w:p>
      <w:pPr>
        <w:spacing w:after="0" w:line="14" w:lineRule="exact"/>
        <w:rPr>
          <w:rFonts w:ascii="Arial" w:cs="Arial" w:eastAsia="Arial" w:hAnsi="Arial"/>
          <w:sz w:val="16"/>
          <w:szCs w:val="16"/>
          <w:color w:val="auto"/>
        </w:rPr>
      </w:pPr>
    </w:p>
    <w:p>
      <w:pPr>
        <w:ind w:left="660" w:hanging="328"/>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spread on the variable rate may be reduced, subject to certain conditions.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the greater of (1) the sum of (x) SOFR and (y) 2.41% or (2) 2.80% per annum.</w:t>
      </w:r>
    </w:p>
    <w:p>
      <w:pPr>
        <w:spacing w:after="0" w:line="21"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(1) the greater of (x) SOFR or (y) 0.25%, plus (2) 2.50% per annum.</w:t>
      </w:r>
    </w:p>
    <w:p>
      <w:pPr>
        <w:spacing w:after="0" w:line="14" w:lineRule="exact"/>
        <w:rPr>
          <w:rFonts w:ascii="Arial" w:cs="Arial" w:eastAsia="Arial" w:hAnsi="Arial"/>
          <w:sz w:val="16"/>
          <w:szCs w:val="16"/>
          <w:color w:val="auto"/>
        </w:rPr>
      </w:pPr>
    </w:p>
    <w:p>
      <w:pPr>
        <w:ind w:left="660" w:right="160" w:hanging="328"/>
        <w:spacing w:after="0" w:line="255"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joint venture entered into interest rate swap contracts with notional amounts aggregating $154.3 million through September 2, 2025, resulting in a fixed rate of approximately 7.35% per annum through the expiration of the interest rate swap contracts.</w:t>
      </w:r>
    </w:p>
    <w:p>
      <w:pPr>
        <w:ind w:left="660" w:right="540" w:hanging="328"/>
        <w:spacing w:after="0" w:line="249"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joint venture entered into interest rate swap contracts with notional amounts aggregating $185.0 million through April 10, 2032, resulting in a fixed rate of approximately 4.432% per annum through the expiration of the interest rate swap contracts.</w:t>
      </w:r>
    </w:p>
    <w:p>
      <w:pPr>
        <w:ind w:left="660" w:right="160" w:hanging="328"/>
        <w:spacing w:after="0" w:line="256"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the greater of (x) 2.35% or (y) SOFR plus 2.32% per annum. The joint venture entered into an interest rate cap agreement with a financial institution to limit its exposure to increases in the SOFR rate at a cap of 2.50% per annum on a notional amount of $250.0 million through September 1, 2025.</w:t>
      </w:r>
    </w:p>
    <w:p>
      <w:pPr>
        <w:spacing w:after="0" w:line="1" w:lineRule="exact"/>
        <w:rPr>
          <w:rFonts w:ascii="Arial" w:cs="Arial" w:eastAsia="Arial" w:hAnsi="Arial"/>
          <w:sz w:val="16"/>
          <w:szCs w:val="16"/>
          <w:color w:val="auto"/>
        </w:rPr>
      </w:pPr>
    </w:p>
    <w:p>
      <w:pPr>
        <w:ind w:left="660" w:hanging="328"/>
        <w:spacing w:after="0" w:line="252" w:lineRule="auto"/>
        <w:tabs>
          <w:tab w:leader="none" w:pos="651"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indebtedness consists of (x) a $70.0 million mortgage loan payable (Note A) which bears interest at a fixed rate of 6.23% per annum, and (y) a $35.0 million mortgage loan payable (Note B) which bears interest at a fixed rate of 8.03% per annum. We provided $10.5 million of the Note B mortgage financing to the joint venture. Our portion of the loan is reflected as Related Party Note Receivables, Net on our Consolidated Balance Sheets.</w:t>
      </w:r>
    </w:p>
    <w:p>
      <w:pPr>
        <w:jc w:val="both"/>
        <w:ind w:left="660" w:right="100" w:hanging="328"/>
        <w:spacing w:after="0" w:line="252" w:lineRule="auto"/>
        <w:tabs>
          <w:tab w:leader="none" w:pos="63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joint venture entered into interest rate swap contracts with notional amounts aggregating $600.0 million through June 2028, resulting in a fixed rate of approximately 4.34% per annum through the expiration of the interest rate swap contracts. The deferred financing costs, net include the adjustment required to reflect the loan and interest rate swap at fair value upon acquisition.</w:t>
      </w:r>
    </w:p>
    <w:p>
      <w:pPr>
        <w:jc w:val="both"/>
        <w:ind w:left="660" w:right="140" w:hanging="328"/>
        <w:spacing w:after="0" w:line="252" w:lineRule="auto"/>
        <w:tabs>
          <w:tab w:leader="none" w:pos="651"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 provided $80.0 million of mortgage financing to the joint venture. The loan is reflected as Related Party Note Receivables, Net on our Consolidated Balance Sheets. As of September 30, 2024, the loan was in a maturity default and had an outstanding balance, including accrued and unpaid interest and default interest, of approximately $116.0 million.</w:t>
      </w: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$140.0 million.</w:t>
      </w:r>
    </w:p>
    <w:p>
      <w:pPr>
        <w:spacing w:after="0" w:line="200" w:lineRule="exact"/>
        <w:rPr>
          <w:sz w:val="20"/>
          <w:szCs w:val="20"/>
          <w:color w:val="auto"/>
        </w:rPr>
      </w:pPr>
    </w:p>
    <w:p>
      <w:pPr>
        <w:spacing w:after="0" w:line="23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283" w:right="10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State and Local Tax Matters</w:t>
      </w:r>
    </w:p>
    <w:p>
      <w:pPr>
        <w:spacing w:after="0" w:line="88"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Because BXP is organized and qualifies as a REIT, it is generally not subject to federal income taxes, but is subject to certain state and local taxes. In the normal course of business, certain entities through which we own real estate either have undergone, or are currently undergoing, tax audits or other inquiries. Although we believe that we have substantial arguments in favor of our position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Insurance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concerning our insurance program, see Note 8 to the Consolidated Financial Statements.</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Funds from Operations</w:t>
      </w:r>
    </w:p>
    <w:p>
      <w:pPr>
        <w:spacing w:after="0" w:line="10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Pursuant to the revised definition of Funds from Operations adopted by the Board of Governors of the National Association of Real Estate Investment Trusts (“Nareit”), we calculate Funds from Operations, or “FFO,” for each of BXP and BPLP by adjusting net income (loss) attributable to BXP, Inc. and net income (loss) attributable to Boston Properties Limited Partnership (computed in accordance with GAAP), respectively, for gains (or losses) from sales of properties, including a change in control, impairment losses on depreciable real estate consolidated on our balance sheet, impairment losses on our investments in unconsolidated joint ventures 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a useful measure for understanding and comparing our operating results because, by excluding gains and losses related to sales or a change in control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w:t>
      </w:r>
    </w:p>
    <w:p>
      <w:pPr>
        <w:spacing w:after="0" w:line="133"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(loss) attributable to BXP, Inc. and net income (loss) attributable to Boston Properties Limited Partnership as presented in our Consolidated Financial Statements. FFO should not be considered as a substitute for net income (loss) attributable to BXP, Inc. or net income (loss)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102" w:lineRule="exact"/>
        <w:rPr>
          <w:sz w:val="20"/>
          <w:szCs w:val="20"/>
          <w:color w:val="auto"/>
        </w:rPr>
      </w:pPr>
    </w:p>
    <w:p>
      <w:pPr>
        <w:ind w:right="220" w:firstLine="445"/>
        <w:spacing w:after="0" w:line="287" w:lineRule="auto"/>
        <w:rPr>
          <w:sz w:val="20"/>
          <w:szCs w:val="20"/>
          <w:color w:val="auto"/>
        </w:rPr>
      </w:pPr>
      <w:r>
        <w:rPr>
          <w:rFonts w:ascii="Arial" w:cs="Arial" w:eastAsia="Arial" w:hAnsi="Arial"/>
          <w:sz w:val="18"/>
          <w:szCs w:val="18"/>
          <w:color w:val="auto"/>
        </w:rPr>
        <w:t>The following table presents a reconciliation of net income (loss) attributable to BXP, Inc. to FFO attributable to BXP, Inc. for the three months ended September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09"/>
        </w:trPr>
        <w:tc>
          <w:tcPr>
            <w:tcW w:w="7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BXP, Inc.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83,628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(111,826)</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Add: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9,587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(12,626)</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15,237</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20,909</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108,452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(103,543)</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Add: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222,890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207,435</w:t>
            </w:r>
          </w:p>
        </w:tc>
        <w:tc>
          <w:tcPr>
            <w:tcW w:w="0" w:type="dxa"/>
            <w:vAlign w:val="bottom"/>
          </w:tcPr>
          <w:p>
            <w:pPr>
              <w:spacing w:after="0"/>
              <w:rPr>
                <w:sz w:val="1"/>
                <w:szCs w:val="1"/>
                <w:color w:val="auto"/>
              </w:rPr>
            </w:pP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18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(18,857)</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(18,174)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20,757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25,666</w:t>
            </w:r>
          </w:p>
        </w:tc>
        <w:tc>
          <w:tcPr>
            <w:tcW w:w="0" w:type="dxa"/>
            <w:vAlign w:val="bottom"/>
          </w:tcPr>
          <w:p>
            <w:pPr>
              <w:spacing w:after="0"/>
              <w:rPr>
                <w:sz w:val="1"/>
                <w:szCs w:val="1"/>
                <w:color w:val="auto"/>
              </w:rPr>
            </w:pP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Corporate-related depreciation and amortization</w:t>
            </w:r>
          </w:p>
        </w:tc>
        <w:tc>
          <w:tcPr>
            <w:tcW w:w="18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(438)</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Non-real estate depreciation and amortization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2,130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Impairment losses included within loss from unconsolidated joint ventures (1)</w:t>
            </w:r>
          </w:p>
        </w:tc>
        <w:tc>
          <w:tcPr>
            <w:tcW w:w="18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272,603</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Gain on investment included within loss from unconsolidated joint ventures (2)</w:t>
            </w:r>
          </w:p>
        </w:tc>
        <w:tc>
          <w:tcPr>
            <w:tcW w:w="18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35,756</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on sales of real estate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Unrealized gain (loss) on non-real estate investment</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94</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15,237</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20,909</w:t>
            </w:r>
          </w:p>
        </w:tc>
        <w:tc>
          <w:tcPr>
            <w:tcW w:w="0" w:type="dxa"/>
            <w:vAlign w:val="bottom"/>
          </w:tcPr>
          <w:p>
            <w:pPr>
              <w:spacing w:after="0"/>
              <w:rPr>
                <w:sz w:val="1"/>
                <w:szCs w:val="1"/>
                <w:color w:val="auto"/>
              </w:rPr>
            </w:pPr>
          </w:p>
        </w:tc>
      </w:tr>
      <w:tr>
        <w:trPr>
          <w:trHeight w:val="142"/>
        </w:trPr>
        <w:tc>
          <w:tcPr>
            <w:tcW w:w="7980" w:type="dxa"/>
            <w:vAlign w:val="bottom"/>
          </w:tcPr>
          <w:p>
            <w:pPr>
              <w:ind w:left="20"/>
              <w:spacing w:after="0" w:line="142" w:lineRule="exact"/>
              <w:rPr>
                <w:sz w:val="20"/>
                <w:szCs w:val="20"/>
                <w:color w:val="auto"/>
              </w:rPr>
            </w:pPr>
            <w:r>
              <w:rPr>
                <w:rFonts w:ascii="Arial" w:cs="Arial" w:eastAsia="Arial" w:hAnsi="Arial"/>
                <w:sz w:val="16"/>
                <w:szCs w:val="16"/>
                <w:color w:val="auto"/>
              </w:rPr>
              <w:t>Funds from Operations (FFO) attributable to the Operating Partnership common unitholders (including BXP,</w:t>
            </w:r>
          </w:p>
        </w:tc>
        <w:tc>
          <w:tcPr>
            <w:tcW w:w="180" w:type="dxa"/>
            <w:vAlign w:val="bottom"/>
          </w:tcPr>
          <w:p>
            <w:pPr>
              <w:spacing w:after="0"/>
              <w:rPr>
                <w:sz w:val="12"/>
                <w:szCs w:val="12"/>
                <w:color w:val="auto"/>
              </w:rPr>
            </w:pPr>
          </w:p>
        </w:tc>
        <w:tc>
          <w:tcPr>
            <w:tcW w:w="1360" w:type="dxa"/>
            <w:vAlign w:val="bottom"/>
            <w:vMerge w:val="restart"/>
          </w:tcPr>
          <w:p>
            <w:pPr>
              <w:jc w:val="right"/>
              <w:ind w:right="119"/>
              <w:spacing w:after="0"/>
              <w:rPr>
                <w:sz w:val="20"/>
                <w:szCs w:val="20"/>
                <w:color w:val="auto"/>
              </w:rPr>
            </w:pPr>
            <w:r>
              <w:rPr>
                <w:rFonts w:ascii="Arial" w:cs="Arial" w:eastAsia="Arial" w:hAnsi="Arial"/>
                <w:sz w:val="16"/>
                <w:szCs w:val="16"/>
                <w:color w:val="auto"/>
              </w:rPr>
              <w:t>319,086</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326,410</w:t>
            </w:r>
          </w:p>
        </w:tc>
        <w:tc>
          <w:tcPr>
            <w:tcW w:w="0" w:type="dxa"/>
            <w:vAlign w:val="bottom"/>
          </w:tcPr>
          <w:p>
            <w:pPr>
              <w:spacing w:after="0"/>
              <w:rPr>
                <w:sz w:val="1"/>
                <w:szCs w:val="1"/>
                <w:color w:val="auto"/>
              </w:rPr>
            </w:pP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Inc.)</w:t>
            </w: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interest—common units of the Operating Partnership’s share of funds from operations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32,228</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33,588</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Funds from Operations attributable to BXP,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286,858</w:t>
            </w: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292,822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Our percentage share of Funds from Operations—basic</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89.90 %</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89.71 %</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outstanding—basic</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157,725</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156,880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30" w:lineRule="exact"/>
        <w:rPr>
          <w:sz w:val="20"/>
          <w:szCs w:val="20"/>
          <w:color w:val="auto"/>
        </w:rPr>
      </w:pPr>
    </w:p>
    <w:p>
      <w:pPr>
        <w:ind w:left="580" w:right="320" w:hanging="329"/>
        <w:spacing w:after="0" w:line="246" w:lineRule="auto"/>
        <w:tabs>
          <w:tab w:leader="none" w:pos="575" w:val="left"/>
        </w:tabs>
        <w:numPr>
          <w:ilvl w:val="0"/>
          <w:numId w:val="68"/>
        </w:numPr>
        <w:rPr>
          <w:rFonts w:ascii="Arial" w:cs="Arial" w:eastAsia="Arial" w:hAnsi="Arial"/>
          <w:sz w:val="16"/>
          <w:szCs w:val="16"/>
          <w:color w:val="auto"/>
        </w:rPr>
      </w:pPr>
      <w:r>
        <w:rPr>
          <w:rFonts w:ascii="Arial" w:cs="Arial" w:eastAsia="Arial" w:hAnsi="Arial"/>
          <w:sz w:val="16"/>
          <w:szCs w:val="16"/>
          <w:color w:val="auto"/>
        </w:rPr>
        <w:t>During the three months ended September 30, 2023, we recognized an other-than-temporary impairment loss on our investments in Platform 16, 360 Park Avenue South, 200 Fifth Avenue and Safeco Plaza aggregating approximately $272.6 million.</w:t>
      </w:r>
    </w:p>
    <w:p>
      <w:pPr>
        <w:ind w:left="580" w:right="40" w:hanging="329"/>
        <w:spacing w:after="0" w:line="264" w:lineRule="auto"/>
        <w:tabs>
          <w:tab w:leader="none" w:pos="575"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September 13, 2023, a joint venture in which we owned a 20% equity interest completed the first step of a two-step restructuring of the ownership in Metropolitan Square, which resulted in, among other things, (i) the cessation of our obligation to fund future investments through our then 20% equity interest, which caused us to recognize a gain on investment of approximately $35.8 million related to our deficit investment balance, which was primarily due to excess distributions, and (ii) the removal of the property from our in-service portfolio.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The following tables presents a reconciliation of net income (loss) attributable to BXP, Inc. to Diluted FFO attributable to BXP, Inc. for income (numerator) and shares/units (denominator) for the three months ended September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0"/>
        </w:trPr>
        <w:tc>
          <w:tcPr>
            <w:tcW w:w="8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8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BXP, Inc.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83,628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(111,826)</w:t>
            </w:r>
          </w:p>
        </w:tc>
        <w:tc>
          <w:tcPr>
            <w:tcW w:w="0" w:type="dxa"/>
            <w:vAlign w:val="bottom"/>
          </w:tcPr>
          <w:p>
            <w:pPr>
              <w:spacing w:after="0"/>
              <w:rPr>
                <w:sz w:val="1"/>
                <w:szCs w:val="1"/>
                <w:color w:val="auto"/>
              </w:rPr>
            </w:pP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Add:</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(12,626)</w:t>
            </w:r>
          </w:p>
        </w:tc>
        <w:tc>
          <w:tcPr>
            <w:tcW w:w="0" w:type="dxa"/>
            <w:vAlign w:val="bottom"/>
          </w:tcPr>
          <w:p>
            <w:pPr>
              <w:spacing w:after="0"/>
              <w:rPr>
                <w:sz w:val="1"/>
                <w:szCs w:val="1"/>
                <w:color w:val="auto"/>
              </w:rPr>
            </w:pPr>
          </w:p>
        </w:tc>
      </w:tr>
      <w:tr>
        <w:trPr>
          <w:trHeight w:val="215"/>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15,237</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20,909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108,452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(103,543)</w:t>
            </w:r>
          </w:p>
        </w:tc>
        <w:tc>
          <w:tcPr>
            <w:tcW w:w="0" w:type="dxa"/>
            <w:vAlign w:val="bottom"/>
          </w:tcPr>
          <w:p>
            <w:pPr>
              <w:spacing w:after="0"/>
              <w:rPr>
                <w:sz w:val="1"/>
                <w:szCs w:val="1"/>
                <w:color w:val="auto"/>
              </w:rPr>
            </w:pP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Add:</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222,890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207,435</w:t>
            </w:r>
          </w:p>
        </w:tc>
        <w:tc>
          <w:tcPr>
            <w:tcW w:w="0" w:type="dxa"/>
            <w:vAlign w:val="bottom"/>
          </w:tcPr>
          <w:p>
            <w:pPr>
              <w:spacing w:after="0"/>
              <w:rPr>
                <w:sz w:val="1"/>
                <w:szCs w:val="1"/>
                <w:color w:val="auto"/>
              </w:rPr>
            </w:pPr>
          </w:p>
        </w:tc>
      </w:tr>
      <w:tr>
        <w:trPr>
          <w:trHeight w:val="215"/>
        </w:trPr>
        <w:tc>
          <w:tcPr>
            <w:tcW w:w="8180" w:type="dxa"/>
            <w:vAlign w:val="bottom"/>
          </w:tcPr>
          <w:p>
            <w:pPr>
              <w:ind w:left="36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(18,857)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(18,174)</w:t>
            </w: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25,666</w:t>
            </w:r>
          </w:p>
        </w:tc>
        <w:tc>
          <w:tcPr>
            <w:tcW w:w="0" w:type="dxa"/>
            <w:vAlign w:val="bottom"/>
          </w:tcPr>
          <w:p>
            <w:pPr>
              <w:spacing w:after="0"/>
              <w:rPr>
                <w:sz w:val="1"/>
                <w:szCs w:val="1"/>
                <w:color w:val="auto"/>
              </w:rPr>
            </w:pPr>
          </w:p>
        </w:tc>
      </w:tr>
      <w:tr>
        <w:trPr>
          <w:trHeight w:val="215"/>
        </w:trPr>
        <w:tc>
          <w:tcPr>
            <w:tcW w:w="8180" w:type="dxa"/>
            <w:vAlign w:val="bottom"/>
          </w:tcPr>
          <w:p>
            <w:pPr>
              <w:ind w:left="360"/>
              <w:spacing w:after="0"/>
              <w:rPr>
                <w:sz w:val="20"/>
                <w:szCs w:val="20"/>
                <w:color w:val="auto"/>
              </w:rPr>
            </w:pPr>
            <w:r>
              <w:rPr>
                <w:rFonts w:ascii="Arial" w:cs="Arial" w:eastAsia="Arial" w:hAnsi="Arial"/>
                <w:sz w:val="16"/>
                <w:szCs w:val="16"/>
                <w:color w:val="auto"/>
              </w:rPr>
              <w:t>Corporate-related depreciation and amortization</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Non-real estate depreciation and amortization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180" w:type="dxa"/>
            <w:vAlign w:val="bottom"/>
          </w:tcPr>
          <w:p>
            <w:pPr>
              <w:ind w:left="360"/>
              <w:spacing w:after="0"/>
              <w:rPr>
                <w:sz w:val="20"/>
                <w:szCs w:val="20"/>
                <w:color w:val="auto"/>
              </w:rPr>
            </w:pPr>
            <w:r>
              <w:rPr>
                <w:rFonts w:ascii="Arial" w:cs="Arial" w:eastAsia="Arial" w:hAnsi="Arial"/>
                <w:sz w:val="16"/>
                <w:szCs w:val="16"/>
                <w:color w:val="auto"/>
              </w:rPr>
              <w:t>Impairment losses included within loss from unconsolidated joint ventures (1)</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272,603</w:t>
            </w: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360"/>
              <w:spacing w:after="0"/>
              <w:rPr>
                <w:sz w:val="20"/>
                <w:szCs w:val="20"/>
                <w:color w:val="auto"/>
              </w:rPr>
            </w:pPr>
            <w:r>
              <w:rPr>
                <w:rFonts w:ascii="Arial" w:cs="Arial" w:eastAsia="Arial" w:hAnsi="Arial"/>
                <w:sz w:val="16"/>
                <w:szCs w:val="16"/>
                <w:color w:val="auto"/>
              </w:rPr>
              <w:t>Gain on investment included within loss from unconsolidated joint ventures (2)</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35,756</w:t>
            </w: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on sales of real estate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5"/>
        </w:trPr>
        <w:tc>
          <w:tcPr>
            <w:tcW w:w="8180" w:type="dxa"/>
            <w:vAlign w:val="bottom"/>
          </w:tcPr>
          <w:p>
            <w:pPr>
              <w:ind w:left="360"/>
              <w:spacing w:after="0"/>
              <w:rPr>
                <w:sz w:val="20"/>
                <w:szCs w:val="20"/>
                <w:color w:val="auto"/>
              </w:rPr>
            </w:pPr>
            <w:r>
              <w:rPr>
                <w:rFonts w:ascii="Arial" w:cs="Arial" w:eastAsia="Arial" w:hAnsi="Arial"/>
                <w:sz w:val="16"/>
                <w:szCs w:val="16"/>
                <w:color w:val="auto"/>
              </w:rPr>
              <w:t>Unrealized gain (loss) on non-real estate investment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15,237</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20,909</w:t>
            </w:r>
          </w:p>
        </w:tc>
        <w:tc>
          <w:tcPr>
            <w:tcW w:w="0" w:type="dxa"/>
            <w:vAlign w:val="bottom"/>
          </w:tcPr>
          <w:p>
            <w:pPr>
              <w:spacing w:after="0"/>
              <w:rPr>
                <w:sz w:val="1"/>
                <w:szCs w:val="1"/>
                <w:color w:val="auto"/>
              </w:rPr>
            </w:pPr>
          </w:p>
        </w:tc>
      </w:tr>
      <w:tr>
        <w:trPr>
          <w:trHeight w:val="142"/>
        </w:trPr>
        <w:tc>
          <w:tcPr>
            <w:tcW w:w="8180" w:type="dxa"/>
            <w:vAlign w:val="bottom"/>
          </w:tcPr>
          <w:p>
            <w:pPr>
              <w:ind w:left="20"/>
              <w:spacing w:after="0" w:line="142" w:lineRule="exact"/>
              <w:rPr>
                <w:sz w:val="20"/>
                <w:szCs w:val="20"/>
                <w:color w:val="auto"/>
              </w:rPr>
            </w:pPr>
            <w:r>
              <w:rPr>
                <w:rFonts w:ascii="Arial" w:cs="Arial" w:eastAsia="Arial" w:hAnsi="Arial"/>
                <w:sz w:val="16"/>
                <w:szCs w:val="16"/>
                <w:color w:val="auto"/>
              </w:rPr>
              <w:t>Funds from Operations (FFO) attributable to the Operating Partnership common unitholders (including BXP,</w:t>
            </w:r>
          </w:p>
        </w:tc>
        <w:tc>
          <w:tcPr>
            <w:tcW w:w="14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319,086</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326,410</w:t>
            </w:r>
          </w:p>
        </w:tc>
        <w:tc>
          <w:tcPr>
            <w:tcW w:w="0" w:type="dxa"/>
            <w:vAlign w:val="bottom"/>
          </w:tcPr>
          <w:p>
            <w:pPr>
              <w:spacing w:after="0"/>
              <w:rPr>
                <w:sz w:val="1"/>
                <w:szCs w:val="1"/>
                <w:color w:val="auto"/>
              </w:rPr>
            </w:pPr>
          </w:p>
        </w:tc>
      </w:tr>
      <w:tr>
        <w:trPr>
          <w:trHeight w:val="215"/>
        </w:trPr>
        <w:tc>
          <w:tcPr>
            <w:tcW w:w="8180" w:type="dxa"/>
            <w:vAlign w:val="bottom"/>
          </w:tcPr>
          <w:p>
            <w:pPr>
              <w:ind w:left="360"/>
              <w:spacing w:after="0"/>
              <w:rPr>
                <w:sz w:val="20"/>
                <w:szCs w:val="20"/>
                <w:color w:val="auto"/>
              </w:rPr>
            </w:pPr>
            <w:r>
              <w:rPr>
                <w:rFonts w:ascii="Arial" w:cs="Arial" w:eastAsia="Arial" w:hAnsi="Arial"/>
                <w:sz w:val="16"/>
                <w:szCs w:val="16"/>
                <w:color w:val="auto"/>
              </w:rPr>
              <w:t>Inc.)</w:t>
            </w: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2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FFO</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319,086</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326,410</w:t>
            </w:r>
          </w:p>
        </w:tc>
        <w:tc>
          <w:tcPr>
            <w:tcW w:w="0" w:type="dxa"/>
            <w:vAlign w:val="bottom"/>
          </w:tcPr>
          <w:p>
            <w:pPr>
              <w:spacing w:after="0"/>
              <w:rPr>
                <w:sz w:val="1"/>
                <w:szCs w:val="1"/>
                <w:color w:val="auto"/>
              </w:rPr>
            </w:pP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Less: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Partnership’s share of diluted FFO</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32,132</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33,522</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Diluted FFO attributable to BXP, Inc. (3)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286,954</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292,888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30" w:lineRule="exact"/>
        <w:rPr>
          <w:sz w:val="20"/>
          <w:szCs w:val="20"/>
          <w:color w:val="auto"/>
        </w:rPr>
      </w:pPr>
    </w:p>
    <w:p>
      <w:pPr>
        <w:ind w:left="580" w:right="320" w:hanging="329"/>
        <w:spacing w:after="0" w:line="255" w:lineRule="auto"/>
        <w:tabs>
          <w:tab w:leader="none" w:pos="575" w:val="left"/>
        </w:tabs>
        <w:numPr>
          <w:ilvl w:val="0"/>
          <w:numId w:val="69"/>
        </w:numPr>
        <w:rPr>
          <w:rFonts w:ascii="Arial" w:cs="Arial" w:eastAsia="Arial" w:hAnsi="Arial"/>
          <w:sz w:val="16"/>
          <w:szCs w:val="16"/>
          <w:color w:val="auto"/>
        </w:rPr>
      </w:pPr>
      <w:r>
        <w:rPr>
          <w:rFonts w:ascii="Arial" w:cs="Arial" w:eastAsia="Arial" w:hAnsi="Arial"/>
          <w:sz w:val="16"/>
          <w:szCs w:val="16"/>
          <w:color w:val="auto"/>
        </w:rPr>
        <w:t>During the three months ended September 30, 2023, we recognized an other-than-temporary impairment loss on our investments in Platform 16, 360 Park Avenue South, 200 Fifth Avenue and Safeco Plaza aggregating approximately $272.6 million.</w:t>
      </w:r>
    </w:p>
    <w:p>
      <w:pPr>
        <w:ind w:left="580" w:right="40" w:hanging="329"/>
        <w:spacing w:after="0" w:line="254" w:lineRule="auto"/>
        <w:tabs>
          <w:tab w:leader="none" w:pos="575" w:val="left"/>
        </w:tabs>
        <w:numPr>
          <w:ilvl w:val="0"/>
          <w:numId w:val="69"/>
        </w:numPr>
        <w:rPr>
          <w:rFonts w:ascii="Arial" w:cs="Arial" w:eastAsia="Arial" w:hAnsi="Arial"/>
          <w:sz w:val="16"/>
          <w:szCs w:val="16"/>
          <w:color w:val="auto"/>
        </w:rPr>
      </w:pPr>
      <w:r>
        <w:rPr>
          <w:rFonts w:ascii="Arial" w:cs="Arial" w:eastAsia="Arial" w:hAnsi="Arial"/>
          <w:sz w:val="16"/>
          <w:szCs w:val="16"/>
          <w:color w:val="auto"/>
        </w:rPr>
        <w:t>On September 13, 2023, a joint venture in which we owned a 20% equity interest completed the first step of a two-step restructuring of the ownership in Metropolitan Square, which resulted in, among other things, (i) the cessation of our obligation to fund future investments through our then 20% equity interest, which caused us to recognize a gain on investment of approximately $35.8 million related to our deficit investment balance, which was primarily due to excess distributions, and (ii) the removal of the property from our in-service portfolio.</w:t>
      </w:r>
    </w:p>
    <w:p>
      <w:pPr>
        <w:ind w:left="580" w:hanging="329"/>
        <w:spacing w:after="0"/>
        <w:tabs>
          <w:tab w:leader="none" w:pos="5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BXP’s share of diluted Funds from Operations was 89.93% and 89.73% for the three months ended September 30, 2024 and 2023, respectively.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20" w:type="dxa"/>
            <w:vAlign w:val="bottom"/>
          </w:tcPr>
          <w:p>
            <w:pPr>
              <w:spacing w:after="0"/>
              <w:rPr>
                <w:sz w:val="18"/>
                <w:szCs w:val="18"/>
                <w:color w:val="auto"/>
              </w:rPr>
            </w:pPr>
          </w:p>
        </w:tc>
        <w:tc>
          <w:tcPr>
            <w:tcW w:w="30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302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shares/units (in thousands)</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Funds from Operations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175,446</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174,882</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based compensation</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6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Diluted Funds from Operations</w:t>
            </w:r>
          </w:p>
        </w:tc>
        <w:tc>
          <w:tcPr>
            <w:tcW w:w="1420" w:type="dxa"/>
            <w:vAlign w:val="bottom"/>
          </w:tcPr>
          <w:p>
            <w:pPr>
              <w:jc w:val="right"/>
              <w:spacing w:after="0"/>
              <w:rPr>
                <w:sz w:val="20"/>
                <w:szCs w:val="20"/>
                <w:color w:val="auto"/>
              </w:rPr>
            </w:pPr>
            <w:r>
              <w:rPr>
                <w:rFonts w:ascii="Arial" w:cs="Arial" w:eastAsia="Arial" w:hAnsi="Arial"/>
                <w:sz w:val="16"/>
                <w:szCs w:val="16"/>
                <w:color w:val="auto"/>
              </w:rPr>
              <w:t>175,934</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175,271</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20" w:type="dxa"/>
            <w:vAlign w:val="bottom"/>
          </w:tcPr>
          <w:p>
            <w:pPr>
              <w:ind w:left="360"/>
              <w:spacing w:after="0" w:line="162" w:lineRule="exact"/>
              <w:rPr>
                <w:sz w:val="20"/>
                <w:szCs w:val="20"/>
                <w:color w:val="auto"/>
              </w:rPr>
            </w:pPr>
            <w:r>
              <w:rPr>
                <w:rFonts w:ascii="Arial" w:cs="Arial" w:eastAsia="Arial" w:hAnsi="Arial"/>
                <w:sz w:val="16"/>
                <w:szCs w:val="16"/>
                <w:color w:val="auto"/>
              </w:rPr>
              <w:t>Noncontrolling interest—common units of the Operating Partnership’s share of diluted Funds from</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17,721</w:t>
            </w:r>
          </w:p>
        </w:tc>
        <w:tc>
          <w:tcPr>
            <w:tcW w:w="1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18,002</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Operations</w:t>
            </w:r>
          </w:p>
        </w:tc>
        <w:tc>
          <w:tcPr>
            <w:tcW w:w="14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Funds from Operations attributable to BXP, Inc. (1)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158,213</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157,269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  BXP’s share of diluted Funds from Operations was 89.93% and 89.73% for the three months ended September 30, 2024 and 2023,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102" w:lineRule="exact"/>
        <w:rPr>
          <w:sz w:val="20"/>
          <w:szCs w:val="20"/>
          <w:color w:val="auto"/>
        </w:rPr>
      </w:pPr>
    </w:p>
    <w:p>
      <w:pPr>
        <w:ind w:right="840" w:firstLine="445"/>
        <w:spacing w:after="0" w:line="287" w:lineRule="auto"/>
        <w:rPr>
          <w:sz w:val="20"/>
          <w:szCs w:val="20"/>
          <w:color w:val="auto"/>
        </w:rPr>
      </w:pPr>
      <w:r>
        <w:rPr>
          <w:rFonts w:ascii="Arial" w:cs="Arial" w:eastAsia="Arial" w:hAnsi="Arial"/>
          <w:sz w:val="18"/>
          <w:szCs w:val="18"/>
          <w:color w:val="auto"/>
        </w:rPr>
        <w:t>The following table presents a reconciliation of net income (loss) attributable to Boston Properties Limited Partnership to FFO attributable to Boston Properties Limited Partnership for the three months ended September 30, 2024 and 2023: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Boston Properties Limited Partnership</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94,919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(122,696)</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Add: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15,237</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20,909</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110,156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(101,787)</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221,186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205,679</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(18,174)</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20,757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25,666</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Corporate-related depreciation and amortization</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Non-real estate depreciation and amortization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2,130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losses included within loss from unconsolidated joint ventures (1)</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272,603</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Less: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investment included within loss from unconsolidated joint ventures (2)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35,756</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Gains on sales of real estate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(loss) on non-real estate investment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15,237</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20,909</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Funds from Operations attributable to Boston Properties Limited Partnership (3)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319,086</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326,410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outstanding—basic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175,446</w:t>
            </w:r>
          </w:p>
        </w:tc>
        <w:tc>
          <w:tcPr>
            <w:tcW w:w="1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174,882</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right="320" w:hanging="329"/>
        <w:spacing w:after="0" w:line="246" w:lineRule="auto"/>
        <w:tabs>
          <w:tab w:leader="none" w:pos="575"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During the three months ended September 30, 2023, we recognized an other-than-temporary impairment loss on our investments in Platform 16, 360 Park Avenue South, 200 Fifth Avenue and Safeco Plaza aggregating approximately $272.6 million.</w:t>
      </w:r>
    </w:p>
    <w:p>
      <w:pPr>
        <w:ind w:left="580" w:right="40" w:hanging="329"/>
        <w:spacing w:after="0" w:line="264" w:lineRule="auto"/>
        <w:tabs>
          <w:tab w:leader="none" w:pos="575" w:val="left"/>
        </w:tabs>
        <w:numPr>
          <w:ilvl w:val="0"/>
          <w:numId w:val="70"/>
        </w:numPr>
        <w:rPr>
          <w:rFonts w:ascii="Arial" w:cs="Arial" w:eastAsia="Arial" w:hAnsi="Arial"/>
          <w:sz w:val="16"/>
          <w:szCs w:val="16"/>
          <w:color w:val="auto"/>
        </w:rPr>
      </w:pPr>
      <w:r>
        <w:rPr>
          <w:rFonts w:ascii="Arial" w:cs="Arial" w:eastAsia="Arial" w:hAnsi="Arial"/>
          <w:sz w:val="16"/>
          <w:szCs w:val="16"/>
          <w:color w:val="auto"/>
        </w:rPr>
        <w:t>On September 13, 2023, a joint venture in which we owned a 20% equity interest completed the first step of a two-step restructuring of the ownership in Metropolitan Square, which resulted in, among other things, (i) the cessation of our obligation to fund future investments through our then 20% equity interest, which caused us to recognize a gain on investment of approximately $35.8 million related to our deficit investment balance, which was primarily due to excess distributions, and (ii) the removal of the property from our in-service portfolio.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(3)  Our calculation includes OP Units and vested LTIP Units (including vested 2012 OPP Units and vested 2013 - 2021 MYLTIP Units).</w:t>
      </w:r>
    </w:p>
    <w:p>
      <w:pPr>
        <w:spacing w:after="0" w:line="257"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color w:val="auto"/>
        </w:rPr>
        <w:t>The following tables presents a reconciliation of net income (loss) attributable to Boston Properties Limited Partnership to Diluted FFO attributable to Boston Properties Limited Partnership for income (numerator) and shares/units (denominator) for the three months ended September 30, 2024 and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0"/>
        </w:trPr>
        <w:tc>
          <w:tcPr>
            <w:tcW w:w="8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09"/>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18"/>
                <w:szCs w:val="1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Boston Properties Limited Partnership</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94,919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(122,696)</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Add: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15,237</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20,909</w:t>
            </w: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110,156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(101,787)</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221,186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205,679</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(18,174)</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20,757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25,666</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Corporate-related depreciation and amortization</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Non-real estate depreciation and amortization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2,130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losses included within loss from unconsolidated joint ventures (1)</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272,603</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Less: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investment included within loss from unconsolidated joint ventures (2)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35,756</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Gains on sales of real estate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(loss) on non-real estate investment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15,237</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20,909</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Funds from Operations attributable to Boston Properties Limited Partnership (3)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319,086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326,410</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Diluted Funds from Operations attributable to Boston Properties Limited Partnership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319,086</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326,410</w:t>
            </w:r>
          </w:p>
        </w:tc>
      </w:tr>
      <w:tr>
        <w:trPr>
          <w:trHeight w:val="21"/>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right="320" w:hanging="329"/>
        <w:spacing w:after="0" w:line="246" w:lineRule="auto"/>
        <w:tabs>
          <w:tab w:leader="none" w:pos="575" w:val="left"/>
        </w:tabs>
        <w:numPr>
          <w:ilvl w:val="0"/>
          <w:numId w:val="71"/>
        </w:numPr>
        <w:rPr>
          <w:rFonts w:ascii="Arial" w:cs="Arial" w:eastAsia="Arial" w:hAnsi="Arial"/>
          <w:sz w:val="16"/>
          <w:szCs w:val="16"/>
          <w:color w:val="auto"/>
        </w:rPr>
      </w:pPr>
      <w:r>
        <w:rPr>
          <w:rFonts w:ascii="Arial" w:cs="Arial" w:eastAsia="Arial" w:hAnsi="Arial"/>
          <w:sz w:val="16"/>
          <w:szCs w:val="16"/>
          <w:color w:val="auto"/>
        </w:rPr>
        <w:t>During the three months ended September 30, 2023, we recognized an other-than-temporary impairment loss on our investments in Platform 16, 360 Park Avenue South, 200 Fifth Avenue and Safeco Plaza aggregating approximately $272.6 million.</w:t>
      </w:r>
    </w:p>
    <w:p>
      <w:pPr>
        <w:ind w:left="580" w:right="40" w:hanging="329"/>
        <w:spacing w:after="0" w:line="255" w:lineRule="auto"/>
        <w:tabs>
          <w:tab w:leader="none" w:pos="575" w:val="left"/>
        </w:tabs>
        <w:numPr>
          <w:ilvl w:val="0"/>
          <w:numId w:val="71"/>
        </w:numPr>
        <w:rPr>
          <w:rFonts w:ascii="Arial" w:cs="Arial" w:eastAsia="Arial" w:hAnsi="Arial"/>
          <w:sz w:val="16"/>
          <w:szCs w:val="16"/>
          <w:color w:val="auto"/>
        </w:rPr>
      </w:pPr>
      <w:r>
        <w:rPr>
          <w:rFonts w:ascii="Arial" w:cs="Arial" w:eastAsia="Arial" w:hAnsi="Arial"/>
          <w:sz w:val="16"/>
          <w:szCs w:val="16"/>
          <w:color w:val="auto"/>
        </w:rPr>
        <w:t>On September 13, 2023, a joint venture in which we owned a 20% equity interest completed the first step of a two-step restructuring of the ownership in Metropolitan Square, which resulted in, among other things, (i) the cessation of our obligation to fund future investments through our then 20% equity interest, which caused us to recognize a gain on investment of approximately $35.8 million related to our deficit investment balance, which was primarily due to excess distributions, and (ii) the removal of the property from our in-service portfolio.</w:t>
      </w:r>
    </w:p>
    <w:p>
      <w:pPr>
        <w:spacing w:after="0" w:line="1" w:lineRule="exact"/>
        <w:rPr>
          <w:rFonts w:ascii="Arial" w:cs="Arial" w:eastAsia="Arial" w:hAnsi="Arial"/>
          <w:sz w:val="16"/>
          <w:szCs w:val="16"/>
          <w:color w:val="auto"/>
        </w:rPr>
      </w:pPr>
    </w:p>
    <w:p>
      <w:pPr>
        <w:ind w:left="580" w:hanging="329"/>
        <w:spacing w:after="0"/>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calculation includes OP Units and vested LTIP Units (including vested 2012 OPP Units and vested 2013 - 2021 MYLTIP Units).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20" w:type="dxa"/>
            <w:vAlign w:val="bottom"/>
          </w:tcPr>
          <w:p>
            <w:pPr>
              <w:spacing w:after="0"/>
              <w:rPr>
                <w:sz w:val="18"/>
                <w:szCs w:val="18"/>
                <w:color w:val="auto"/>
              </w:rPr>
            </w:pPr>
          </w:p>
        </w:tc>
        <w:tc>
          <w:tcPr>
            <w:tcW w:w="30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0"/>
        </w:trPr>
        <w:tc>
          <w:tcPr>
            <w:tcW w:w="8220" w:type="dxa"/>
            <w:vAlign w:val="bottom"/>
          </w:tcPr>
          <w:p>
            <w:pPr>
              <w:spacing w:after="0"/>
              <w:rPr>
                <w:sz w:val="18"/>
                <w:szCs w:val="18"/>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09"/>
        </w:trPr>
        <w:tc>
          <w:tcPr>
            <w:tcW w:w="8220" w:type="dxa"/>
            <w:vAlign w:val="bottom"/>
          </w:tcPr>
          <w:p>
            <w:pPr>
              <w:spacing w:after="0"/>
              <w:rPr>
                <w:sz w:val="18"/>
                <w:szCs w:val="18"/>
                <w:color w:val="auto"/>
              </w:rPr>
            </w:pPr>
          </w:p>
        </w:tc>
        <w:tc>
          <w:tcPr>
            <w:tcW w:w="302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shares/units (in thousands)</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Funds from Operations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175,446</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174,882</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based compensation</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6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Diluted Funds from Operations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175,934</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175,271</w:t>
            </w:r>
          </w:p>
        </w:tc>
      </w:tr>
      <w:tr>
        <w:trPr>
          <w:trHeight w:val="20"/>
        </w:trPr>
        <w:tc>
          <w:tcPr>
            <w:tcW w:w="8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Commitments</w:t>
      </w:r>
    </w:p>
    <w:p>
      <w:pPr>
        <w:spacing w:after="0" w:line="90" w:lineRule="exact"/>
        <w:rPr>
          <w:sz w:val="20"/>
          <w:szCs w:val="20"/>
          <w:color w:val="auto"/>
        </w:rPr>
      </w:pPr>
    </w:p>
    <w:p>
      <w:pPr>
        <w:jc w:val="both"/>
        <w:ind w:right="60" w:firstLine="445"/>
        <w:spacing w:after="0" w:line="268" w:lineRule="auto"/>
        <w:rPr>
          <w:sz w:val="20"/>
          <w:szCs w:val="20"/>
          <w:color w:val="auto"/>
        </w:rPr>
      </w:pPr>
      <w:r>
        <w:rPr>
          <w:rFonts w:ascii="Arial" w:cs="Arial" w:eastAsia="Arial" w:hAnsi="Arial"/>
          <w:sz w:val="18"/>
          <w:szCs w:val="18"/>
          <w:color w:val="auto"/>
        </w:rPr>
        <w:t>We have various service contracts with vendors related to our property management. In addition, we have certain other contracts we enter into in the ordinary course of business that may extend beyond one year. These contracts include terms that provide for cancellation with insignificant or no cancellation penalties. Contract terms are generally between three and five years.</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During the three months ended September 30, 2024, we paid approximately $80.2 million to fund tenant-related obligations, including tenant improvements and leasing commissions.</w:t>
      </w:r>
    </w:p>
    <w:p>
      <w:pPr>
        <w:spacing w:after="0" w:line="99"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 xml:space="preserve">In addition, during the three months ended September 30, 2024, we and our unconsolidated joint venture partners incurred approximately $120.8 million of new tenant-related obligations associated with approximately 1.1 million square feet of second generation leases, or approximately $111 per square foot. We signed approximately 15,400 square feet of first generation leases. The tenant-related obligations for the development properties are included within the projects’ “Estimated Total Investment” referred to in </w:t>
      </w:r>
      <w:r>
        <w:rPr>
          <w:rFonts w:ascii="Arial" w:cs="Arial" w:eastAsia="Arial" w:hAnsi="Arial"/>
          <w:sz w:val="18"/>
          <w:szCs w:val="18"/>
          <w:i w:val="1"/>
          <w:iCs w:val="1"/>
          <w:color w:val="auto"/>
        </w:rPr>
        <w:t>“Item 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Management’s Discussion and Analysis of Financial Condition and Results of Operations—Liquidity and Capital Resources.” </w:t>
      </w:r>
      <w:r>
        <w:rPr>
          <w:rFonts w:ascii="Arial" w:cs="Arial" w:eastAsia="Arial" w:hAnsi="Arial"/>
          <w:sz w:val="18"/>
          <w:szCs w:val="18"/>
          <w:color w:val="auto"/>
        </w:rPr>
        <w:t>In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third quarter of 2024, we signed leases for approximately 1.1 million square feet of space and incurred aggregate tenant-related obligations of approximately $121.9 million, or approximately $110 per square foot.</w:t>
      </w: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83" w:right="5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Quantitative and Qualitative Disclosures about Market Risk.</w:t>
      </w:r>
    </w:p>
    <w:p>
      <w:pPr>
        <w:spacing w:after="0" w:line="90"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We are exposed to certain market risks, one of the most predominant of which is a change in interest rates. Unless we have entered into interest rate swaps or other derivatives to fix the interest rate, increases in interest rates can result in increased interest expense under our 2021 Credit Facility, unsecured term loans, unsecured commercial paper, certain mortgage loans and other debt that bears interest at variable rates. Increases in interest rates can also result in increased interest expense when our fixed rate debt matures and needs to be refinanced.</w:t>
      </w:r>
    </w:p>
    <w:p>
      <w:pPr>
        <w:spacing w:after="0" w:line="58"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As of September 30, 2024, approximately $14.1 billion of our indebtedness bore interest at fixed rates and therefore the fair value of these instruments is not affected by changes in the market interest rates. The remaining approximately $2.1 billion of outstanding indebtedness bore interest at variable rates, including approximately $800.0 million of unsecured term loans, $500.0 million of unsecured commercial paper borrowings and approximately $800.0 million of secured debt. However, we entered into interest rate swaps with notional amounts aggregating $800.0 million for our secured debt and $100.0 million for BPLP’s 2024 Unsecured Term Loan, thus fixing the interest rates for all, or a portion of the applicable debt term (See Note 7 to the Consolidated Financial Statements for information pertaining to interest rate swap contracts in place as of September 30, 2024 and their respective fair values). Therefore, as of September 30, 2024, we have $1.2 billion of variable rate debt outstanding.</w:t>
      </w:r>
    </w:p>
    <w:p>
      <w:pPr>
        <w:spacing w:after="0" w:line="131" w:lineRule="exact"/>
        <w:rPr>
          <w:sz w:val="20"/>
          <w:szCs w:val="20"/>
          <w:color w:val="auto"/>
        </w:rPr>
      </w:pPr>
    </w:p>
    <w:p>
      <w:pPr>
        <w:ind w:right="1100" w:firstLine="445"/>
        <w:spacing w:after="0" w:line="287" w:lineRule="auto"/>
        <w:rPr>
          <w:sz w:val="20"/>
          <w:szCs w:val="20"/>
          <w:color w:val="auto"/>
        </w:rPr>
      </w:pPr>
      <w:r>
        <w:rPr>
          <w:rFonts w:ascii="Arial" w:cs="Arial" w:eastAsia="Arial" w:hAnsi="Arial"/>
          <w:sz w:val="18"/>
          <w:szCs w:val="18"/>
          <w:color w:val="auto"/>
        </w:rPr>
        <w:t>The following table presents our aggregate debt obligations carrying value, estimated fair value and where applicable, the corresponding weighted-average GAAP interest rates sorted by maturity date as of September 30, 2024.</w:t>
      </w:r>
    </w:p>
    <w:p>
      <w:pPr>
        <w:spacing w:after="0" w:line="99"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The table below does not include our unconsolidated joint venture debt. For a discussion concerning our unconsolidated joint venture debt, including interest rate swaps, see Note 5 to the Consolidated Financial Statements and “</w:t>
      </w:r>
      <w:r>
        <w:rPr>
          <w:rFonts w:ascii="Arial" w:cs="Arial" w:eastAsia="Arial" w:hAnsi="Arial"/>
          <w:sz w:val="18"/>
          <w:szCs w:val="18"/>
          <w:i w:val="1"/>
          <w:iCs w:val="1"/>
          <w:color w:val="auto"/>
        </w:rPr>
        <w:t>Item 2</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Liquidity and Capital Resources—Investment in Unconsolidated Joint Ventures - Secured Debt.</w:t>
      </w:r>
      <w:r>
        <w:rPr>
          <w:rFonts w:ascii="Arial" w:cs="Arial" w:eastAsia="Arial" w:hAnsi="Arial"/>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1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5"/>
          </w:tcPr>
          <w:p>
            <w:pPr>
              <w:jc w:val="center"/>
              <w:ind w:right="300"/>
              <w:spacing w:after="0" w:line="147"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Mortgage debt, net</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197,333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2,297,114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995,922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3,482,119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3,110,778</w:t>
            </w:r>
          </w:p>
        </w:tc>
        <w:tc>
          <w:tcPr>
            <w:tcW w:w="0" w:type="dxa"/>
            <w:vAlign w:val="bottom"/>
          </w:tcPr>
          <w:p>
            <w:pPr>
              <w:spacing w:after="0"/>
              <w:rPr>
                <w:sz w:val="1"/>
                <w:szCs w:val="1"/>
                <w:color w:val="auto"/>
              </w:rPr>
            </w:pPr>
          </w:p>
        </w:tc>
      </w:tr>
      <w:tr>
        <w:trPr>
          <w:trHeight w:val="153"/>
        </w:trPr>
        <w:tc>
          <w:tcPr>
            <w:tcW w:w="1200" w:type="dxa"/>
            <w:vAlign w:val="bottom"/>
          </w:tcPr>
          <w:p>
            <w:pPr>
              <w:ind w:left="20"/>
              <w:spacing w:after="0" w:line="153" w:lineRule="exact"/>
              <w:rPr>
                <w:sz w:val="20"/>
                <w:szCs w:val="20"/>
                <w:color w:val="auto"/>
              </w:rPr>
            </w:pPr>
            <w:r>
              <w:rPr>
                <w:rFonts w:ascii="Arial" w:cs="Arial" w:eastAsia="Arial" w:hAnsi="Arial"/>
                <w:sz w:val="14"/>
                <w:szCs w:val="14"/>
                <w:color w:val="auto"/>
              </w:rPr>
              <w:t>GAAP Average</w:t>
            </w:r>
          </w:p>
        </w:tc>
        <w:tc>
          <w:tcPr>
            <w:tcW w:w="260" w:type="dxa"/>
            <w:vAlign w:val="bottom"/>
          </w:tcPr>
          <w:p>
            <w:pPr>
              <w:spacing w:after="0"/>
              <w:rPr>
                <w:sz w:val="13"/>
                <w:szCs w:val="13"/>
                <w:color w:val="auto"/>
              </w:rPr>
            </w:pPr>
          </w:p>
        </w:tc>
        <w:tc>
          <w:tcPr>
            <w:tcW w:w="960" w:type="dxa"/>
            <w:vAlign w:val="bottom"/>
            <w:gridSpan w:val="2"/>
            <w:vMerge w:val="restart"/>
          </w:tcPr>
          <w:p>
            <w:pPr>
              <w:ind w:left="5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7.69 %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60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3.64 %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60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3.67 %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0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197,632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598,901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793,036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796,910</w:t>
            </w:r>
          </w:p>
        </w:tc>
        <w:tc>
          <w:tcPr>
            <w:tcW w:w="0" w:type="dxa"/>
            <w:vAlign w:val="bottom"/>
          </w:tcPr>
          <w:p>
            <w:pPr>
              <w:spacing w:after="0"/>
              <w:rPr>
                <w:sz w:val="1"/>
                <w:szCs w:val="1"/>
                <w:color w:val="auto"/>
              </w:rPr>
            </w:pPr>
          </w:p>
        </w:tc>
      </w:tr>
      <w:tr>
        <w:trPr>
          <w:trHeight w:val="192"/>
        </w:trPr>
        <w:tc>
          <w:tcPr>
            <w:tcW w:w="1200" w:type="dxa"/>
            <w:vAlign w:val="bottom"/>
          </w:tcPr>
          <w:p>
            <w:pPr>
              <w:ind w:left="180"/>
              <w:spacing w:after="0"/>
              <w:rPr>
                <w:sz w:val="20"/>
                <w:szCs w:val="20"/>
                <w:color w:val="auto"/>
              </w:rPr>
            </w:pPr>
            <w:r>
              <w:rPr>
                <w:rFonts w:ascii="Arial" w:cs="Arial" w:eastAsia="Arial" w:hAnsi="Arial"/>
                <w:sz w:val="14"/>
                <w:szCs w:val="14"/>
                <w:color w:val="auto"/>
              </w:rPr>
              <w:t>Subtotal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(2,822)</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394,965</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(6,209)</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2,295,770</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597,529</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995,922</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4,275,155</w:t>
            </w:r>
          </w:p>
        </w:tc>
        <w:tc>
          <w:tcPr>
            <w:tcW w:w="1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3,907,688</w:t>
            </w:r>
          </w:p>
        </w:tc>
        <w:tc>
          <w:tcPr>
            <w:tcW w:w="0" w:type="dxa"/>
            <w:vAlign w:val="bottom"/>
          </w:tcPr>
          <w:p>
            <w:pPr>
              <w:spacing w:after="0"/>
              <w:rPr>
                <w:sz w:val="1"/>
                <w:szCs w:val="1"/>
                <w:color w:val="auto"/>
              </w:rPr>
            </w:pPr>
          </w:p>
        </w:tc>
      </w:tr>
      <w:tr>
        <w:trPr>
          <w:trHeight w:val="199"/>
        </w:trPr>
        <w:tc>
          <w:tcPr>
            <w:tcW w:w="1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Unsecured debt, net</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838,975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1,990,365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741,734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992,961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6,081,055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10,642,033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10,191,058</w:t>
            </w:r>
          </w:p>
        </w:tc>
        <w:tc>
          <w:tcPr>
            <w:tcW w:w="0" w:type="dxa"/>
            <w:vAlign w:val="bottom"/>
          </w:tcPr>
          <w:p>
            <w:pPr>
              <w:spacing w:after="0"/>
              <w:rPr>
                <w:sz w:val="1"/>
                <w:szCs w:val="1"/>
                <w:color w:val="auto"/>
              </w:rPr>
            </w:pPr>
          </w:p>
        </w:tc>
      </w:tr>
      <w:tr>
        <w:trPr>
          <w:trHeight w:val="153"/>
        </w:trPr>
        <w:tc>
          <w:tcPr>
            <w:tcW w:w="1200" w:type="dxa"/>
            <w:vAlign w:val="bottom"/>
          </w:tcPr>
          <w:p>
            <w:pPr>
              <w:ind w:left="20"/>
              <w:spacing w:after="0" w:line="153" w:lineRule="exact"/>
              <w:rPr>
                <w:sz w:val="20"/>
                <w:szCs w:val="20"/>
                <w:color w:val="auto"/>
              </w:rPr>
            </w:pPr>
            <w:r>
              <w:rPr>
                <w:rFonts w:ascii="Arial" w:cs="Arial" w:eastAsia="Arial" w:hAnsi="Arial"/>
                <w:sz w:val="14"/>
                <w:szCs w:val="14"/>
                <w:color w:val="auto"/>
              </w:rPr>
              <w:t>GAAP Average</w:t>
            </w:r>
          </w:p>
        </w:tc>
        <w:tc>
          <w:tcPr>
            <w:tcW w:w="260" w:type="dxa"/>
            <w:vAlign w:val="bottom"/>
          </w:tcPr>
          <w:p>
            <w:pPr>
              <w:spacing w:after="0"/>
              <w:rPr>
                <w:sz w:val="13"/>
                <w:szCs w:val="13"/>
                <w:color w:val="auto"/>
              </w:rPr>
            </w:pPr>
          </w:p>
        </w:tc>
        <w:tc>
          <w:tcPr>
            <w:tcW w:w="960" w:type="dxa"/>
            <w:vAlign w:val="bottom"/>
            <w:gridSpan w:val="2"/>
            <w:vMerge w:val="restart"/>
          </w:tcPr>
          <w:p>
            <w:pPr>
              <w:ind w:left="5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3.35 %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6.92 %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4.63 %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3.87 %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4.07 %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0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499,333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798,725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1,298,058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1,300,303</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Subtotal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496,276</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1,637,700</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1,990,365</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741,734</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992,961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6,081,055</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11,940,091</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11,491,361</w:t>
            </w:r>
          </w:p>
        </w:tc>
        <w:tc>
          <w:tcPr>
            <w:tcW w:w="0" w:type="dxa"/>
            <w:vAlign w:val="bottom"/>
          </w:tcPr>
          <w:p>
            <w:pPr>
              <w:spacing w:after="0"/>
              <w:rPr>
                <w:sz w:val="1"/>
                <w:szCs w:val="1"/>
                <w:color w:val="auto"/>
              </w:rPr>
            </w:pPr>
          </w:p>
        </w:tc>
      </w:tr>
      <w:tr>
        <w:trPr>
          <w:trHeight w:val="221"/>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Debt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493,454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2,032,665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1,984,156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3,037,504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1,590,490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7,076,977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16,215,246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15,399,049</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At September 30, 2024, the weighted-average stated interest rates on the fixed rate debt stated above was 3.80% per annum. At September 30, 2024, our outstanding variable rate debt totaled $2.1 billion, of which $900.0 million was subject to interest rate swaps. At September 30, 2024, the weighted-average stated interest rate on our variable rate debt, including the effect of the interest rate swaps, was 4.38% per annum. If market interest rates on our variable rate debt had been 100 basis points greater, total interest expense would have increased approximately $5.3 million and $15.8 million for the three and nine months ended September 30, 2024.</w:t>
      </w:r>
    </w:p>
    <w:p>
      <w:pPr>
        <w:spacing w:after="0" w:line="125"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Our use of derivative instruments also involves certain additional risks such as counterparty credit risk, the enforceability of hedging contracts and the risk that unanticipated and significant changes in interest rates will cause a significant loss of basis in the contract. We believe that there is a low likelihood that these counterparties will fail to meet their obligations and we minimize our exposure by limiting counterparties to major banks who meet established credit and capital guidelines. There can be no assurance that we will adequately protect against the foregoing risks.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40" w:firstLine="445"/>
        <w:spacing w:after="0" w:line="268" w:lineRule="auto"/>
        <w:rPr>
          <w:sz w:val="20"/>
          <w:szCs w:val="20"/>
          <w:color w:val="auto"/>
        </w:rPr>
      </w:pPr>
      <w:r>
        <w:rPr>
          <w:rFonts w:ascii="Arial" w:cs="Arial" w:eastAsia="Arial" w:hAnsi="Arial"/>
          <w:sz w:val="18"/>
          <w:szCs w:val="18"/>
          <w:color w:val="auto"/>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4—Controls and Procedures.</w:t>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BXP, Inc.</w:t>
      </w:r>
    </w:p>
    <w:p>
      <w:pPr>
        <w:spacing w:after="0" w:line="102" w:lineRule="exact"/>
        <w:rPr>
          <w:sz w:val="20"/>
          <w:szCs w:val="20"/>
          <w:color w:val="auto"/>
        </w:rPr>
      </w:pPr>
    </w:p>
    <w:p>
      <w:pPr>
        <w:ind w:right="300" w:firstLine="453"/>
        <w:spacing w:after="0" w:line="259" w:lineRule="auto"/>
        <w:tabs>
          <w:tab w:leader="none" w:pos="7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our management, with the participation of BXP, Inc.’s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BXP, Inc.’s Chief Executive Officer and Chief Financial Officer concluded that these disclosure controls and procedures were effective as of the end of the period covered by this report.</w:t>
      </w:r>
    </w:p>
    <w:p>
      <w:pPr>
        <w:spacing w:after="0" w:line="125" w:lineRule="exact"/>
        <w:rPr>
          <w:rFonts w:ascii="Arial" w:cs="Arial" w:eastAsia="Arial" w:hAnsi="Arial"/>
          <w:sz w:val="18"/>
          <w:szCs w:val="18"/>
          <w:color w:val="auto"/>
        </w:rPr>
      </w:pPr>
    </w:p>
    <w:p>
      <w:pPr>
        <w:ind w:firstLine="453"/>
        <w:spacing w:after="0" w:line="291" w:lineRule="auto"/>
        <w:tabs>
          <w:tab w:leader="none" w:pos="715" w:val="left"/>
        </w:tabs>
        <w:numPr>
          <w:ilvl w:val="0"/>
          <w:numId w:val="72"/>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No change in BXP, Inc.’s internal control over financial reporting (as defined in Rule 13a-15(f) under the Securities Exchange Act of 1934, as amended) occurred during the third quarter of our fiscal year ending December 31, 2024 that has materially affected, or is reasonably likely to materially affect, BXP, Inc.’s internal control over financial reporting.</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88" w:lineRule="exact"/>
        <w:rPr>
          <w:sz w:val="20"/>
          <w:szCs w:val="20"/>
          <w:color w:val="auto"/>
        </w:rPr>
      </w:pPr>
    </w:p>
    <w:p>
      <w:pPr>
        <w:ind w:right="60" w:firstLine="453"/>
        <w:spacing w:after="0" w:line="257" w:lineRule="auto"/>
        <w:tabs>
          <w:tab w:leader="none" w:pos="7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the management of BXP, Inc., the sole general partner of Boston Properties Limited Partnership, with the participation of its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the Chief Executive Officer and Chief Financial Officer of BXP, Inc. concluded that these disclosure controls and procedures were effective as of the end of the period covered by this report.</w:t>
      </w:r>
    </w:p>
    <w:p>
      <w:pPr>
        <w:spacing w:after="0" w:line="128" w:lineRule="exact"/>
        <w:rPr>
          <w:rFonts w:ascii="Arial" w:cs="Arial" w:eastAsia="Arial" w:hAnsi="Arial"/>
          <w:sz w:val="18"/>
          <w:szCs w:val="18"/>
          <w:color w:val="auto"/>
        </w:rPr>
      </w:pPr>
    </w:p>
    <w:p>
      <w:pPr>
        <w:ind w:left="720" w:hanging="267"/>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No change in its internal control over financial reporting (as defined in</w:t>
      </w:r>
    </w:p>
    <w:p>
      <w:pPr>
        <w:spacing w:after="0" w:line="27" w:lineRule="exact"/>
        <w:rPr>
          <w:sz w:val="20"/>
          <w:szCs w:val="20"/>
          <w:color w:val="auto"/>
        </w:rPr>
      </w:pPr>
    </w:p>
    <w:p>
      <w:pPr>
        <w:ind w:right="680"/>
        <w:spacing w:after="0" w:line="296" w:lineRule="auto"/>
        <w:rPr>
          <w:sz w:val="20"/>
          <w:szCs w:val="20"/>
          <w:color w:val="auto"/>
        </w:rPr>
      </w:pPr>
      <w:r>
        <w:rPr>
          <w:rFonts w:ascii="Arial" w:cs="Arial" w:eastAsia="Arial" w:hAnsi="Arial"/>
          <w:sz w:val="17"/>
          <w:szCs w:val="17"/>
          <w:color w:val="auto"/>
        </w:rPr>
        <w:t>Rule 13a-15(f) under the Securities Exchange Act of 1934, as amended) occurred during the third quarter of our fiscal year ending December 31, 2024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1—Legal Proceedings.</w:t>
      </w:r>
    </w:p>
    <w:p>
      <w:pPr>
        <w:spacing w:after="0" w:line="104" w:lineRule="exact"/>
        <w:rPr>
          <w:sz w:val="20"/>
          <w:szCs w:val="20"/>
          <w:color w:val="auto"/>
        </w:rPr>
      </w:pPr>
    </w:p>
    <w:p>
      <w:pPr>
        <w:ind w:right="220" w:firstLine="445"/>
        <w:spacing w:after="0" w:line="268" w:lineRule="auto"/>
        <w:rPr>
          <w:sz w:val="20"/>
          <w:szCs w:val="20"/>
          <w:color w:val="auto"/>
        </w:rPr>
      </w:pPr>
      <w:r>
        <w:rPr>
          <w:rFonts w:ascii="Arial" w:cs="Arial" w:eastAsia="Arial" w:hAnsi="Arial"/>
          <w:sz w:val="18"/>
          <w:szCs w:val="18"/>
          <w:color w:val="auto"/>
        </w:rPr>
        <w:t>We are subject to legal proceedings and claims that arise in the ordinary course of business. These matters are generally covered by insurance. Management believes that the final outcome of such matters will not have a material adverse effect on our financial position, results of operations or liquidity.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104"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Except to the extent updated below or to the extent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disclosed in Part I, “Item 1A. Risk Factors” of our Annual Report on Form 10-K for the year ended December 31, 2023.</w:t>
      </w:r>
    </w:p>
    <w:p>
      <w:pPr>
        <w:spacing w:after="0" w:line="219" w:lineRule="exact"/>
        <w:rPr>
          <w:sz w:val="20"/>
          <w:szCs w:val="20"/>
          <w:color w:val="auto"/>
        </w:rPr>
      </w:pPr>
    </w:p>
    <w:p>
      <w:pPr>
        <w:ind w:right="60" w:firstLine="445"/>
        <w:spacing w:after="0" w:line="294" w:lineRule="auto"/>
        <w:rPr>
          <w:sz w:val="20"/>
          <w:szCs w:val="20"/>
          <w:color w:val="auto"/>
        </w:rPr>
      </w:pPr>
      <w:r>
        <w:rPr>
          <w:rFonts w:ascii="Arial" w:cs="Arial" w:eastAsia="Arial" w:hAnsi="Arial"/>
          <w:sz w:val="18"/>
          <w:szCs w:val="18"/>
          <w:b w:val="1"/>
          <w:bCs w:val="1"/>
          <w:i w:val="1"/>
          <w:iCs w:val="1"/>
          <w:color w:val="auto"/>
        </w:rPr>
        <w:t>The use of technology based on artificial intelligence and machine learning presents risks and challenges that may adversely affect our business and results of operations.</w:t>
      </w:r>
    </w:p>
    <w:p>
      <w:pPr>
        <w:spacing w:after="0" w:line="4" w:lineRule="exact"/>
        <w:rPr>
          <w:sz w:val="20"/>
          <w:szCs w:val="20"/>
          <w:color w:val="auto"/>
        </w:rPr>
      </w:pPr>
    </w:p>
    <w:p>
      <w:pPr>
        <w:ind w:right="300" w:firstLine="445"/>
        <w:spacing w:after="0" w:line="262" w:lineRule="auto"/>
        <w:rPr>
          <w:sz w:val="20"/>
          <w:szCs w:val="20"/>
          <w:color w:val="auto"/>
        </w:rPr>
      </w:pPr>
      <w:r>
        <w:rPr>
          <w:rFonts w:ascii="Arial" w:cs="Arial" w:eastAsia="Arial" w:hAnsi="Arial"/>
          <w:sz w:val="18"/>
          <w:szCs w:val="18"/>
          <w:color w:val="auto"/>
        </w:rPr>
        <w:t>We use artificial intelligence and machine learning technology (collectively, “AI”) capabilities with the goal to enhance efficiencies in conducting our business. Our deployment and application of AI remains ongoing. While these AI tools hold promise in optimizing our work processes and driving efficiencies, they also present risks, challenges and unintended consequences that could adversely affect our business and results of operations or those of our clients. These include, but are not limited to:</w:t>
      </w:r>
    </w:p>
    <w:p>
      <w:pPr>
        <w:spacing w:after="0" w:line="122" w:lineRule="exact"/>
        <w:rPr>
          <w:sz w:val="20"/>
          <w:szCs w:val="20"/>
          <w:color w:val="auto"/>
        </w:rPr>
      </w:pPr>
    </w:p>
    <w:p>
      <w:pPr>
        <w:ind w:left="1040" w:right="740" w:hanging="228"/>
        <w:spacing w:after="0" w:line="287" w:lineRule="auto"/>
        <w:tabs>
          <w:tab w:leader="none" w:pos="10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release, leak or disclosure of proprietary, confidential, sensitive or otherwise valuable information as a result of or in connection with our use of AI tools,</w:t>
      </w:r>
    </w:p>
    <w:p>
      <w:pPr>
        <w:spacing w:after="0" w:line="98" w:lineRule="exact"/>
        <w:rPr>
          <w:rFonts w:ascii="Arial" w:cs="Arial" w:eastAsia="Arial" w:hAnsi="Arial"/>
          <w:sz w:val="18"/>
          <w:szCs w:val="18"/>
          <w:color w:val="auto"/>
        </w:rPr>
      </w:pPr>
    </w:p>
    <w:p>
      <w:pPr>
        <w:ind w:left="1040" w:right="140" w:hanging="228"/>
        <w:spacing w:after="0" w:line="268" w:lineRule="auto"/>
        <w:tabs>
          <w:tab w:leader="none" w:pos="10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incorporation of AI by our clients, vendors, contractors and other third-parties into their products or services, with or without our knowledge, in a manner that could give rise to issues pertaining to data privacy, information security and intellectual property considerations, and</w:t>
      </w:r>
    </w:p>
    <w:p>
      <w:pPr>
        <w:spacing w:after="0" w:line="116" w:lineRule="exact"/>
        <w:rPr>
          <w:rFonts w:ascii="Arial" w:cs="Arial" w:eastAsia="Arial" w:hAnsi="Arial"/>
          <w:sz w:val="18"/>
          <w:szCs w:val="18"/>
          <w:color w:val="auto"/>
        </w:rPr>
      </w:pPr>
    </w:p>
    <w:p>
      <w:pPr>
        <w:jc w:val="both"/>
        <w:ind w:left="1040" w:right="180" w:hanging="228"/>
        <w:spacing w:after="0" w:line="268" w:lineRule="auto"/>
        <w:tabs>
          <w:tab w:leader="none" w:pos="10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evolving legal regulations relating to AI, which may require significant resources to modify and maintain business practices to comply with applicable law or otherwise result in legal or regulatory action or create additional liabilities, the nature of which cannot be determined at this time.</w:t>
      </w:r>
    </w:p>
    <w:p>
      <w:pPr>
        <w:spacing w:after="0" w:line="117"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While we aim to use AI responsibly and securely and attempt to mitigate ethical and legal issues presented by its use, we may ultimately be unsuccessful in identifying or resolving issues before they arise. There can be no assurance that we will properly implement AI, and the failure to do so could have a material adverse effect on our results of operations or financial condition.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173"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78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4"/>
              </w:rPr>
              <w:t>BXP, Inc.</w:t>
            </w:r>
          </w:p>
        </w:tc>
        <w:tc>
          <w:tcPr>
            <w:tcW w:w="3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780" w:type="dxa"/>
            <w:vAlign w:val="bottom"/>
          </w:tcPr>
          <w:p>
            <w:pPr>
              <w:ind w:left="340"/>
              <w:spacing w:after="0"/>
              <w:rPr>
                <w:sz w:val="20"/>
                <w:szCs w:val="20"/>
                <w:color w:val="auto"/>
              </w:rPr>
            </w:pPr>
            <w:r>
              <w:rPr>
                <w:rFonts w:ascii="Arial" w:cs="Arial" w:eastAsia="Arial" w:hAnsi="Arial"/>
                <w:sz w:val="18"/>
                <w:szCs w:val="18"/>
                <w:color w:val="auto"/>
              </w:rPr>
              <w:t>(a)</w:t>
            </w:r>
          </w:p>
        </w:tc>
        <w:tc>
          <w:tcPr>
            <w:tcW w:w="3220" w:type="dxa"/>
            <w:vAlign w:val="bottom"/>
          </w:tcPr>
          <w:p>
            <w:pPr>
              <w:ind w:left="40"/>
              <w:spacing w:after="0"/>
              <w:rPr>
                <w:sz w:val="20"/>
                <w:szCs w:val="20"/>
                <w:color w:val="auto"/>
              </w:rPr>
            </w:pPr>
            <w:r>
              <w:rPr>
                <w:rFonts w:ascii="Arial" w:cs="Arial" w:eastAsia="Arial" w:hAnsi="Arial"/>
                <w:sz w:val="18"/>
                <w:szCs w:val="18"/>
                <w:color w:val="auto"/>
              </w:rPr>
              <w:t>None.</w:t>
            </w: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tcPr>
          <w:p>
            <w:pPr>
              <w:ind w:left="340"/>
              <w:spacing w:after="0"/>
              <w:rPr>
                <w:sz w:val="20"/>
                <w:szCs w:val="20"/>
                <w:color w:val="auto"/>
              </w:rPr>
            </w:pPr>
            <w:r>
              <w:rPr>
                <w:rFonts w:ascii="Arial" w:cs="Arial" w:eastAsia="Arial" w:hAnsi="Arial"/>
                <w:sz w:val="18"/>
                <w:szCs w:val="18"/>
                <w:color w:val="auto"/>
              </w:rPr>
              <w:t>(b)</w:t>
            </w:r>
          </w:p>
        </w:tc>
        <w:tc>
          <w:tcPr>
            <w:tcW w:w="3220" w:type="dxa"/>
            <w:vAlign w:val="bottom"/>
          </w:tcPr>
          <w:p>
            <w:pPr>
              <w:ind w:left="40"/>
              <w:spacing w:after="0"/>
              <w:rPr>
                <w:sz w:val="20"/>
                <w:szCs w:val="20"/>
                <w:color w:val="auto"/>
              </w:rPr>
            </w:pPr>
            <w:r>
              <w:rPr>
                <w:rFonts w:ascii="Arial" w:cs="Arial" w:eastAsia="Arial" w:hAnsi="Arial"/>
                <w:sz w:val="18"/>
                <w:szCs w:val="18"/>
                <w:color w:val="auto"/>
              </w:rPr>
              <w:t>Not Applicable.</w:t>
            </w: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(c)   Issuer Purchases of Equity Securities.</w:t>
            </w: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58"/>
        </w:trPr>
        <w:tc>
          <w:tcPr>
            <w:tcW w:w="7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500" w:type="dxa"/>
            <w:vAlign w:val="bottom"/>
            <w:vMerge w:val="restart"/>
          </w:tcPr>
          <w:p>
            <w:pPr>
              <w:jc w:val="center"/>
              <w:ind w:left="80"/>
              <w:spacing w:after="0"/>
              <w:rPr>
                <w:sz w:val="20"/>
                <w:szCs w:val="20"/>
                <w:color w:val="auto"/>
              </w:rPr>
            </w:pPr>
            <w:r>
              <w:rPr>
                <w:rFonts w:ascii="Arial" w:cs="Arial" w:eastAsia="Arial" w:hAnsi="Arial"/>
                <w:sz w:val="14"/>
                <w:szCs w:val="14"/>
                <w:b w:val="1"/>
                <w:bCs w:val="1"/>
                <w:color w:val="auto"/>
              </w:rPr>
              <w:t>(a)</w:t>
            </w: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w:t>
            </w:r>
          </w:p>
        </w:tc>
        <w:tc>
          <w:tcPr>
            <w:tcW w:w="1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Total Number of</w:t>
            </w:r>
          </w:p>
        </w:tc>
        <w:tc>
          <w:tcPr>
            <w:tcW w:w="16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00" w:type="dxa"/>
            <w:vAlign w:val="bottom"/>
          </w:tcPr>
          <w:p>
            <w:pPr>
              <w:jc w:val="center"/>
              <w:ind w:left="80"/>
              <w:spacing w:after="0" w:line="149" w:lineRule="exact"/>
              <w:rPr>
                <w:sz w:val="20"/>
                <w:szCs w:val="20"/>
                <w:color w:val="auto"/>
              </w:rPr>
            </w:pPr>
            <w:r>
              <w:rPr>
                <w:rFonts w:ascii="Arial" w:cs="Arial" w:eastAsia="Arial" w:hAnsi="Arial"/>
                <w:sz w:val="14"/>
                <w:szCs w:val="14"/>
                <w:b w:val="1"/>
                <w:bCs w:val="1"/>
                <w:color w:val="auto"/>
              </w:rPr>
              <w:t>Total Number of</w:t>
            </w: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Purchased as</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98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rPr>
              <w:t>Shares of Common</w:t>
            </w:r>
          </w:p>
        </w:tc>
        <w:tc>
          <w:tcPr>
            <w:tcW w:w="580" w:type="dxa"/>
            <w:vAlign w:val="bottom"/>
          </w:tcPr>
          <w:p>
            <w:pPr>
              <w:spacing w:after="0"/>
              <w:rPr>
                <w:sz w:val="14"/>
                <w:szCs w:val="14"/>
                <w:color w:val="auto"/>
              </w:rPr>
            </w:pPr>
          </w:p>
        </w:tc>
        <w:tc>
          <w:tcPr>
            <w:tcW w:w="1060" w:type="dxa"/>
            <w:vAlign w:val="bottom"/>
          </w:tcPr>
          <w:p>
            <w:pPr>
              <w:jc w:val="right"/>
              <w:ind w:right="554"/>
              <w:spacing w:after="0"/>
              <w:rPr>
                <w:sz w:val="20"/>
                <w:szCs w:val="20"/>
                <w:color w:val="auto"/>
              </w:rPr>
            </w:pPr>
            <w:r>
              <w:rPr>
                <w:rFonts w:ascii="Arial" w:cs="Arial" w:eastAsia="Arial" w:hAnsi="Arial"/>
                <w:sz w:val="14"/>
                <w:szCs w:val="14"/>
                <w:b w:val="1"/>
                <w:bCs w:val="1"/>
                <w:color w:val="auto"/>
              </w:rPr>
              <w:t>(b)</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00" w:type="dxa"/>
            <w:vAlign w:val="bottom"/>
          </w:tcPr>
          <w:p>
            <w:pPr>
              <w:jc w:val="center"/>
              <w:ind w:left="80"/>
              <w:spacing w:after="0" w:line="149" w:lineRule="exact"/>
              <w:rPr>
                <w:sz w:val="20"/>
                <w:szCs w:val="20"/>
                <w:color w:val="auto"/>
              </w:rPr>
            </w:pPr>
            <w:r>
              <w:rPr>
                <w:rFonts w:ascii="Arial" w:cs="Arial" w:eastAsia="Arial" w:hAnsi="Arial"/>
                <w:sz w:val="14"/>
                <w:szCs w:val="14"/>
                <w:b w:val="1"/>
                <w:bCs w:val="1"/>
                <w:color w:val="auto"/>
                <w:w w:val="99"/>
              </w:rPr>
              <w:t>Stock</w:t>
            </w:r>
          </w:p>
        </w:tc>
        <w:tc>
          <w:tcPr>
            <w:tcW w:w="480" w:type="dxa"/>
            <w:vAlign w:val="bottom"/>
          </w:tcPr>
          <w:p>
            <w:pPr>
              <w:spacing w:after="0"/>
              <w:rPr>
                <w:sz w:val="12"/>
                <w:szCs w:val="12"/>
                <w:color w:val="auto"/>
              </w:rPr>
            </w:pPr>
          </w:p>
        </w:tc>
        <w:tc>
          <w:tcPr>
            <w:tcW w:w="16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Average Price Paid</w:t>
            </w:r>
          </w:p>
        </w:tc>
        <w:tc>
          <w:tcPr>
            <w:tcW w:w="16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rPr>
              <w:t>Announced Plans or</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211"/>
        </w:trPr>
        <w:tc>
          <w:tcPr>
            <w:tcW w:w="7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Period</w:t>
            </w:r>
          </w:p>
        </w:tc>
        <w:tc>
          <w:tcPr>
            <w:tcW w:w="1500" w:type="dxa"/>
            <w:vAlign w:val="bottom"/>
            <w:tcBorders>
              <w:bottom w:val="single" w:sz="8" w:color="auto"/>
            </w:tcBorders>
          </w:tcPr>
          <w:p>
            <w:pPr>
              <w:jc w:val="center"/>
              <w:ind w:left="80"/>
              <w:spacing w:after="0"/>
              <w:rPr>
                <w:sz w:val="20"/>
                <w:szCs w:val="20"/>
                <w:color w:val="auto"/>
              </w:rPr>
            </w:pPr>
            <w:r>
              <w:rPr>
                <w:rFonts w:ascii="Arial" w:cs="Arial" w:eastAsia="Arial" w:hAnsi="Arial"/>
                <w:sz w:val="14"/>
                <w:szCs w:val="14"/>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per Common Share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38"/>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2024 – July 31, 2024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N/A</w:t>
            </w:r>
          </w:p>
        </w:tc>
        <w:tc>
          <w:tcPr>
            <w:tcW w:w="16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1"/>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August 1, 2024 – August 31, 2024</w:t>
            </w:r>
          </w:p>
        </w:tc>
        <w:tc>
          <w:tcPr>
            <w:tcW w:w="1500" w:type="dxa"/>
            <w:vAlign w:val="bottom"/>
          </w:tcPr>
          <w:p>
            <w:pPr>
              <w:jc w:val="right"/>
              <w:spacing w:after="0"/>
              <w:rPr>
                <w:sz w:val="20"/>
                <w:szCs w:val="20"/>
                <w:color w:val="auto"/>
              </w:rPr>
            </w:pPr>
            <w:r>
              <w:rPr>
                <w:rFonts w:ascii="Arial" w:cs="Arial" w:eastAsia="Arial" w:hAnsi="Arial"/>
                <w:sz w:val="18"/>
                <w:szCs w:val="18"/>
                <w:color w:val="auto"/>
              </w:rPr>
              <w:t>773</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69.99</w:t>
            </w:r>
          </w:p>
        </w:tc>
        <w:tc>
          <w:tcPr>
            <w:tcW w:w="1640" w:type="dxa"/>
            <w:vAlign w:val="bottom"/>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2024 – September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74.56</w:t>
            </w:r>
          </w:p>
        </w:tc>
        <w:tc>
          <w:tcPr>
            <w:tcW w:w="16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4"/>
        </w:trPr>
        <w:tc>
          <w:tcPr>
            <w:tcW w:w="780" w:type="dxa"/>
            <w:vAlign w:val="bottom"/>
          </w:tcPr>
          <w:p>
            <w:pPr>
              <w:ind w:left="20"/>
              <w:spacing w:after="0"/>
              <w:rPr>
                <w:sz w:val="20"/>
                <w:szCs w:val="20"/>
                <w:color w:val="auto"/>
              </w:rPr>
            </w:pPr>
            <w:r>
              <w:rPr>
                <w:rFonts w:ascii="Arial" w:cs="Arial" w:eastAsia="Arial" w:hAnsi="Arial"/>
                <w:sz w:val="18"/>
                <w:szCs w:val="18"/>
                <w:color w:val="auto"/>
              </w:rPr>
              <w:t>Total</w:t>
            </w:r>
          </w:p>
        </w:tc>
        <w:tc>
          <w:tcPr>
            <w:tcW w:w="3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1,837</w:t>
            </w:r>
          </w:p>
        </w:tc>
        <w:tc>
          <w:tcPr>
            <w:tcW w:w="480" w:type="dxa"/>
            <w:vAlign w:val="bottom"/>
          </w:tcPr>
          <w:p>
            <w:pPr>
              <w:spacing w:after="0"/>
              <w:rPr>
                <w:sz w:val="20"/>
                <w:szCs w:val="20"/>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72.64</w:t>
            </w:r>
          </w:p>
        </w:tc>
        <w:tc>
          <w:tcPr>
            <w:tcW w:w="1640" w:type="dxa"/>
            <w:vAlign w:val="bottom"/>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0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___________</w:t>
            </w: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820" w:hanging="328"/>
        <w:spacing w:after="0" w:line="266" w:lineRule="auto"/>
        <w:tabs>
          <w:tab w:leader="none" w:pos="65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shares of common stock of BXP surrendered by employees to BXP to satisfy such employees’ tax withholding obligations in connection with the vesting of restricted common stock.</w:t>
      </w: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29" w:lineRule="exact"/>
        <w:rPr>
          <w:sz w:val="20"/>
          <w:szCs w:val="20"/>
          <w:color w:val="auto"/>
        </w:rPr>
      </w:pPr>
    </w:p>
    <w:p>
      <w:pPr>
        <w:ind w:left="980" w:hanging="486"/>
        <w:spacing w:after="0" w:line="256" w:lineRule="auto"/>
        <w:tabs>
          <w:tab w:leader="none" w:pos="9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time BXP issues shares of common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September 30, 2024, in connection with issuances of common stock by BXP pursuant to purchases under the Boston Properties, Inc. 1999 Employee Stock Purchase Plan, BPLP issued an aggregate of 8,919 common units to BXP in exchange for approximately $0.47 million, the aggregate proceeds of such common stock issuances to BXP. Such units were issued in reliance on an exemption from registration under Section 4(a)(2) of the Securities Act of 1933, as amended.</w:t>
      </w:r>
    </w:p>
    <w:p>
      <w:pPr>
        <w:spacing w:after="0" w:line="101" w:lineRule="exact"/>
        <w:rPr>
          <w:rFonts w:ascii="Arial" w:cs="Arial" w:eastAsia="Arial" w:hAnsi="Arial"/>
          <w:sz w:val="18"/>
          <w:szCs w:val="18"/>
          <w:color w:val="auto"/>
        </w:rPr>
      </w:pPr>
    </w:p>
    <w:p>
      <w:pPr>
        <w:ind w:left="980" w:hanging="486"/>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80" w:hanging="486"/>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6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700" w:type="dxa"/>
            <w:vAlign w:val="bottom"/>
            <w:vMerge w:val="restart"/>
          </w:tcPr>
          <w:p>
            <w:pPr>
              <w:jc w:val="center"/>
              <w:ind w:left="238"/>
              <w:spacing w:after="0"/>
              <w:rPr>
                <w:sz w:val="20"/>
                <w:szCs w:val="20"/>
                <w:color w:val="auto"/>
              </w:rPr>
            </w:pPr>
            <w:r>
              <w:rPr>
                <w:rFonts w:ascii="Arial" w:cs="Arial" w:eastAsia="Arial" w:hAnsi="Arial"/>
                <w:sz w:val="14"/>
                <w:szCs w:val="14"/>
                <w:b w:val="1"/>
                <w:bCs w:val="1"/>
                <w:color w:val="auto"/>
              </w:rPr>
              <w:t>(a)</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(b)</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Number of Units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Value) of Units that</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386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Period</w:t>
            </w:r>
          </w:p>
        </w:tc>
        <w:tc>
          <w:tcPr>
            <w:tcW w:w="1700" w:type="dxa"/>
            <w:vAlign w:val="bottom"/>
          </w:tcPr>
          <w:p>
            <w:pPr>
              <w:jc w:val="center"/>
              <w:ind w:left="298"/>
              <w:spacing w:after="0" w:line="135" w:lineRule="exact"/>
              <w:rPr>
                <w:sz w:val="20"/>
                <w:szCs w:val="20"/>
                <w:color w:val="auto"/>
              </w:rPr>
            </w:pPr>
            <w:r>
              <w:rPr>
                <w:rFonts w:ascii="Arial" w:cs="Arial" w:eastAsia="Arial" w:hAnsi="Arial"/>
                <w:sz w:val="14"/>
                <w:szCs w:val="14"/>
                <w:b w:val="1"/>
                <w:bCs w:val="1"/>
                <w:color w:val="auto"/>
              </w:rPr>
              <w:t>Total Number of</w:t>
            </w:r>
          </w:p>
        </w:tc>
        <w:tc>
          <w:tcPr>
            <w:tcW w:w="480" w:type="dxa"/>
            <w:vAlign w:val="bottom"/>
          </w:tcPr>
          <w:p>
            <w:pPr>
              <w:spacing w:after="0"/>
              <w:rPr>
                <w:sz w:val="11"/>
                <w:szCs w:val="11"/>
                <w:color w:val="auto"/>
              </w:rPr>
            </w:pPr>
          </w:p>
        </w:tc>
        <w:tc>
          <w:tcPr>
            <w:tcW w:w="156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Average Price Paid</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Publicly Announced</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ind w:left="278"/>
              <w:spacing w:after="0"/>
              <w:rPr>
                <w:sz w:val="20"/>
                <w:szCs w:val="20"/>
                <w:color w:val="auto"/>
              </w:rPr>
            </w:pPr>
            <w:r>
              <w:rPr>
                <w:rFonts w:ascii="Arial" w:cs="Arial" w:eastAsia="Arial" w:hAnsi="Arial"/>
                <w:sz w:val="14"/>
                <w:szCs w:val="14"/>
                <w:b w:val="1"/>
                <w:bCs w:val="1"/>
                <w:color w:val="auto"/>
              </w:rPr>
              <w:t>Units Purchased</w:t>
            </w: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per Unit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2024 – July 31, 2024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N/A</w:t>
            </w:r>
          </w:p>
        </w:tc>
        <w:tc>
          <w:tcPr>
            <w:tcW w:w="16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1"/>
        </w:trPr>
        <w:tc>
          <w:tcPr>
            <w:tcW w:w="3860" w:type="dxa"/>
            <w:vAlign w:val="bottom"/>
          </w:tcPr>
          <w:p>
            <w:pPr>
              <w:ind w:left="20"/>
              <w:spacing w:after="0"/>
              <w:rPr>
                <w:sz w:val="20"/>
                <w:szCs w:val="20"/>
                <w:color w:val="auto"/>
              </w:rPr>
            </w:pPr>
            <w:r>
              <w:rPr>
                <w:rFonts w:ascii="Arial" w:cs="Arial" w:eastAsia="Arial" w:hAnsi="Arial"/>
                <w:sz w:val="18"/>
                <w:szCs w:val="18"/>
                <w:color w:val="auto"/>
              </w:rPr>
              <w:t>August 1, 2024 – August 31, 2024</w:t>
            </w:r>
          </w:p>
        </w:tc>
        <w:tc>
          <w:tcPr>
            <w:tcW w:w="1700" w:type="dxa"/>
            <w:vAlign w:val="bottom"/>
          </w:tcPr>
          <w:p>
            <w:pPr>
              <w:jc w:val="right"/>
              <w:spacing w:after="0"/>
              <w:rPr>
                <w:sz w:val="20"/>
                <w:szCs w:val="20"/>
                <w:color w:val="auto"/>
              </w:rPr>
            </w:pPr>
            <w:r>
              <w:rPr>
                <w:rFonts w:ascii="Arial" w:cs="Arial" w:eastAsia="Arial" w:hAnsi="Arial"/>
                <w:sz w:val="18"/>
                <w:szCs w:val="18"/>
                <w:color w:val="auto"/>
              </w:rPr>
              <w:t>773</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69.99</w:t>
            </w:r>
          </w:p>
        </w:tc>
        <w:tc>
          <w:tcPr>
            <w:tcW w:w="1600" w:type="dxa"/>
            <w:vAlign w:val="bottom"/>
          </w:tcPr>
          <w:p>
            <w:pPr>
              <w:ind w:left="1280"/>
              <w:spacing w:after="0"/>
              <w:rPr>
                <w:sz w:val="20"/>
                <w:szCs w:val="20"/>
                <w:color w:val="auto"/>
              </w:rPr>
            </w:pPr>
            <w:r>
              <w:rPr>
                <w:rFonts w:ascii="Arial" w:cs="Arial" w:eastAsia="Arial" w:hAnsi="Arial"/>
                <w:sz w:val="18"/>
                <w:szCs w:val="18"/>
                <w:color w:val="auto"/>
                <w:w w:val="99"/>
              </w:rPr>
              <w:t>N/A</w:t>
            </w:r>
          </w:p>
        </w:tc>
        <w:tc>
          <w:tcPr>
            <w:tcW w:w="1600" w:type="dxa"/>
            <w:vAlign w:val="bottom"/>
          </w:tcPr>
          <w:p>
            <w:pPr>
              <w:ind w:left="12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1, 2024 – September 30,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74.56</w:t>
            </w:r>
          </w:p>
        </w:tc>
        <w:tc>
          <w:tcPr>
            <w:tcW w:w="16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N/A</w:t>
            </w:r>
          </w:p>
        </w:tc>
        <w:tc>
          <w:tcPr>
            <w:tcW w:w="16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1,837</w:t>
            </w:r>
          </w:p>
        </w:tc>
        <w:tc>
          <w:tcPr>
            <w:tcW w:w="480" w:type="dxa"/>
            <w:vAlign w:val="bottom"/>
          </w:tcPr>
          <w:p>
            <w:pPr>
              <w:spacing w:after="0"/>
              <w:rPr>
                <w:sz w:val="21"/>
                <w:szCs w:val="21"/>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72.64</w:t>
            </w:r>
          </w:p>
        </w:tc>
        <w:tc>
          <w:tcPr>
            <w:tcW w:w="1600" w:type="dxa"/>
            <w:vAlign w:val="bottom"/>
          </w:tcPr>
          <w:p>
            <w:pPr>
              <w:ind w:left="1280"/>
              <w:spacing w:after="0"/>
              <w:rPr>
                <w:sz w:val="20"/>
                <w:szCs w:val="20"/>
                <w:color w:val="auto"/>
              </w:rPr>
            </w:pPr>
            <w:r>
              <w:rPr>
                <w:rFonts w:ascii="Arial" w:cs="Arial" w:eastAsia="Arial" w:hAnsi="Arial"/>
                <w:sz w:val="18"/>
                <w:szCs w:val="18"/>
                <w:color w:val="auto"/>
                <w:w w:val="99"/>
              </w:rPr>
              <w:t>N/A</w:t>
            </w:r>
          </w:p>
        </w:tc>
        <w:tc>
          <w:tcPr>
            <w:tcW w:w="1600" w:type="dxa"/>
            <w:vAlign w:val="bottom"/>
          </w:tcPr>
          <w:p>
            <w:pPr>
              <w:ind w:left="12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06"/>
        </w:trPr>
        <w:tc>
          <w:tcPr>
            <w:tcW w:w="3860" w:type="dxa"/>
            <w:vAlign w:val="bottom"/>
          </w:tcPr>
          <w:p>
            <w:pPr>
              <w:ind w:left="20"/>
              <w:spacing w:after="0"/>
              <w:rPr>
                <w:sz w:val="20"/>
                <w:szCs w:val="20"/>
                <w:color w:val="auto"/>
              </w:rPr>
            </w:pPr>
            <w:r>
              <w:rPr>
                <w:rFonts w:ascii="Arial" w:cs="Arial" w:eastAsia="Arial" w:hAnsi="Arial"/>
                <w:sz w:val="18"/>
                <w:szCs w:val="18"/>
                <w:color w:val="auto"/>
              </w:rPr>
              <w:t>___________</w:t>
            </w: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80" w:hanging="328"/>
        <w:spacing w:after="0" w:line="258" w:lineRule="auto"/>
        <w:tabs>
          <w:tab w:leader="none" w:pos="65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common units previously held by BXP that were redeemed in connection with the surrender of shares of restricted common stock of BXP by employees to BXP to satisfy such employees’ tax withholding obligations in connection with the vesting of restricted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3—Defaults Upon Senior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180"/>
          </w:cols>
          <w:pgMar w:left="320" w:top="283"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4—Mine Safety Disclosures.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5—Other Information.</w:t>
      </w:r>
    </w:p>
    <w:p>
      <w:pPr>
        <w:spacing w:after="0" w:line="131" w:lineRule="exact"/>
        <w:rPr>
          <w:sz w:val="20"/>
          <w:szCs w:val="20"/>
          <w:color w:val="auto"/>
        </w:rPr>
      </w:pPr>
    </w:p>
    <w:p>
      <w:pPr>
        <w:ind w:left="980" w:hanging="486"/>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980" w:hanging="486"/>
        <w:spacing w:after="0" w:line="268" w:lineRule="auto"/>
        <w:tabs>
          <w:tab w:leader="none" w:pos="974" w:val="left"/>
        </w:tabs>
        <w:numPr>
          <w:ilvl w:val="0"/>
          <w:numId w:val="78"/>
        </w:numPr>
        <w:rPr>
          <w:rFonts w:ascii="Arial" w:cs="Arial" w:eastAsia="Arial" w:hAnsi="Arial"/>
          <w:sz w:val="18"/>
          <w:szCs w:val="18"/>
          <w:color w:val="auto"/>
        </w:rPr>
      </w:pPr>
      <w:r>
        <w:rPr>
          <w:rFonts w:ascii="Arial" w:cs="Arial" w:eastAsia="Arial" w:hAnsi="Arial"/>
          <w:sz w:val="18"/>
          <w:szCs w:val="18"/>
          <w:color w:val="auto"/>
        </w:rPr>
        <w:t>During the three months ended September 30, 2024, none of our directors or officers (as defined in Rule 16a-1(f) of the Securities Exchange Act of 1934, as amended)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90"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8"/>
          <w:szCs w:val="18"/>
          <w:color w:val="auto"/>
        </w:rPr>
        <w:t>(a)</w:t>
        <w:tab/>
        <w:t>Exhibits</w:t>
      </w:r>
    </w:p>
    <w:p>
      <w:pPr>
        <w:spacing w:after="0" w:line="144" w:lineRule="exact"/>
        <w:rPr>
          <w:sz w:val="20"/>
          <w:szCs w:val="20"/>
          <w:color w:val="auto"/>
        </w:rPr>
      </w:pPr>
    </w:p>
    <w:p>
      <w:pPr>
        <w:ind w:left="1360" w:hanging="587"/>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3.1 — </w:t>
      </w:r>
      <w:hyperlink r:id="rId154">
        <w:r>
          <w:rPr>
            <w:rFonts w:ascii="Arial" w:cs="Arial" w:eastAsia="Arial" w:hAnsi="Arial"/>
            <w:sz w:val="18"/>
            <w:szCs w:val="18"/>
            <w:u w:val="single" w:color="auto"/>
            <w:color w:val="0000FF"/>
          </w:rPr>
          <w:t>Amended and Restated By-laws of BXP, Inc. (Incorporated by reference to Exhibit 3.1 to the Current Report on Form 8-K of</w:t>
        </w:r>
      </w:hyperlink>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FF"/>
          </w:rPr>
          <w:t>BXP, Inc. and Boston Properties Limited Partnership filed on July 25, 2024.)</w:t>
        </w:r>
      </w:hyperlink>
    </w:p>
    <w:p>
      <w:pPr>
        <w:spacing w:after="0" w:line="207" w:lineRule="exact"/>
        <w:rPr>
          <w:sz w:val="20"/>
          <w:szCs w:val="20"/>
          <w:color w:val="auto"/>
        </w:rPr>
      </w:pPr>
    </w:p>
    <w:p>
      <w:pPr>
        <w:ind w:left="1360" w:right="380" w:hanging="587"/>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 </w:t>
      </w:r>
      <w:hyperlink r:id="rId155">
        <w:r>
          <w:rPr>
            <w:rFonts w:ascii="Arial" w:cs="Arial" w:eastAsia="Arial" w:hAnsi="Arial"/>
            <w:sz w:val="18"/>
            <w:szCs w:val="18"/>
            <w:u w:val="single" w:color="auto"/>
            <w:color w:val="0000FF"/>
          </w:rPr>
          <w:t>Supplemental Indenture No. 26, dated as of August 26, 2024, between Boston Properties Limited Partnership and The</w:t>
        </w:r>
      </w:hyperlink>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FF"/>
          </w:rPr>
          <w:t>Bank of New York Mellon Trust Company, N.A., as Trustee; including a form of the 5.750% Senior Note due 2035.</w:t>
        </w:r>
      </w:hyperlink>
    </w:p>
    <w:p>
      <w:pPr>
        <w:spacing w:after="0" w:line="1" w:lineRule="exact"/>
        <w:rPr>
          <w:sz w:val="20"/>
          <w:szCs w:val="20"/>
          <w:color w:val="auto"/>
        </w:rPr>
      </w:pPr>
    </w:p>
    <w:p>
      <w:pPr>
        <w:ind w:left="1360" w:right="360"/>
        <w:spacing w:after="0" w:line="229" w:lineRule="auto"/>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(Incorporated by reference to Exhibit 4.1 to the Current Report on Form 8-K of BXP, Inc. and Boston Properties Limited</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Partnership filed on August 26, 2024.)</w:t>
        </w:r>
      </w:hyperlink>
    </w:p>
    <w:p>
      <w:pPr>
        <w:spacing w:after="0" w:line="195" w:lineRule="exact"/>
        <w:rPr>
          <w:sz w:val="20"/>
          <w:szCs w:val="20"/>
          <w:color w:val="auto"/>
        </w:rPr>
      </w:pPr>
    </w:p>
    <w:p>
      <w:pPr>
        <w:ind w:left="1360" w:right="660" w:hanging="687"/>
        <w:spacing w:after="0"/>
        <w:rPr>
          <w:sz w:val="20"/>
          <w:szCs w:val="20"/>
          <w:color w:val="auto"/>
        </w:rPr>
      </w:pPr>
      <w:r>
        <w:rPr>
          <w:rFonts w:ascii="Arial" w:cs="Arial" w:eastAsia="Arial" w:hAnsi="Arial"/>
          <w:sz w:val="18"/>
          <w:szCs w:val="18"/>
          <w:color w:val="auto"/>
        </w:rPr>
        <w:t xml:space="preserve">10.1 — </w:t>
      </w:r>
      <w:r>
        <w:rPr>
          <w:rFonts w:ascii="Arial" w:cs="Arial" w:eastAsia="Arial" w:hAnsi="Arial"/>
          <w:sz w:val="18"/>
          <w:szCs w:val="18"/>
          <w:u w:val="single" w:color="auto"/>
          <w:color w:val="0000FF"/>
        </w:rPr>
        <w:t>Second Amendment to Ninth Amended and Restated Credit Agreement, dated as of June 27, 2024, among Boston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Properties Limited Partnership and the lenders identified therein. (Filed herewith.)</w:t>
      </w:r>
    </w:p>
    <w:p>
      <w:pPr>
        <w:spacing w:after="0" w:line="207" w:lineRule="exact"/>
        <w:rPr>
          <w:sz w:val="20"/>
          <w:szCs w:val="20"/>
          <w:color w:val="auto"/>
        </w:rPr>
      </w:pPr>
    </w:p>
    <w:p>
      <w:pPr>
        <w:ind w:left="1360" w:right="780" w:hanging="687"/>
        <w:spacing w:after="0"/>
        <w:rPr>
          <w:sz w:val="20"/>
          <w:szCs w:val="20"/>
          <w:color w:val="auto"/>
        </w:rPr>
      </w:pPr>
      <w:r>
        <w:rPr>
          <w:rFonts w:ascii="Arial" w:cs="Arial" w:eastAsia="Arial" w:hAnsi="Arial"/>
          <w:sz w:val="18"/>
          <w:szCs w:val="18"/>
          <w:color w:val="auto"/>
        </w:rPr>
        <w:t xml:space="preserve">10.2 — </w:t>
      </w:r>
      <w:r>
        <w:rPr>
          <w:rFonts w:ascii="Arial" w:cs="Arial" w:eastAsia="Arial" w:hAnsi="Arial"/>
          <w:sz w:val="18"/>
          <w:szCs w:val="18"/>
          <w:u w:val="single" w:color="auto"/>
          <w:color w:val="0000FF"/>
        </w:rPr>
        <w:t>Third Amendment to Ninth Amended and Restated Credit Agreement, dated as of August 2, 2024, among Boston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Properties Limited Partnership and the lenders identified therein. (Filed herewith.)</w:t>
      </w:r>
    </w:p>
    <w:p>
      <w:pPr>
        <w:spacing w:after="0" w:line="207" w:lineRule="exact"/>
        <w:rPr>
          <w:sz w:val="20"/>
          <w:szCs w:val="20"/>
          <w:color w:val="auto"/>
        </w:rPr>
      </w:pPr>
    </w:p>
    <w:p>
      <w:pPr>
        <w:ind w:left="1360" w:right="140" w:hanging="687"/>
        <w:spacing w:after="0"/>
        <w:rPr>
          <w:sz w:val="20"/>
          <w:szCs w:val="20"/>
          <w:color w:val="auto"/>
        </w:rPr>
      </w:pPr>
      <w:r>
        <w:rPr>
          <w:rFonts w:ascii="Arial" w:cs="Arial" w:eastAsia="Arial" w:hAnsi="Arial"/>
          <w:sz w:val="18"/>
          <w:szCs w:val="18"/>
          <w:color w:val="auto"/>
        </w:rPr>
        <w:t xml:space="preserve">10.3 — </w:t>
      </w:r>
      <w:r>
        <w:rPr>
          <w:rFonts w:ascii="Arial" w:cs="Arial" w:eastAsia="Arial" w:hAnsi="Arial"/>
          <w:sz w:val="18"/>
          <w:szCs w:val="18"/>
          <w:u w:val="single" w:color="auto"/>
          <w:color w:val="0000FF"/>
        </w:rPr>
        <w:t>First Amendment to Credit Agreement, dated as of August 2, 2024, among Boston Properties Limited Partnership and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lenders identified therein. (Filed herewith.)</w:t>
      </w:r>
    </w:p>
    <w:p>
      <w:pPr>
        <w:spacing w:after="0" w:line="207" w:lineRule="exact"/>
        <w:rPr>
          <w:sz w:val="20"/>
          <w:szCs w:val="20"/>
          <w:color w:val="auto"/>
        </w:rPr>
      </w:pPr>
    </w:p>
    <w:p>
      <w:pPr>
        <w:ind w:left="1360" w:right="480" w:hanging="687"/>
        <w:spacing w:after="0"/>
        <w:rPr>
          <w:sz w:val="20"/>
          <w:szCs w:val="20"/>
          <w:color w:val="auto"/>
        </w:rPr>
      </w:pPr>
      <w:r>
        <w:rPr>
          <w:rFonts w:ascii="Arial" w:cs="Arial" w:eastAsia="Arial" w:hAnsi="Arial"/>
          <w:sz w:val="18"/>
          <w:szCs w:val="18"/>
          <w:color w:val="auto"/>
        </w:rPr>
        <w:t xml:space="preserve">31.1 — </w:t>
      </w:r>
      <w:r>
        <w:rPr>
          <w:rFonts w:ascii="Arial" w:cs="Arial" w:eastAsia="Arial" w:hAnsi="Arial"/>
          <w:sz w:val="18"/>
          <w:szCs w:val="18"/>
          <w:u w:val="single" w:color="auto"/>
          <w:color w:val="0000FF"/>
        </w:rPr>
        <w:t>Certification of Chief Executive Officer pursuant to Section 302 of the Sarbanes-Oxley Act of 2002 for BXP, Inc. (Filed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herewith.)</w:t>
      </w:r>
    </w:p>
    <w:p>
      <w:pPr>
        <w:spacing w:after="0" w:line="207" w:lineRule="exact"/>
        <w:rPr>
          <w:sz w:val="20"/>
          <w:szCs w:val="20"/>
          <w:color w:val="auto"/>
        </w:rPr>
      </w:pPr>
    </w:p>
    <w:p>
      <w:pPr>
        <w:ind w:left="1360" w:right="540" w:hanging="687"/>
        <w:spacing w:after="0"/>
        <w:rPr>
          <w:sz w:val="20"/>
          <w:szCs w:val="20"/>
          <w:color w:val="auto"/>
        </w:rPr>
      </w:pPr>
      <w:r>
        <w:rPr>
          <w:rFonts w:ascii="Arial" w:cs="Arial" w:eastAsia="Arial" w:hAnsi="Arial"/>
          <w:sz w:val="18"/>
          <w:szCs w:val="18"/>
          <w:color w:val="auto"/>
        </w:rPr>
        <w:t xml:space="preserve">31.2 — </w:t>
      </w:r>
      <w:r>
        <w:rPr>
          <w:rFonts w:ascii="Arial" w:cs="Arial" w:eastAsia="Arial" w:hAnsi="Arial"/>
          <w:sz w:val="18"/>
          <w:szCs w:val="18"/>
          <w:u w:val="single" w:color="auto"/>
          <w:color w:val="0000FF"/>
        </w:rPr>
        <w:t>Certification of Chief Financial Officer pursuant to Section 302 of the Sarbanes-Oxley Act of 2002 for BXP, Inc. (Filed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herewith.)</w:t>
      </w:r>
    </w:p>
    <w:p>
      <w:pPr>
        <w:spacing w:after="0" w:line="207" w:lineRule="exact"/>
        <w:rPr>
          <w:sz w:val="20"/>
          <w:szCs w:val="20"/>
          <w:color w:val="auto"/>
        </w:rPr>
      </w:pPr>
    </w:p>
    <w:p>
      <w:pPr>
        <w:ind w:left="1360" w:right="280" w:hanging="687"/>
        <w:spacing w:after="0"/>
        <w:rPr>
          <w:sz w:val="20"/>
          <w:szCs w:val="20"/>
          <w:color w:val="auto"/>
        </w:rPr>
      </w:pPr>
      <w:r>
        <w:rPr>
          <w:rFonts w:ascii="Arial" w:cs="Arial" w:eastAsia="Arial" w:hAnsi="Arial"/>
          <w:sz w:val="18"/>
          <w:szCs w:val="18"/>
          <w:color w:val="auto"/>
        </w:rPr>
        <w:t xml:space="preserve">31.3 — </w:t>
      </w:r>
      <w:r>
        <w:rPr>
          <w:rFonts w:ascii="Arial" w:cs="Arial" w:eastAsia="Arial" w:hAnsi="Arial"/>
          <w:sz w:val="18"/>
          <w:szCs w:val="18"/>
          <w:u w:val="single" w:color="auto"/>
          <w:color w:val="0000FF"/>
        </w:rPr>
        <w:t>Certification of Chief Executive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(Filed herewith.)</w:t>
      </w:r>
    </w:p>
    <w:p>
      <w:pPr>
        <w:spacing w:after="0" w:line="207" w:lineRule="exact"/>
        <w:rPr>
          <w:sz w:val="20"/>
          <w:szCs w:val="20"/>
          <w:color w:val="auto"/>
        </w:rPr>
      </w:pPr>
    </w:p>
    <w:p>
      <w:pPr>
        <w:ind w:left="1360" w:right="340" w:hanging="687"/>
        <w:spacing w:after="0"/>
        <w:rPr>
          <w:sz w:val="20"/>
          <w:szCs w:val="20"/>
          <w:color w:val="auto"/>
        </w:rPr>
      </w:pPr>
      <w:r>
        <w:rPr>
          <w:rFonts w:ascii="Arial" w:cs="Arial" w:eastAsia="Arial" w:hAnsi="Arial"/>
          <w:sz w:val="18"/>
          <w:szCs w:val="18"/>
          <w:color w:val="auto"/>
        </w:rPr>
        <w:t xml:space="preserve">31.4 — </w:t>
      </w:r>
      <w:r>
        <w:rPr>
          <w:rFonts w:ascii="Arial" w:cs="Arial" w:eastAsia="Arial" w:hAnsi="Arial"/>
          <w:sz w:val="18"/>
          <w:szCs w:val="18"/>
          <w:u w:val="single" w:color="auto"/>
          <w:color w:val="0000FF"/>
        </w:rPr>
        <w:t>Certification of Chief Financial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(Filed herewith.)</w:t>
      </w:r>
    </w:p>
    <w:p>
      <w:pPr>
        <w:spacing w:after="0" w:line="207" w:lineRule="exact"/>
        <w:rPr>
          <w:sz w:val="20"/>
          <w:szCs w:val="20"/>
          <w:color w:val="auto"/>
        </w:rPr>
      </w:pPr>
    </w:p>
    <w:p>
      <w:pPr>
        <w:ind w:left="1360" w:right="80" w:hanging="687"/>
        <w:spacing w:after="0"/>
        <w:rPr>
          <w:sz w:val="20"/>
          <w:szCs w:val="20"/>
          <w:color w:val="auto"/>
        </w:rPr>
      </w:pPr>
      <w:r>
        <w:rPr>
          <w:rFonts w:ascii="Arial" w:cs="Arial" w:eastAsia="Arial" w:hAnsi="Arial"/>
          <w:sz w:val="18"/>
          <w:szCs w:val="18"/>
          <w:color w:val="auto"/>
        </w:rPr>
        <w:t xml:space="preserve">32.1 — </w:t>
      </w:r>
      <w:r>
        <w:rPr>
          <w:rFonts w:ascii="Arial" w:cs="Arial" w:eastAsia="Arial" w:hAnsi="Arial"/>
          <w:sz w:val="18"/>
          <w:szCs w:val="18"/>
          <w:u w:val="single" w:color="auto"/>
          <w:color w:val="0000FF"/>
        </w:rPr>
        <w:t>Certification of Chief Executive Officer pursuant to Section 906 of the Sarbanes Oxley Act of 2002 for BXP, Inc. (Furnished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herewith.)</w:t>
      </w:r>
    </w:p>
    <w:p>
      <w:pPr>
        <w:spacing w:after="0" w:line="207" w:lineRule="exact"/>
        <w:rPr>
          <w:sz w:val="20"/>
          <w:szCs w:val="20"/>
          <w:color w:val="auto"/>
        </w:rPr>
      </w:pPr>
    </w:p>
    <w:p>
      <w:pPr>
        <w:ind w:left="1360" w:right="140" w:hanging="687"/>
        <w:spacing w:after="0"/>
        <w:rPr>
          <w:sz w:val="20"/>
          <w:szCs w:val="20"/>
          <w:color w:val="auto"/>
        </w:rPr>
      </w:pPr>
      <w:r>
        <w:rPr>
          <w:rFonts w:ascii="Arial" w:cs="Arial" w:eastAsia="Arial" w:hAnsi="Arial"/>
          <w:sz w:val="18"/>
          <w:szCs w:val="18"/>
          <w:color w:val="auto"/>
        </w:rPr>
        <w:t xml:space="preserve">32.2 — </w:t>
      </w:r>
      <w:r>
        <w:rPr>
          <w:rFonts w:ascii="Arial" w:cs="Arial" w:eastAsia="Arial" w:hAnsi="Arial"/>
          <w:sz w:val="18"/>
          <w:szCs w:val="18"/>
          <w:u w:val="single" w:color="auto"/>
          <w:color w:val="0000FF"/>
        </w:rPr>
        <w:t>Certification of Chief Financial Officer pursuant to Section 906 of the Sarbanes Oxley Act of 2002 for BXP, Inc. (Furnished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herewith.)</w:t>
      </w:r>
    </w:p>
    <w:p>
      <w:pPr>
        <w:spacing w:after="0" w:line="207" w:lineRule="exact"/>
        <w:rPr>
          <w:sz w:val="20"/>
          <w:szCs w:val="20"/>
          <w:color w:val="auto"/>
        </w:rPr>
      </w:pPr>
    </w:p>
    <w:p>
      <w:pPr>
        <w:ind w:left="1360" w:right="280" w:hanging="687"/>
        <w:spacing w:after="0"/>
        <w:rPr>
          <w:sz w:val="20"/>
          <w:szCs w:val="20"/>
          <w:color w:val="auto"/>
        </w:rPr>
      </w:pPr>
      <w:r>
        <w:rPr>
          <w:rFonts w:ascii="Arial" w:cs="Arial" w:eastAsia="Arial" w:hAnsi="Arial"/>
          <w:sz w:val="18"/>
          <w:szCs w:val="18"/>
          <w:color w:val="auto"/>
        </w:rPr>
        <w:t xml:space="preserve">32.3 — </w:t>
      </w:r>
      <w:r>
        <w:rPr>
          <w:rFonts w:ascii="Arial" w:cs="Arial" w:eastAsia="Arial" w:hAnsi="Arial"/>
          <w:sz w:val="18"/>
          <w:szCs w:val="18"/>
          <w:u w:val="single" w:color="auto"/>
          <w:color w:val="0000FF"/>
        </w:rPr>
        <w:t>Certification of Chief Executive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(Furnished herewith.)</w:t>
      </w:r>
    </w:p>
    <w:p>
      <w:pPr>
        <w:spacing w:after="0" w:line="207" w:lineRule="exact"/>
        <w:rPr>
          <w:sz w:val="20"/>
          <w:szCs w:val="20"/>
          <w:color w:val="auto"/>
        </w:rPr>
      </w:pPr>
    </w:p>
    <w:p>
      <w:pPr>
        <w:ind w:left="1360" w:right="340" w:hanging="687"/>
        <w:spacing w:after="0"/>
        <w:rPr>
          <w:sz w:val="20"/>
          <w:szCs w:val="20"/>
          <w:color w:val="auto"/>
        </w:rPr>
      </w:pPr>
      <w:r>
        <w:rPr>
          <w:rFonts w:ascii="Arial" w:cs="Arial" w:eastAsia="Arial" w:hAnsi="Arial"/>
          <w:sz w:val="18"/>
          <w:szCs w:val="18"/>
          <w:color w:val="auto"/>
        </w:rPr>
        <w:t xml:space="preserve">32.4 — </w:t>
      </w:r>
      <w:r>
        <w:rPr>
          <w:rFonts w:ascii="Arial" w:cs="Arial" w:eastAsia="Arial" w:hAnsi="Arial"/>
          <w:sz w:val="18"/>
          <w:szCs w:val="18"/>
          <w:u w:val="single" w:color="auto"/>
          <w:color w:val="0000FF"/>
        </w:rPr>
        <w:t>Certification of Chief Financial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(Furnished herewith.)</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101.SCH — Inline XBRL Taxonomy Extension Schema Document. (Filed herewith.)</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101.CAL — Inline XBRL Taxonomy Extension Calculation Linkbase Document. (Filed herewith.)</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101.LAB — Inline XBRL Taxonomy Extension Label Linkbase Document. (Filed herewith.)</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101.PRE — Inline XBRL Taxonomy Extension Presentation Linkbase Document. (Filed herewith.)</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101.DEF — Inline XBRL Taxonomy Extension Definition Linkbase Document. (Filed herewith.)</w:t>
      </w:r>
    </w:p>
    <w:p>
      <w:pPr>
        <w:spacing w:after="0" w:line="77" w:lineRule="exact"/>
        <w:rPr>
          <w:sz w:val="20"/>
          <w:szCs w:val="20"/>
          <w:color w:val="auto"/>
        </w:rPr>
      </w:pPr>
    </w:p>
    <w:p>
      <w:pPr>
        <w:ind w:left="1360" w:right="240" w:hanging="636"/>
        <w:spacing w:after="0"/>
        <w:tabs>
          <w:tab w:leader="none" w:pos="11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with applicable taxonomy extension information contained in Exhibits 101.*).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BXP, INC.</w:t>
      </w:r>
    </w:p>
    <w:p>
      <w:pPr>
        <w:spacing w:after="0" w:line="320" w:lineRule="exact"/>
        <w:rPr>
          <w:sz w:val="20"/>
          <w:szCs w:val="20"/>
          <w:color w:val="auto"/>
        </w:rPr>
      </w:pPr>
    </w:p>
    <w:p>
      <w:pPr>
        <w:ind w:left="1140"/>
        <w:spacing w:after="0"/>
        <w:tabs>
          <w:tab w:leader="none" w:pos="6900" w:val="left"/>
          <w:tab w:leader="none" w:pos="7280" w:val="left"/>
        </w:tabs>
        <w:rPr>
          <w:sz w:val="20"/>
          <w:szCs w:val="20"/>
          <w:color w:val="auto"/>
        </w:rPr>
      </w:pPr>
      <w:r>
        <w:rPr>
          <w:rFonts w:ascii="Arial" w:cs="Arial" w:eastAsia="Arial" w:hAnsi="Arial"/>
          <w:sz w:val="18"/>
          <w:szCs w:val="18"/>
          <w:color w:val="auto"/>
        </w:rPr>
        <w:t>November 5, 2024</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34925</wp:posOffset>
            </wp:positionV>
            <wp:extent cx="2674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53"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Michael R. Walsh</w:t>
      </w:r>
    </w:p>
    <w:p>
      <w:pPr>
        <w:spacing w:after="0" w:line="82"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Chief Accounting Officer</w:t>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283" w:right="7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880" w:type="dxa"/>
            <w:vAlign w:val="bottom"/>
          </w:tcPr>
          <w:p>
            <w:pPr>
              <w:spacing w:after="0"/>
              <w:rPr>
                <w:sz w:val="20"/>
                <w:szCs w:val="20"/>
                <w:color w:val="auto"/>
              </w:rPr>
            </w:pPr>
          </w:p>
        </w:tc>
        <w:tc>
          <w:tcPr>
            <w:tcW w:w="6100" w:type="dxa"/>
            <w:vAlign w:val="bottom"/>
            <w:gridSpan w:val="2"/>
          </w:tcPr>
          <w:p>
            <w:pPr>
              <w:ind w:left="1400"/>
              <w:spacing w:after="0"/>
              <w:rPr>
                <w:sz w:val="20"/>
                <w:szCs w:val="20"/>
                <w:color w:val="auto"/>
              </w:rPr>
            </w:pPr>
            <w:r>
              <w:rPr>
                <w:rFonts w:ascii="Arial" w:cs="Arial" w:eastAsia="Arial" w:hAnsi="Arial"/>
                <w:sz w:val="18"/>
                <w:szCs w:val="18"/>
                <w:color w:val="auto"/>
              </w:rPr>
              <w:t>BOSTON PROPERTIES LIMITED PARTNERSHIP</w:t>
            </w:r>
          </w:p>
        </w:tc>
      </w:tr>
      <w:tr>
        <w:trPr>
          <w:trHeight w:val="270"/>
        </w:trPr>
        <w:tc>
          <w:tcPr>
            <w:tcW w:w="2880" w:type="dxa"/>
            <w:vAlign w:val="bottom"/>
          </w:tcPr>
          <w:p>
            <w:pPr>
              <w:spacing w:after="0"/>
              <w:rPr>
                <w:sz w:val="23"/>
                <w:szCs w:val="23"/>
                <w:color w:val="auto"/>
              </w:rPr>
            </w:pPr>
          </w:p>
        </w:tc>
        <w:tc>
          <w:tcPr>
            <w:tcW w:w="6100" w:type="dxa"/>
            <w:vAlign w:val="bottom"/>
            <w:gridSpan w:val="2"/>
          </w:tcPr>
          <w:p>
            <w:pPr>
              <w:ind w:left="1400"/>
              <w:spacing w:after="0"/>
              <w:rPr>
                <w:sz w:val="20"/>
                <w:szCs w:val="20"/>
                <w:color w:val="auto"/>
              </w:rPr>
            </w:pPr>
            <w:r>
              <w:rPr>
                <w:rFonts w:ascii="Arial" w:cs="Arial" w:eastAsia="Arial" w:hAnsi="Arial"/>
                <w:sz w:val="18"/>
                <w:szCs w:val="18"/>
                <w:color w:val="auto"/>
              </w:rPr>
              <w:t>By: BXP, Inc., its General Partner</w:t>
            </w:r>
          </w:p>
        </w:tc>
      </w:tr>
      <w:tr>
        <w:trPr>
          <w:trHeight w:val="536"/>
        </w:trPr>
        <w:tc>
          <w:tcPr>
            <w:tcW w:w="2880" w:type="dxa"/>
            <w:vAlign w:val="bottom"/>
          </w:tcPr>
          <w:p>
            <w:pPr>
              <w:spacing w:after="0"/>
              <w:rPr>
                <w:sz w:val="20"/>
                <w:szCs w:val="20"/>
                <w:color w:val="auto"/>
              </w:rPr>
            </w:pPr>
            <w:r>
              <w:rPr>
                <w:rFonts w:ascii="Arial" w:cs="Arial" w:eastAsia="Arial" w:hAnsi="Arial"/>
                <w:sz w:val="18"/>
                <w:szCs w:val="18"/>
                <w:color w:val="auto"/>
              </w:rPr>
              <w:t>November 5, 2024</w:t>
            </w:r>
          </w:p>
        </w:tc>
        <w:tc>
          <w:tcPr>
            <w:tcW w:w="1880" w:type="dxa"/>
            <w:vAlign w:val="bottom"/>
          </w:tcPr>
          <w:p>
            <w:pPr>
              <w:spacing w:after="0"/>
              <w:rPr>
                <w:sz w:val="24"/>
                <w:szCs w:val="24"/>
                <w:color w:val="auto"/>
              </w:rPr>
            </w:pPr>
          </w:p>
        </w:tc>
        <w:tc>
          <w:tcPr>
            <w:tcW w:w="4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tc>
      </w:tr>
      <w:tr>
        <w:trPr>
          <w:trHeight w:val="234"/>
        </w:trPr>
        <w:tc>
          <w:tcPr>
            <w:tcW w:w="28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Michael R. Walsh</w:t>
            </w:r>
          </w:p>
        </w:tc>
      </w:tr>
      <w:tr>
        <w:trPr>
          <w:trHeight w:val="155"/>
        </w:trPr>
        <w:tc>
          <w:tcPr>
            <w:tcW w:w="2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2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Chief Accounting Officer</w:t>
            </w:r>
          </w:p>
        </w:tc>
      </w:tr>
      <w:tr>
        <w:trPr>
          <w:trHeight w:val="196"/>
        </w:trPr>
        <w:tc>
          <w:tcPr>
            <w:tcW w:w="2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(duly authorized officer and principal accounting officer)</w:t>
            </w:r>
          </w:p>
        </w:tc>
      </w:tr>
      <w:tr>
        <w:trPr>
          <w:trHeight w:val="857"/>
        </w:trPr>
        <w:tc>
          <w:tcPr>
            <w:tcW w:w="2880" w:type="dxa"/>
            <w:vAlign w:val="bottom"/>
          </w:tcPr>
          <w:p>
            <w:pPr>
              <w:spacing w:after="0"/>
              <w:rPr>
                <w:sz w:val="24"/>
                <w:szCs w:val="24"/>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4220" w:type="dxa"/>
            <w:vAlign w:val="bottom"/>
          </w:tcPr>
          <w:p>
            <w:pPr>
              <w:spacing w:after="0"/>
              <w:rPr>
                <w:sz w:val="24"/>
                <w:szCs w:val="24"/>
                <w:color w:val="auto"/>
              </w:rPr>
            </w:pPr>
          </w:p>
        </w:tc>
      </w:tr>
    </w:tbl>
    <w:p>
      <w:pPr>
        <w:sectPr>
          <w:pgSz w:w="11900" w:h="16838" w:orient="portrait"/>
          <w:cols w:equalWidth="0" w:num="1">
            <w:col w:w="10860"/>
          </w:cols>
          <w:pgMar w:left="320" w:top="283" w:right="7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CREDIT AGREEMENT</w:t>
      </w:r>
    </w:p>
    <w:p>
      <w:pPr>
        <w:spacing w:after="0" w:line="33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SECOND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June 27, 2024, is entered into by BANK OF AMERICA, N.A.,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under the Existing Credit Agreement (as defined below). Capitalized terms used herein but not otherwise defined herein shall have the meanings provided to such terms in the Existing Credit Agreement.</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WHEREAS, Boston Properties Limited Partnership, a Delaware limited partnership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Banks from time to time party thereto, Bank of America, N.A., as Agent, and Bank of America, N.A. and JPMorgan Chase Bank, N.A., as Fronting Banks are parties to that certain Ninth Amended and Restated Credit Agreement (as amended, restated, extended, supplemented or otherwise modified in writing from time to time prior to the date hereof,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xml:space="preserve"> and, as amended by this Amendment, the “</w:t>
      </w:r>
      <w:r>
        <w:rPr>
          <w:rFonts w:ascii="Times New Roman" w:cs="Times New Roman" w:eastAsia="Times New Roman" w:hAnsi="Times New Roman"/>
          <w:sz w:val="22"/>
          <w:szCs w:val="22"/>
          <w:u w:val="single" w:color="auto"/>
          <w:color w:val="auto"/>
        </w:rPr>
        <w:t>Amended Credit Agreement</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loans and/or other extensions of credit under the Existing Credit Agreement denominated in Canadian Dollars incur or are permitted to incur interest, fees, commissions or other amounts based on CDOR in accordance with the terms of the Existing Credit Agreement; and</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CDOR has been or will be replaced with the Canadian Benchmark Replacement in accordance with the Existing Credit Agreement and, in connection therewith, the Administrative Agent is exercising its right to make certain Canadian Benchmark Replacement Conforming Changes pursuant to this Amendment.</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in accordance with the terms of the Existing Credit Agreement, this Amendment is entered into by the Administrative Agent.</w:t>
      </w:r>
    </w:p>
    <w:p>
      <w:pPr>
        <w:spacing w:after="0" w:line="154"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Amendments to the Existing Credit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all of the terms and conditions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this Amendment, the Existing Credit Agreement is hereby amended:</w:t>
      </w:r>
    </w:p>
    <w:p>
      <w:pPr>
        <w:spacing w:after="0" w:line="167" w:lineRule="exact"/>
        <w:rPr>
          <w:sz w:val="20"/>
          <w:szCs w:val="20"/>
          <w:color w:val="auto"/>
        </w:rPr>
      </w:pPr>
    </w:p>
    <w:p>
      <w:pPr>
        <w:jc w:val="both"/>
        <w:ind w:left="660" w:firstLine="644"/>
        <w:spacing w:after="0" w:line="252" w:lineRule="auto"/>
        <w:tabs>
          <w:tab w:leader="none" w:pos="183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to add the double-underlined text (indicated textually in the same manner as the following example: </w:t>
      </w:r>
      <w:r>
        <w:rPr>
          <w:rFonts w:ascii="Times New Roman" w:cs="Times New Roman" w:eastAsia="Times New Roman" w:hAnsi="Times New Roman"/>
          <w:sz w:val="22"/>
          <w:szCs w:val="22"/>
          <w:u w:val="single" w:color="auto"/>
          <w:color w:val="0000FF"/>
        </w:rPr>
        <w:t>double-underlined text</w:t>
      </w:r>
      <w:r>
        <w:rPr>
          <w:rFonts w:ascii="Times New Roman" w:cs="Times New Roman" w:eastAsia="Times New Roman" w:hAnsi="Times New Roman"/>
          <w:sz w:val="22"/>
          <w:szCs w:val="22"/>
          <w:color w:val="000000"/>
        </w:rPr>
        <w:t>), in each case, as set forth on the pages of the Existing Credit Agreement as amended hereby that 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attached as Annex I hereto; and</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1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adding a new Schedule 5.3 to the Existing Credit Agreement in the form of the Schedule 5.3 attached as Annex II hereto.</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b w:val="1"/>
          <w:bCs w:val="1"/>
          <w:u w:val="single" w:color="auto"/>
          <w:color w:val="auto"/>
        </w:rPr>
        <w:t>Transition of Existing Loans Denominated in Canadian Dollars</w:t>
      </w:r>
      <w:r>
        <w:rPr>
          <w:rFonts w:ascii="Times New Roman" w:cs="Times New Roman" w:eastAsia="Times New Roman" w:hAnsi="Times New Roman"/>
          <w:sz w:val="22"/>
          <w:szCs w:val="22"/>
          <w:color w:val="auto"/>
        </w:rPr>
        <w:t>. On and after the Second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Effective Date (as defined below), any request for a new Loan denominated in Canadian Dollars, or to continue an Existing Canadian Denominated Loan (as defined below), shall be deemed to be a request for a new Loan bearing interest at the Alternative Currency Term Rate (after giving effect to this Amendment). Notwithstanding</w:t>
      </w:r>
    </w:p>
    <w:p>
      <w:pPr>
        <w:sectPr>
          <w:pgSz w:w="11900" w:h="16838" w:orient="portrait"/>
          <w:cols w:equalWidth="0" w:num="1">
            <w:col w:w="11240"/>
          </w:cols>
          <w:pgMar w:left="320" w:top="121" w:right="339" w:bottom="1440" w:gutter="0" w:footer="0" w:header="0"/>
        </w:sectPr>
      </w:pPr>
    </w:p>
    <w:bookmarkStart w:id="116" w:name="page117"/>
    <w:bookmarkEnd w:id="116"/>
    <w:p>
      <w:pPr>
        <w:spacing w:after="0" w:line="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anything to the contrary contained herein or elsewhere: (a) Alternative Currency Term Rate Loans that are denominated in Canadian Dollars and are outstanding on the Second Amendment Effective Date (“</w:t>
      </w:r>
      <w:r>
        <w:rPr>
          <w:rFonts w:ascii="Times New Roman" w:cs="Times New Roman" w:eastAsia="Times New Roman" w:hAnsi="Times New Roman"/>
          <w:sz w:val="22"/>
          <w:szCs w:val="22"/>
          <w:u w:val="single" w:color="auto"/>
          <w:color w:val="auto"/>
        </w:rPr>
        <w:t>Existing Canadian Denominated Loans</w:t>
      </w:r>
      <w:r>
        <w:rPr>
          <w:rFonts w:ascii="Times New Roman" w:cs="Times New Roman" w:eastAsia="Times New Roman" w:hAnsi="Times New Roman"/>
          <w:sz w:val="22"/>
          <w:szCs w:val="22"/>
          <w:color w:val="auto"/>
        </w:rPr>
        <w:t>”) shall continue to accrue interest at the per annum interest rate that would apply to such Existing Canadian Denominated Loans under the Existing Credit Agreement, and such interest shall be payable on the dates that such interest would be payable under the Existing Credit Agreement and otherwise in accordance with the terms thereof and (b) on the last day of the Interest Period with respect to each Existing Canadian Denominated Loan, such Existing Canadian Denominated Loan shall, subject to and in accordance with the provisions of Section 2.5 of the Amended Credit Agreement, be continued as a Term CORRA Loan (as defined in the Amended Credit Agreement), or if continuation of such Existing Canadian Denominated Loan as a Term CORRA Loan is not permitted thereunder, be prepaid or converted into a Base Rate Loan as provided therein.</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b w:val="1"/>
          <w:bCs w:val="1"/>
          <w:u w:val="single" w:color="auto"/>
          <w:color w:val="auto"/>
        </w:rPr>
        <w:t>Conditions of Effectiveness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shall become effective on the earlier of (i)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all Available Tenors of CDOR have either permanently or indefinitely ceased to be provided by Refinitiv Benchmark Services (UK) Limited or (ii) June 28, 2024 (such date, the “</w:t>
      </w:r>
      <w:r>
        <w:rPr>
          <w:rFonts w:ascii="Times New Roman" w:cs="Times New Roman" w:eastAsia="Times New Roman" w:hAnsi="Times New Roman"/>
          <w:sz w:val="22"/>
          <w:szCs w:val="22"/>
          <w:u w:val="single" w:color="auto"/>
          <w:color w:val="auto"/>
        </w:rPr>
        <w:t>Second Amendment Effective Date</w:t>
      </w:r>
      <w:r>
        <w:rPr>
          <w:rFonts w:ascii="Times New Roman" w:cs="Times New Roman" w:eastAsia="Times New Roman" w:hAnsi="Times New Roman"/>
          <w:sz w:val="22"/>
          <w:szCs w:val="22"/>
          <w:color w:val="auto"/>
        </w:rPr>
        <w:t>”), upon proper execution by the Administrative Agent of a counterpart of this Amendment.</w:t>
      </w:r>
    </w:p>
    <w:p>
      <w:pPr>
        <w:spacing w:after="0" w:line="16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Second Amendment Effective Date, the Administrative Agent hereby notifies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and the Lenders of (i) the implementation of the Canadian Benchmark Replacement and (ii) the effectiveness of the Canadian Benchmark Replacement Conforming Changes, in each case, pursuant to this Amendment. To the extent the Existing Credit Agreement requires the Administrative Agent to provide notice that any of the foregoing events has occurred, this Amendment constitutes such notice.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760" w:hanging="456"/>
        <w:spacing w:after="0"/>
        <w:tabs>
          <w:tab w:leader="none" w:pos="1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a Loan Document.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9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in the form of an electronic record (in “.pdf” form or otherwise) and may be executed using electronic signatures, which shall be considered as originals and shall have the same legal effect, validity and enforceability as a paper record. This Amendment may be executed in as many counterparts as necessary or convenient, including both paper and electronic counterparts, but all such counterparts shall be one and the same agreement. For the avoidance of doubt, the foregoing shall include, without limitation, the execution and use by the Administrative Agent of a manually signed Amendment which has been converted into electronic form (such as scanned into “.pdf” format), or an electronically signed Amendment converted into another format, for transmission, delivery and/or retention.</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Amendment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6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unenforceability of a particular provision in a particular jurisdiction shall not invalidate or render unenforceable such provision in any other jurisdiction.</w:t>
      </w:r>
    </w:p>
    <w:p>
      <w:pPr>
        <w:spacing w:after="0" w:line="158" w:lineRule="exact"/>
        <w:rPr>
          <w:sz w:val="20"/>
          <w:szCs w:val="20"/>
          <w:color w:val="auto"/>
        </w:rPr>
      </w:pPr>
    </w:p>
    <w:p>
      <w:pPr>
        <w:jc w:val="both"/>
        <w:ind w:firstLine="644"/>
        <w:spacing w:after="0" w:line="253" w:lineRule="auto"/>
        <w:tabs>
          <w:tab w:leader="none" w:pos="119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reference in the Existing Credit Agreement to “this Agreement,” “hereunder,” “hereof,” “herein,” or words of like import, and each reference in each other Loan Document (and the other documents and instruments delivered pursuant to or in connection therewith) to the “Credit Agreement”, “thereunder”, “thereof” or words of like import, shall mean and be a reference to the Amended Credit Agreement and as the Amended Credit Agreement may in the future be amended, restated, supplemented or modified from time to time.</w:t>
      </w:r>
    </w:p>
    <w:p>
      <w:pPr>
        <w:spacing w:after="0" w:line="178" w:lineRule="exact"/>
        <w:rPr>
          <w:rFonts w:ascii="Times New Roman" w:cs="Times New Roman" w:eastAsia="Times New Roman" w:hAnsi="Times New Roman"/>
          <w:sz w:val="22"/>
          <w:szCs w:val="22"/>
          <w:color w:val="auto"/>
        </w:rPr>
      </w:pPr>
    </w:p>
    <w:p>
      <w:pPr>
        <w:ind w:right="20" w:firstLine="644"/>
        <w:spacing w:after="0" w:line="271" w:lineRule="auto"/>
        <w:tabs>
          <w:tab w:leader="none" w:pos="110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the Existing Credit Agreement with respect to governing law, submission to jurisdiction, waiver of venue and waiver of jury trial are incorporated herein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[Signature pages immediately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0"/>
          </w:cols>
          <w:pgMar w:left="980" w:top="1440" w:right="339" w:bottom="1440" w:gutter="0" w:footer="0" w:header="0"/>
        </w:sectPr>
      </w:pPr>
    </w:p>
    <w:bookmarkStart w:id="118" w:name="page119"/>
    <w:bookmarkEnd w:id="118"/>
    <w:p>
      <w:pPr>
        <w:ind w:firstLine="648"/>
        <w:spacing w:after="0" w:line="271" w:lineRule="auto"/>
        <w:rPr>
          <w:sz w:val="20"/>
          <w:szCs w:val="20"/>
          <w:color w:val="auto"/>
        </w:rPr>
      </w:pPr>
      <w:r>
        <w:rPr>
          <w:rFonts w:ascii="Times New Roman" w:cs="Times New Roman" w:eastAsia="Times New Roman" w:hAnsi="Times New Roman"/>
          <w:sz w:val="22"/>
          <w:szCs w:val="22"/>
          <w:color w:val="auto"/>
        </w:rPr>
        <w:t>The Administrative Agent has caused a counterpart of this Amendment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b w:val="1"/>
          <w:bCs w:val="1"/>
          <w:u w:val="single" w:color="auto"/>
          <w:color w:val="auto"/>
        </w:rPr>
        <w:t>ADMINISTRATIVE AGENT</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1"/>
          <w:szCs w:val="21"/>
          <w:color w:val="auto"/>
        </w:rPr>
        <w:t>BANK OF AMERICA, N.A., as Administrative Agent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/s/ Elizabeth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-13970</wp:posOffset>
            </wp:positionV>
            <wp:extent cx="10623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8" w:lineRule="exact"/>
        <w:rPr>
          <w:sz w:val="20"/>
          <w:szCs w:val="20"/>
          <w:color w:val="auto"/>
        </w:rPr>
      </w:pPr>
    </w:p>
    <w:p>
      <w:pPr>
        <w:ind w:left="3140"/>
        <w:spacing w:after="0"/>
        <w:tabs>
          <w:tab w:leader="none" w:pos="39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Elizabeth Uribe</w:t>
      </w:r>
    </w:p>
    <w:p>
      <w:pPr>
        <w:spacing w:after="0" w:line="4" w:lineRule="exact"/>
        <w:rPr>
          <w:sz w:val="20"/>
          <w:szCs w:val="20"/>
          <w:color w:val="auto"/>
        </w:rPr>
      </w:pPr>
    </w:p>
    <w:p>
      <w:pPr>
        <w:ind w:left="3140"/>
        <w:spacing w:after="0"/>
        <w:tabs>
          <w:tab w:leader="none" w:pos="37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Second Amendment to BXP Ninth A&amp;R Credit Agreement]</w:t>
      </w:r>
    </w:p>
    <w:p>
      <w:pPr>
        <w:sectPr>
          <w:pgSz w:w="11900" w:h="16838" w:orient="portrait"/>
          <w:cols w:equalWidth="0" w:num="1">
            <w:col w:w="11240"/>
          </w:cols>
          <w:pgMar w:left="320" w:top="1422" w:right="339" w:bottom="1440" w:gutter="0" w:footer="0" w:header="0"/>
        </w:sectPr>
      </w:pPr>
    </w:p>
    <w:bookmarkStart w:id="119" w:name="page120"/>
    <w:bookmarkEnd w:id="119"/>
    <w:p>
      <w:pPr>
        <w:jc w:val="right"/>
        <w:ind w:left="4080"/>
        <w:spacing w:after="0" w:line="272" w:lineRule="auto"/>
        <w:rPr>
          <w:sz w:val="20"/>
          <w:szCs w:val="20"/>
          <w:color w:val="auto"/>
        </w:rPr>
      </w:pPr>
      <w:r>
        <w:rPr>
          <w:rFonts w:ascii="Times New Roman" w:cs="Times New Roman" w:eastAsia="Times New Roman" w:hAnsi="Times New Roman"/>
          <w:sz w:val="21"/>
          <w:szCs w:val="21"/>
          <w:b w:val="1"/>
          <w:bCs w:val="1"/>
          <w:color w:val="auto"/>
        </w:rPr>
        <w:t>ANNEX I TO SECOND AMENDMENT TO NINTH AMENDED AND RESTATED CREDIT AGREEMENT</w:t>
      </w:r>
    </w:p>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0"/>
          <w:szCs w:val="20"/>
          <w:color w:val="auto"/>
        </w:rPr>
        <w:t>Published Deal CUSIP NUMBER: 10112TAH3</w:t>
      </w:r>
    </w:p>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Published Revolver Facility CUSIP NUMBER: 10112TAJ9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1"/>
          <w:szCs w:val="21"/>
          <w:color w:val="auto"/>
        </w:rPr>
        <w:t>NINTH AMENDED AND RESTATED CREDIT AGREEMENT</w:t>
      </w:r>
    </w:p>
    <w:p>
      <w:pPr>
        <w:spacing w:after="0" w:line="1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among</w:t>
      </w:r>
    </w:p>
    <w:p>
      <w:pPr>
        <w:spacing w:after="0" w:line="12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BOSTON PROPERTIES LIMITED PARTNERSHIP</w:t>
      </w:r>
    </w:p>
    <w:p>
      <w:pPr>
        <w:spacing w:after="0" w:line="1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and</w:t>
      </w:r>
    </w:p>
    <w:p>
      <w:pPr>
        <w:spacing w:after="0" w:line="11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THE BANKS AND FRONTING BANKS HEREIN IDENTIFIED</w:t>
      </w:r>
    </w:p>
    <w:p>
      <w:pPr>
        <w:spacing w:after="0" w:line="1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and</w:t>
      </w:r>
    </w:p>
    <w:p>
      <w:pPr>
        <w:spacing w:after="0" w:line="11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with</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SYNDICATION AGENT</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SUSTAINABILITY AGENT</w:t>
      </w:r>
    </w:p>
    <w:p>
      <w:pPr>
        <w:spacing w:after="0" w:line="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BOFA SECURITIES, INC.</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and</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00" w:lineRule="exact"/>
        <w:rPr>
          <w:sz w:val="20"/>
          <w:szCs w:val="20"/>
          <w:color w:val="auto"/>
        </w:rPr>
      </w:pPr>
    </w:p>
    <w:p>
      <w:pPr>
        <w:spacing w:after="0" w:line="24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THE BANK OF NEW YORK MELLON</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DEUTSCHE BANK SECURITIES INC.</w:t>
      </w:r>
    </w:p>
    <w:p>
      <w:pPr>
        <w:spacing w:after="0" w:line="1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color w:val="auto"/>
        </w:rPr>
        <w:t>MORGAN STANLEY SENIOR FUNDING, INC.</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PNC BANK, NATIONAL ASSOCIATION</w:t>
      </w:r>
    </w:p>
    <w:p>
      <w:pPr>
        <w:spacing w:after="0" w:line="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U.S. BANK NATIONAL ASSOCIATION</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WELLS FARGO BANK, N.A.</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TD BANK, N.A.</w:t>
      </w:r>
    </w:p>
    <w:p>
      <w:pPr>
        <w:spacing w:after="0" w:line="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BANK OF NOVA SCOTIA</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TRUIST BANK</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CITIBANK, N.A .</w:t>
      </w:r>
    </w:p>
    <w:p>
      <w:pPr>
        <w:spacing w:after="0" w:line="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DOCUMENTATION AGENTS</w:t>
      </w: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MIZUHO BANK, LTD.</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MANAGING AGENTS</w:t>
      </w:r>
    </w:p>
    <w:p>
      <w:pPr>
        <w:spacing w:after="0" w:line="22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Dated as of June 15, 2021</w:t>
      </w:r>
    </w:p>
    <w:p>
      <w:pPr>
        <w:sectPr>
          <w:pgSz w:w="11900" w:h="16838" w:orient="portrait"/>
          <w:cols w:equalWidth="0" w:num="1">
            <w:col w:w="10120"/>
          </w:cols>
          <w:pgMar w:left="1440" w:top="118"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r>
      <w:tr>
        <w:trPr>
          <w:trHeight w:val="964"/>
        </w:trPr>
        <w:tc>
          <w:tcPr>
            <w:tcW w:w="6780" w:type="dxa"/>
            <w:vAlign w:val="bottom"/>
            <w:gridSpan w:val="15"/>
          </w:tcPr>
          <w:p>
            <w:pPr>
              <w:spacing w:after="0"/>
              <w:rPr>
                <w:sz w:val="20"/>
                <w:szCs w:val="20"/>
                <w:color w:val="auto"/>
              </w:rPr>
            </w:pPr>
            <w:r>
              <w:rPr>
                <w:rFonts w:ascii="Times New Roman" w:cs="Times New Roman" w:eastAsia="Times New Roman" w:hAnsi="Times New Roman"/>
                <w:sz w:val="22"/>
                <w:szCs w:val="22"/>
                <w:color w:val="auto"/>
              </w:rPr>
              <w:t>§1  DEFINITIONS AND RULES OF INTERPRETATION.  1</w:t>
            </w:r>
          </w:p>
        </w:tc>
      </w:tr>
      <w:tr>
        <w:trPr>
          <w:trHeight w:val="499"/>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Definitions</w:t>
            </w:r>
          </w:p>
        </w:tc>
        <w:tc>
          <w:tcPr>
            <w:tcW w:w="44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86"/>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20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w w:val="97"/>
              </w:rPr>
              <w:t>Rules of Interpretation</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500"/>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5660" w:type="dxa"/>
            <w:vAlign w:val="bottom"/>
            <w:gridSpan w:val="14"/>
          </w:tcPr>
          <w:p>
            <w:pPr>
              <w:ind w:left="100"/>
              <w:spacing w:after="0"/>
              <w:rPr>
                <w:sz w:val="20"/>
                <w:szCs w:val="20"/>
                <w:color w:val="auto"/>
              </w:rPr>
            </w:pPr>
            <w:r>
              <w:rPr>
                <w:rFonts w:ascii="Times New Roman" w:cs="Times New Roman" w:eastAsia="Times New Roman" w:hAnsi="Times New Roman"/>
                <w:sz w:val="22"/>
                <w:szCs w:val="22"/>
                <w:color w:val="auto"/>
              </w:rPr>
              <w:t>Exchange Rates; Currency Equivalents; Interest Rates  49</w:t>
            </w:r>
          </w:p>
        </w:tc>
      </w:tr>
      <w:tr>
        <w:trPr>
          <w:trHeight w:val="499"/>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3200" w:type="dxa"/>
            <w:vAlign w:val="bottom"/>
            <w:gridSpan w:val="10"/>
          </w:tcPr>
          <w:p>
            <w:pPr>
              <w:ind w:left="100"/>
              <w:spacing w:after="0"/>
              <w:rPr>
                <w:sz w:val="20"/>
                <w:szCs w:val="20"/>
                <w:color w:val="auto"/>
              </w:rPr>
            </w:pPr>
            <w:r>
              <w:rPr>
                <w:rFonts w:ascii="Times New Roman" w:cs="Times New Roman" w:eastAsia="Times New Roman" w:hAnsi="Times New Roman"/>
                <w:sz w:val="22"/>
                <w:szCs w:val="22"/>
                <w:color w:val="auto"/>
              </w:rPr>
              <w:t>Additional Alternative Currencies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50</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86"/>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20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Change of Currency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51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47"/>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250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Letter of Credit Amounts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52</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51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6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  THE FACILITIES.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52</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51</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79"/>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20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Commitment to Lend</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rPr>
              <w:t>52</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22"/>
                <w:szCs w:val="22"/>
                <w:color w:val="0000FF"/>
                <w:w w:val="90"/>
              </w:rPr>
              <w:t>51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80"/>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3200" w:type="dxa"/>
            <w:vAlign w:val="bottom"/>
            <w:gridSpan w:val="10"/>
          </w:tcPr>
          <w:p>
            <w:pPr>
              <w:ind w:left="100"/>
              <w:spacing w:after="0"/>
              <w:rPr>
                <w:sz w:val="20"/>
                <w:szCs w:val="20"/>
                <w:color w:val="auto"/>
              </w:rPr>
            </w:pPr>
            <w:r>
              <w:rPr>
                <w:rFonts w:ascii="Times New Roman" w:cs="Times New Roman" w:eastAsia="Times New Roman" w:hAnsi="Times New Roman"/>
                <w:sz w:val="22"/>
                <w:szCs w:val="22"/>
                <w:color w:val="auto"/>
              </w:rPr>
              <w:t>Evidence of the Committed Loans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53</w:t>
            </w:r>
          </w:p>
        </w:tc>
        <w:tc>
          <w:tcPr>
            <w:tcW w:w="2160" w:type="dxa"/>
            <w:vAlign w:val="bottom"/>
            <w:gridSpan w:val="2"/>
          </w:tcPr>
          <w:p>
            <w:pPr>
              <w:jc w:val="right"/>
              <w:ind w:right="1960"/>
              <w:spacing w:after="0"/>
              <w:rPr>
                <w:sz w:val="20"/>
                <w:szCs w:val="20"/>
                <w:color w:val="auto"/>
              </w:rPr>
            </w:pPr>
            <w:r>
              <w:rPr>
                <w:rFonts w:ascii="Times New Roman" w:cs="Times New Roman" w:eastAsia="Times New Roman" w:hAnsi="Times New Roman"/>
                <w:sz w:val="22"/>
                <w:szCs w:val="22"/>
                <w:color w:val="0000FF"/>
                <w:w w:val="81"/>
              </w:rPr>
              <w:t>52</w:t>
            </w:r>
          </w:p>
        </w:tc>
      </w:tr>
      <w:tr>
        <w:trPr>
          <w:trHeight w:val="20"/>
        </w:trPr>
        <w:tc>
          <w:tcPr>
            <w:tcW w:w="1120" w:type="dxa"/>
            <w:vAlign w:val="bottom"/>
          </w:tcPr>
          <w:p>
            <w:pPr>
              <w:spacing w:after="0" w:line="20" w:lineRule="exact"/>
              <w:rPr>
                <w:sz w:val="1"/>
                <w:szCs w:val="1"/>
                <w:color w:val="auto"/>
              </w:rPr>
            </w:pPr>
          </w:p>
        </w:tc>
        <w:tc>
          <w:tcPr>
            <w:tcW w:w="320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518"/>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3200" w:type="dxa"/>
            <w:vAlign w:val="bottom"/>
            <w:gridSpan w:val="10"/>
          </w:tcPr>
          <w:p>
            <w:pPr>
              <w:ind w:left="100"/>
              <w:spacing w:after="0"/>
              <w:rPr>
                <w:sz w:val="20"/>
                <w:szCs w:val="20"/>
                <w:color w:val="auto"/>
              </w:rPr>
            </w:pPr>
            <w:r>
              <w:rPr>
                <w:rFonts w:ascii="Times New Roman" w:cs="Times New Roman" w:eastAsia="Times New Roman" w:hAnsi="Times New Roman"/>
                <w:sz w:val="22"/>
                <w:szCs w:val="22"/>
                <w:color w:val="auto"/>
                <w:w w:val="99"/>
              </w:rPr>
              <w:t>Interest on Committed Loans; Fees</w:t>
            </w: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53</w:t>
            </w:r>
          </w:p>
        </w:tc>
        <w:tc>
          <w:tcPr>
            <w:tcW w:w="1960" w:type="dxa"/>
            <w:vAlign w:val="bottom"/>
          </w:tcPr>
          <w:p>
            <w:pPr>
              <w:spacing w:after="0"/>
              <w:rPr>
                <w:sz w:val="24"/>
                <w:szCs w:val="24"/>
                <w:color w:val="auto"/>
              </w:rPr>
            </w:pPr>
          </w:p>
        </w:tc>
      </w:tr>
    </w:tbl>
    <w:p>
      <w:pPr>
        <w:spacing w:after="0" w:line="217" w:lineRule="exact"/>
        <w:rPr>
          <w:sz w:val="20"/>
          <w:szCs w:val="20"/>
          <w:color w:val="auto"/>
        </w:rPr>
      </w:pPr>
    </w:p>
    <w:p>
      <w:pPr>
        <w:ind w:left="660"/>
        <w:spacing w:after="0"/>
        <w:tabs>
          <w:tab w:leader="none" w:pos="1200" w:val="left"/>
          <w:tab w:leader="none" w:pos="4160" w:val="left"/>
        </w:tabs>
        <w:rPr>
          <w:sz w:val="20"/>
          <w:szCs w:val="20"/>
          <w:color w:val="auto"/>
        </w:rPr>
      </w:pPr>
      <w:r>
        <w:rPr>
          <w:rFonts w:ascii="Times New Roman" w:cs="Times New Roman" w:eastAsia="Times New Roman" w:hAnsi="Times New Roman"/>
          <w:sz w:val="22"/>
          <w:szCs w:val="22"/>
          <w:color w:val="auto"/>
        </w:rPr>
        <w:t>§2.4</w:t>
        <w:tab/>
        <w:t>Requests for Committed Loans.</w:t>
        <w:tab/>
        <w:t>55</w:t>
      </w:r>
    </w:p>
    <w:p>
      <w:pPr>
        <w:spacing w:after="0" w:line="233" w:lineRule="exact"/>
        <w:rPr>
          <w:sz w:val="20"/>
          <w:szCs w:val="20"/>
          <w:color w:val="auto"/>
        </w:rPr>
      </w:pPr>
    </w:p>
    <w:p>
      <w:pPr>
        <w:ind w:left="660"/>
        <w:spacing w:after="0"/>
        <w:tabs>
          <w:tab w:leader="none" w:pos="1200" w:val="left"/>
          <w:tab w:leader="none" w:pos="4740" w:val="left"/>
        </w:tabs>
        <w:rPr>
          <w:sz w:val="20"/>
          <w:szCs w:val="20"/>
          <w:color w:val="auto"/>
        </w:rPr>
      </w:pPr>
      <w:r>
        <w:rPr>
          <w:rFonts w:ascii="Times New Roman" w:cs="Times New Roman" w:eastAsia="Times New Roman" w:hAnsi="Times New Roman"/>
          <w:sz w:val="22"/>
          <w:szCs w:val="22"/>
          <w:color w:val="auto"/>
        </w:rPr>
        <w:t>§2.5</w:t>
        <w:tab/>
        <w:t>Conversion and Continuation Options.</w:t>
      </w:r>
      <w:r>
        <w:rPr>
          <w:sz w:val="20"/>
          <w:szCs w:val="20"/>
          <w:color w:val="auto"/>
        </w:rPr>
        <w:tab/>
      </w:r>
      <w:r>
        <w:rPr>
          <w:rFonts w:ascii="Times New Roman" w:cs="Times New Roman" w:eastAsia="Times New Roman" w:hAnsi="Times New Roman"/>
          <w:sz w:val="21"/>
          <w:szCs w:val="21"/>
          <w:color w:val="FF0000"/>
          <w:strike w:val="1"/>
        </w:rPr>
        <w:t>57</w:t>
      </w:r>
      <w:r>
        <w:rPr>
          <w:rFonts w:ascii="Times New Roman" w:cs="Times New Roman" w:eastAsia="Times New Roman" w:hAnsi="Times New Roman"/>
          <w:sz w:val="21"/>
          <w:szCs w:val="21"/>
          <w:u w:val="single" w:color="auto"/>
          <w:color w:val="0000FF"/>
          <w:strike w:val="1"/>
        </w:rPr>
        <w:t>56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§2.6</w:t>
            </w:r>
          </w:p>
        </w:tc>
        <w:tc>
          <w:tcPr>
            <w:tcW w:w="400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rPr>
              <w:t>Funds for Committed Loans  59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47"/>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§2.7</w:t>
            </w:r>
          </w:p>
        </w:tc>
        <w:tc>
          <w:tcPr>
            <w:tcW w:w="400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rPr>
              <w:t>Reduction or Termination of Commitments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81"/>
              </w:rPr>
              <w:t>60</w:t>
            </w: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59</w:t>
            </w:r>
          </w:p>
        </w:tc>
        <w:tc>
          <w:tcPr>
            <w:tcW w:w="200" w:type="dxa"/>
            <w:vAlign w:val="bottom"/>
          </w:tcPr>
          <w:p>
            <w:pPr>
              <w:spacing w:after="0"/>
              <w:rPr>
                <w:sz w:val="24"/>
                <w:szCs w:val="24"/>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§2.8</w:t>
            </w:r>
          </w:p>
        </w:tc>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Intentionally Deleted</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61</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60</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8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§2.9</w:t>
            </w:r>
          </w:p>
        </w:tc>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Bid Rate Advances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61</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60</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§2.10</w:t>
            </w: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w w:val="97"/>
              </w:rPr>
              <w:t>Increases in Total Commitment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rPr>
              <w:t>65</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81"/>
              </w:rPr>
              <w:t>64</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32"/>
        </w:trPr>
        <w:tc>
          <w:tcPr>
            <w:tcW w:w="3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  LETTERS OF CREDIT.  65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8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w:t>
            </w:r>
          </w:p>
        </w:tc>
        <w:tc>
          <w:tcPr>
            <w:tcW w:w="286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Letter of Credit Commitments</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65</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0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§3.2</w:t>
            </w:r>
          </w:p>
        </w:tc>
        <w:tc>
          <w:tcPr>
            <w:tcW w:w="400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rPr>
              <w:t>Reimbursement Obligation of the Borrower</w:t>
            </w:r>
          </w:p>
        </w:tc>
        <w:tc>
          <w:tcPr>
            <w:tcW w:w="42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w w:val="99"/>
              </w:rPr>
              <w:t>71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47"/>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§3.3</w:t>
            </w:r>
          </w:p>
        </w:tc>
        <w:tc>
          <w:tcPr>
            <w:tcW w:w="400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w w:val="97"/>
              </w:rPr>
              <w:t>Letter of Credit Payments; Funding of a Loan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73</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72</w:t>
            </w: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§3.4</w:t>
            </w:r>
          </w:p>
        </w:tc>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Obligations Absolute</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75</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9"/>
                <w:szCs w:val="19"/>
                <w:color w:val="0000FF"/>
                <w:w w:val="73"/>
              </w:rPr>
              <w:t>74</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139"/>
          </w:cols>
          <w:pgMar w:left="320" w:top="1398" w:right="1440"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47"/>
        </w:trPr>
        <w:tc>
          <w:tcPr>
            <w:tcW w:w="320" w:type="dxa"/>
            <w:vAlign w:val="bottom"/>
          </w:tcPr>
          <w:p>
            <w:pPr>
              <w:spacing w:after="0"/>
              <w:rPr>
                <w:sz w:val="4"/>
                <w:szCs w:val="4"/>
                <w:color w:val="auto"/>
              </w:rPr>
            </w:pP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§3.5</w:t>
            </w:r>
          </w:p>
        </w:tc>
        <w:tc>
          <w:tcPr>
            <w:tcW w:w="1700" w:type="dxa"/>
            <w:vAlign w:val="bottom"/>
            <w:gridSpan w:val="11"/>
            <w:vMerge w:val="restart"/>
          </w:tcPr>
          <w:p>
            <w:pPr>
              <w:ind w:left="40"/>
              <w:spacing w:after="0"/>
              <w:rPr>
                <w:sz w:val="20"/>
                <w:szCs w:val="20"/>
                <w:color w:val="auto"/>
              </w:rPr>
            </w:pPr>
            <w:r>
              <w:rPr>
                <w:rFonts w:ascii="Times New Roman" w:cs="Times New Roman" w:eastAsia="Times New Roman" w:hAnsi="Times New Roman"/>
                <w:sz w:val="22"/>
                <w:szCs w:val="22"/>
                <w:color w:val="auto"/>
              </w:rPr>
              <w:t>Reliance by Issuer</w:t>
            </w:r>
          </w:p>
        </w:tc>
        <w:tc>
          <w:tcPr>
            <w:tcW w:w="4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rPr>
              <w:t>77</w:t>
            </w:r>
          </w:p>
        </w:tc>
        <w:tc>
          <w:tcPr>
            <w:tcW w:w="2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0000FF"/>
                <w:w w:val="90"/>
              </w:rPr>
              <w:t>76</w:t>
            </w:r>
          </w:p>
        </w:tc>
        <w:tc>
          <w:tcPr>
            <w:tcW w:w="4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700" w:type="dxa"/>
            <w:vAlign w:val="bottom"/>
            <w:gridSpan w:val="11"/>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220" w:type="dxa"/>
            <w:vAlign w:val="bottom"/>
            <w:tcBorders>
              <w:bottom w:val="single" w:sz="8" w:color="0000FF"/>
            </w:tcBorders>
            <w:gridSpan w:val="3"/>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§3.6</w:t>
            </w:r>
          </w:p>
        </w:tc>
        <w:tc>
          <w:tcPr>
            <w:tcW w:w="1900" w:type="dxa"/>
            <w:vAlign w:val="bottom"/>
            <w:gridSpan w:val="14"/>
          </w:tcPr>
          <w:p>
            <w:pPr>
              <w:ind w:left="40"/>
              <w:spacing w:after="0"/>
              <w:rPr>
                <w:sz w:val="20"/>
                <w:szCs w:val="20"/>
                <w:color w:val="auto"/>
              </w:rPr>
            </w:pPr>
            <w:r>
              <w:rPr>
                <w:rFonts w:ascii="Times New Roman" w:cs="Times New Roman" w:eastAsia="Times New Roman" w:hAnsi="Times New Roman"/>
                <w:sz w:val="22"/>
                <w:szCs w:val="22"/>
                <w:color w:val="auto"/>
              </w:rPr>
              <w:t>Letter of Credit Fee</w:t>
            </w:r>
          </w:p>
        </w:tc>
        <w:tc>
          <w:tcPr>
            <w:tcW w:w="340" w:type="dxa"/>
            <w:vAlign w:val="bottom"/>
            <w:gridSpan w:val="4"/>
          </w:tcPr>
          <w:p>
            <w:pPr>
              <w:jc w:val="right"/>
              <w:ind w:right="60"/>
              <w:spacing w:after="0"/>
              <w:rPr>
                <w:sz w:val="20"/>
                <w:szCs w:val="20"/>
                <w:color w:val="auto"/>
              </w:rPr>
            </w:pPr>
            <w:r>
              <w:rPr>
                <w:rFonts w:ascii="Times New Roman" w:cs="Times New Roman" w:eastAsia="Times New Roman" w:hAnsi="Times New Roman"/>
                <w:sz w:val="22"/>
                <w:szCs w:val="22"/>
                <w:color w:val="auto"/>
              </w:rPr>
              <w:t>77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w:t>
            </w:r>
          </w:p>
        </w:tc>
        <w:tc>
          <w:tcPr>
            <w:tcW w:w="4900" w:type="dxa"/>
            <w:vAlign w:val="bottom"/>
            <w:gridSpan w:val="40"/>
          </w:tcPr>
          <w:p>
            <w:pPr>
              <w:ind w:left="40"/>
              <w:spacing w:after="0"/>
              <w:rPr>
                <w:sz w:val="20"/>
                <w:szCs w:val="20"/>
                <w:color w:val="auto"/>
              </w:rPr>
            </w:pPr>
            <w:r>
              <w:rPr>
                <w:rFonts w:ascii="Times New Roman" w:cs="Times New Roman" w:eastAsia="Times New Roman" w:hAnsi="Times New Roman"/>
                <w:sz w:val="22"/>
                <w:szCs w:val="22"/>
                <w:color w:val="auto"/>
              </w:rPr>
              <w:t>Periodic Notification of Outstanding Letters of Credit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78</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81"/>
              </w:rPr>
              <w:t>77</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3420" w:type="dxa"/>
            <w:vAlign w:val="bottom"/>
            <w:gridSpan w:val="20"/>
          </w:tcPr>
          <w:p>
            <w:pPr>
              <w:spacing w:after="0"/>
              <w:rPr>
                <w:sz w:val="20"/>
                <w:szCs w:val="20"/>
                <w:color w:val="auto"/>
              </w:rPr>
            </w:pPr>
            <w:r>
              <w:rPr>
                <w:rFonts w:ascii="Times New Roman" w:cs="Times New Roman" w:eastAsia="Times New Roman" w:hAnsi="Times New Roman"/>
                <w:sz w:val="22"/>
                <w:szCs w:val="22"/>
                <w:color w:val="auto"/>
              </w:rPr>
              <w:t>§4  REPAYMENT OF THE LOANS</w:t>
            </w:r>
          </w:p>
        </w:tc>
        <w:tc>
          <w:tcPr>
            <w:tcW w:w="40" w:type="dxa"/>
            <w:vAlign w:val="bottom"/>
          </w:tcPr>
          <w:p>
            <w:pPr>
              <w:spacing w:after="0"/>
              <w:rPr>
                <w:sz w:val="24"/>
                <w:szCs w:val="24"/>
                <w:color w:val="auto"/>
              </w:rPr>
            </w:pPr>
          </w:p>
        </w:tc>
        <w:tc>
          <w:tcPr>
            <w:tcW w:w="24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99"/>
              </w:rPr>
              <w:t>78</w:t>
            </w:r>
          </w:p>
        </w:tc>
        <w:tc>
          <w:tcPr>
            <w:tcW w:w="400" w:type="dxa"/>
            <w:vAlign w:val="bottom"/>
            <w:gridSpan w:val="5"/>
          </w:tcPr>
          <w:p>
            <w:pPr>
              <w:jc w:val="right"/>
              <w:ind w:right="180"/>
              <w:spacing w:after="0"/>
              <w:rPr>
                <w:sz w:val="20"/>
                <w:szCs w:val="20"/>
                <w:color w:val="auto"/>
              </w:rPr>
            </w:pPr>
            <w:r>
              <w:rPr>
                <w:rFonts w:ascii="Times New Roman" w:cs="Times New Roman" w:eastAsia="Times New Roman" w:hAnsi="Times New Roman"/>
                <w:sz w:val="22"/>
                <w:szCs w:val="22"/>
                <w:color w:val="0000FF"/>
                <w:w w:val="90"/>
              </w:rPr>
              <w:t>77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w:t>
            </w:r>
          </w:p>
        </w:tc>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Maturity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78</w:t>
            </w:r>
          </w:p>
        </w:tc>
        <w:tc>
          <w:tcPr>
            <w:tcW w:w="2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77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w:t>
            </w:r>
          </w:p>
        </w:tc>
        <w:tc>
          <w:tcPr>
            <w:tcW w:w="3980" w:type="dxa"/>
            <w:vAlign w:val="bottom"/>
            <w:gridSpan w:val="36"/>
          </w:tcPr>
          <w:p>
            <w:pPr>
              <w:ind w:left="40"/>
              <w:spacing w:after="0"/>
              <w:rPr>
                <w:sz w:val="20"/>
                <w:szCs w:val="20"/>
                <w:color w:val="auto"/>
              </w:rPr>
            </w:pPr>
            <w:r>
              <w:rPr>
                <w:rFonts w:ascii="Times New Roman" w:cs="Times New Roman" w:eastAsia="Times New Roman" w:hAnsi="Times New Roman"/>
                <w:sz w:val="22"/>
                <w:szCs w:val="22"/>
                <w:color w:val="auto"/>
              </w:rPr>
              <w:t>Optional Repayments of Committed Loans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81"/>
              </w:rPr>
              <w:t>78</w:t>
            </w:r>
          </w:p>
        </w:tc>
        <w:tc>
          <w:tcPr>
            <w:tcW w:w="2300" w:type="dxa"/>
            <w:vAlign w:val="bottom"/>
            <w:gridSpan w:val="5"/>
          </w:tcPr>
          <w:p>
            <w:pPr>
              <w:jc w:val="right"/>
              <w:ind w:right="2080"/>
              <w:spacing w:after="0"/>
              <w:rPr>
                <w:sz w:val="20"/>
                <w:szCs w:val="20"/>
                <w:color w:val="auto"/>
              </w:rPr>
            </w:pPr>
            <w:r>
              <w:rPr>
                <w:rFonts w:ascii="Times New Roman" w:cs="Times New Roman" w:eastAsia="Times New Roman" w:hAnsi="Times New Roman"/>
                <w:sz w:val="22"/>
                <w:szCs w:val="22"/>
                <w:color w:val="0000FF"/>
                <w:w w:val="90"/>
              </w:rPr>
              <w:t>77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§4.3</w:t>
            </w:r>
          </w:p>
        </w:tc>
        <w:tc>
          <w:tcPr>
            <w:tcW w:w="2920" w:type="dxa"/>
            <w:vAlign w:val="bottom"/>
            <w:gridSpan w:val="29"/>
          </w:tcPr>
          <w:p>
            <w:pPr>
              <w:ind w:left="40"/>
              <w:spacing w:after="0"/>
              <w:rPr>
                <w:sz w:val="20"/>
                <w:szCs w:val="20"/>
                <w:color w:val="auto"/>
              </w:rPr>
            </w:pPr>
            <w:r>
              <w:rPr>
                <w:rFonts w:ascii="Times New Roman" w:cs="Times New Roman" w:eastAsia="Times New Roman" w:hAnsi="Times New Roman"/>
                <w:sz w:val="22"/>
                <w:szCs w:val="22"/>
                <w:color w:val="auto"/>
              </w:rPr>
              <w:t>Mandatory Repayment of Loans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79</w:t>
            </w: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22"/>
                <w:szCs w:val="22"/>
                <w:color w:val="0000FF"/>
                <w:w w:val="81"/>
              </w:rPr>
              <w:t>78</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4140" w:type="dxa"/>
            <w:vAlign w:val="bottom"/>
            <w:gridSpan w:val="32"/>
          </w:tcPr>
          <w:p>
            <w:pPr>
              <w:ind w:left="80"/>
              <w:spacing w:after="0"/>
              <w:rPr>
                <w:sz w:val="20"/>
                <w:szCs w:val="20"/>
                <w:color w:val="auto"/>
              </w:rPr>
            </w:pPr>
            <w:r>
              <w:rPr>
                <w:rFonts w:ascii="Times New Roman" w:cs="Times New Roman" w:eastAsia="Times New Roman" w:hAnsi="Times New Roman"/>
                <w:sz w:val="22"/>
                <w:szCs w:val="22"/>
                <w:color w:val="auto"/>
              </w:rPr>
              <w:t>CERTAIN GENERAL PROVISIONS  79</w:t>
            </w:r>
          </w:p>
        </w:tc>
        <w:tc>
          <w:tcPr>
            <w:tcW w:w="200" w:type="dxa"/>
            <w:vAlign w:val="bottom"/>
            <w:tcBorders>
              <w:top w:val="single" w:sz="8" w:color="0000FF"/>
            </w:tcBorders>
            <w:gridSpan w:val="3"/>
          </w:tcPr>
          <w:p>
            <w:pPr>
              <w:spacing w:after="0"/>
              <w:rPr>
                <w:sz w:val="24"/>
                <w:szCs w:val="24"/>
                <w:color w:val="auto"/>
              </w:rPr>
            </w:pPr>
          </w:p>
        </w:tc>
        <w:tc>
          <w:tcPr>
            <w:tcW w:w="52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§5.1</w:t>
            </w:r>
          </w:p>
        </w:tc>
        <w:tc>
          <w:tcPr>
            <w:tcW w:w="1900" w:type="dxa"/>
            <w:vAlign w:val="bottom"/>
            <w:gridSpan w:val="14"/>
          </w:tcPr>
          <w:p>
            <w:pPr>
              <w:ind w:left="40"/>
              <w:spacing w:after="0"/>
              <w:rPr>
                <w:sz w:val="20"/>
                <w:szCs w:val="20"/>
                <w:color w:val="auto"/>
              </w:rPr>
            </w:pPr>
            <w:r>
              <w:rPr>
                <w:rFonts w:ascii="Times New Roman" w:cs="Times New Roman" w:eastAsia="Times New Roman" w:hAnsi="Times New Roman"/>
                <w:sz w:val="22"/>
                <w:szCs w:val="22"/>
                <w:color w:val="auto"/>
              </w:rPr>
              <w:t>Funds for Payments</w:t>
            </w:r>
          </w:p>
        </w:tc>
        <w:tc>
          <w:tcPr>
            <w:tcW w:w="340" w:type="dxa"/>
            <w:vAlign w:val="bottom"/>
            <w:gridSpan w:val="4"/>
          </w:tcPr>
          <w:p>
            <w:pPr>
              <w:jc w:val="right"/>
              <w:ind w:right="40"/>
              <w:spacing w:after="0"/>
              <w:rPr>
                <w:sz w:val="20"/>
                <w:szCs w:val="20"/>
                <w:color w:val="auto"/>
              </w:rPr>
            </w:pPr>
            <w:r>
              <w:rPr>
                <w:rFonts w:ascii="Times New Roman" w:cs="Times New Roman" w:eastAsia="Times New Roman" w:hAnsi="Times New Roman"/>
                <w:sz w:val="22"/>
                <w:szCs w:val="22"/>
                <w:color w:val="auto"/>
              </w:rPr>
              <w:t>79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w:t>
            </w:r>
          </w:p>
        </w:tc>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Taxes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82</w:t>
            </w:r>
          </w:p>
        </w:tc>
        <w:tc>
          <w:tcPr>
            <w:tcW w:w="2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81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§5.3</w:t>
            </w:r>
          </w:p>
        </w:tc>
        <w:tc>
          <w:tcPr>
            <w:tcW w:w="146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rPr>
              <w:t>Computations</w:t>
            </w:r>
          </w:p>
        </w:tc>
        <w:tc>
          <w:tcPr>
            <w:tcW w:w="2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89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320" w:type="dxa"/>
            <w:vAlign w:val="bottom"/>
          </w:tcPr>
          <w:p>
            <w:pPr>
              <w:spacing w:after="0"/>
              <w:rPr>
                <w:sz w:val="24"/>
                <w:szCs w:val="24"/>
                <w:color w:val="auto"/>
              </w:rPr>
            </w:pPr>
          </w:p>
        </w:tc>
        <w:tc>
          <w:tcPr>
            <w:tcW w:w="9600" w:type="dxa"/>
            <w:vAlign w:val="bottom"/>
            <w:gridSpan w:val="47"/>
          </w:tcPr>
          <w:p>
            <w:pPr>
              <w:jc w:val="center"/>
              <w:ind w:left="232"/>
              <w:spacing w:after="0"/>
              <w:rPr>
                <w:sz w:val="20"/>
                <w:szCs w:val="20"/>
                <w:color w:val="auto"/>
              </w:rPr>
            </w:pPr>
            <w:r>
              <w:rPr>
                <w:rFonts w:ascii="Times New Roman" w:cs="Times New Roman" w:eastAsia="Times New Roman" w:hAnsi="Times New Roman"/>
                <w:sz w:val="22"/>
                <w:szCs w:val="22"/>
                <w:color w:val="auto"/>
                <w:w w:val="98"/>
              </w:rPr>
              <w:t>§5.4  Inability to Determine Rates; Replacement of SOFR or SOFR Successor Rate; Canadian Benchmark</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80" w:type="dxa"/>
            <w:vAlign w:val="bottom"/>
            <w:gridSpan w:val="43"/>
          </w:tcPr>
          <w:p>
            <w:pPr>
              <w:ind w:left="120"/>
              <w:spacing w:after="0" w:line="230" w:lineRule="exact"/>
              <w:rPr>
                <w:sz w:val="20"/>
                <w:szCs w:val="20"/>
                <w:color w:val="auto"/>
              </w:rPr>
            </w:pPr>
            <w:r>
              <w:rPr>
                <w:rFonts w:ascii="Times New Roman" w:cs="Times New Roman" w:eastAsia="Times New Roman" w:hAnsi="Times New Roman"/>
                <w:sz w:val="22"/>
                <w:szCs w:val="22"/>
                <w:color w:val="auto"/>
              </w:rPr>
              <w:t>Replacement Setting; Replacement of Relevant Rate or Successor Rate</w:t>
            </w:r>
          </w:p>
        </w:tc>
        <w:tc>
          <w:tcPr>
            <w:tcW w:w="22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90</w:t>
            </w:r>
          </w:p>
        </w:tc>
        <w:tc>
          <w:tcPr>
            <w:tcW w:w="220" w:type="dxa"/>
            <w:vAlign w:val="bottom"/>
            <w:tcBorders>
              <w:bottom w:val="single" w:sz="8" w:color="0000FF"/>
            </w:tcBorders>
          </w:tcPr>
          <w:p>
            <w:pPr>
              <w:jc w:val="right"/>
              <w:spacing w:after="0" w:line="230" w:lineRule="exact"/>
              <w:rPr>
                <w:sz w:val="20"/>
                <w:szCs w:val="20"/>
                <w:color w:val="auto"/>
              </w:rPr>
            </w:pPr>
            <w:r>
              <w:rPr>
                <w:rFonts w:ascii="Times New Roman" w:cs="Times New Roman" w:eastAsia="Times New Roman" w:hAnsi="Times New Roman"/>
                <w:sz w:val="22"/>
                <w:szCs w:val="22"/>
                <w:color w:val="0000FF"/>
                <w:w w:val="90"/>
              </w:rPr>
              <w:t>89</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§5.5</w:t>
            </w:r>
          </w:p>
        </w:tc>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Illegality</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95</w:t>
            </w:r>
          </w:p>
        </w:tc>
        <w:tc>
          <w:tcPr>
            <w:tcW w:w="2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94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§5.6</w:t>
            </w:r>
          </w:p>
        </w:tc>
        <w:tc>
          <w:tcPr>
            <w:tcW w:w="1900" w:type="dxa"/>
            <w:vAlign w:val="bottom"/>
            <w:gridSpan w:val="14"/>
          </w:tcPr>
          <w:p>
            <w:pPr>
              <w:ind w:left="40"/>
              <w:spacing w:after="0"/>
              <w:rPr>
                <w:sz w:val="20"/>
                <w:szCs w:val="20"/>
                <w:color w:val="auto"/>
              </w:rPr>
            </w:pPr>
            <w:r>
              <w:rPr>
                <w:rFonts w:ascii="Times New Roman" w:cs="Times New Roman" w:eastAsia="Times New Roman" w:hAnsi="Times New Roman"/>
                <w:sz w:val="22"/>
                <w:szCs w:val="22"/>
                <w:color w:val="auto"/>
                <w:w w:val="97"/>
              </w:rPr>
              <w:t>Additional Costs, Etc</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rPr>
              <w:t>96</w:t>
            </w:r>
          </w:p>
        </w:tc>
        <w:tc>
          <w:tcPr>
            <w:tcW w:w="2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95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w:t>
            </w:r>
          </w:p>
        </w:tc>
        <w:tc>
          <w:tcPr>
            <w:tcW w:w="1700" w:type="dxa"/>
            <w:vAlign w:val="bottom"/>
            <w:gridSpan w:val="11"/>
          </w:tcPr>
          <w:p>
            <w:pPr>
              <w:ind w:left="40"/>
              <w:spacing w:after="0"/>
              <w:rPr>
                <w:sz w:val="20"/>
                <w:szCs w:val="20"/>
                <w:color w:val="auto"/>
              </w:rPr>
            </w:pPr>
            <w:r>
              <w:rPr>
                <w:rFonts w:ascii="Times New Roman" w:cs="Times New Roman" w:eastAsia="Times New Roman" w:hAnsi="Times New Roman"/>
                <w:sz w:val="22"/>
                <w:szCs w:val="22"/>
                <w:color w:val="auto"/>
              </w:rPr>
              <w:t>Capital Adequacy</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97</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96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§5.8</w:t>
            </w:r>
          </w:p>
        </w:tc>
        <w:tc>
          <w:tcPr>
            <w:tcW w:w="2240" w:type="dxa"/>
            <w:vAlign w:val="bottom"/>
            <w:gridSpan w:val="18"/>
          </w:tcPr>
          <w:p>
            <w:pPr>
              <w:ind w:left="40"/>
              <w:spacing w:after="0"/>
              <w:rPr>
                <w:sz w:val="20"/>
                <w:szCs w:val="20"/>
                <w:color w:val="auto"/>
              </w:rPr>
            </w:pPr>
            <w:r>
              <w:rPr>
                <w:rFonts w:ascii="Times New Roman" w:cs="Times New Roman" w:eastAsia="Times New Roman" w:hAnsi="Times New Roman"/>
                <w:sz w:val="22"/>
                <w:szCs w:val="22"/>
                <w:color w:val="auto"/>
              </w:rPr>
              <w:t>Certificate; Limitations</w:t>
            </w:r>
          </w:p>
        </w:tc>
        <w:tc>
          <w:tcPr>
            <w:tcW w:w="2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rPr>
              <w:t>98</w:t>
            </w:r>
          </w:p>
        </w:tc>
        <w:tc>
          <w:tcPr>
            <w:tcW w:w="240" w:type="dxa"/>
            <w:vAlign w:val="bottom"/>
            <w:gridSpan w:val="5"/>
          </w:tcPr>
          <w:p>
            <w:pPr>
              <w:jc w:val="right"/>
              <w:ind w:right="40"/>
              <w:spacing w:after="0"/>
              <w:rPr>
                <w:sz w:val="20"/>
                <w:szCs w:val="20"/>
                <w:color w:val="auto"/>
              </w:rPr>
            </w:pPr>
            <w:r>
              <w:rPr>
                <w:rFonts w:ascii="Times New Roman" w:cs="Times New Roman" w:eastAsia="Times New Roman" w:hAnsi="Times New Roman"/>
                <w:sz w:val="22"/>
                <w:szCs w:val="22"/>
                <w:color w:val="0000FF"/>
                <w:w w:val="81"/>
              </w:rPr>
              <w:t>97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w:t>
            </w:r>
          </w:p>
        </w:tc>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Indemnity</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rPr>
              <w:t>99</w:t>
            </w:r>
          </w:p>
        </w:tc>
        <w:tc>
          <w:tcPr>
            <w:tcW w:w="2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98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§5.10</w:t>
            </w:r>
          </w:p>
        </w:tc>
        <w:tc>
          <w:tcPr>
            <w:tcW w:w="2920" w:type="dxa"/>
            <w:vAlign w:val="bottom"/>
            <w:gridSpan w:val="29"/>
          </w:tcPr>
          <w:p>
            <w:pPr>
              <w:ind w:left="140"/>
              <w:spacing w:after="0"/>
              <w:rPr>
                <w:sz w:val="20"/>
                <w:szCs w:val="20"/>
                <w:color w:val="auto"/>
              </w:rPr>
            </w:pPr>
            <w:r>
              <w:rPr>
                <w:rFonts w:ascii="Times New Roman" w:cs="Times New Roman" w:eastAsia="Times New Roman" w:hAnsi="Times New Roman"/>
                <w:sz w:val="22"/>
                <w:szCs w:val="22"/>
                <w:color w:val="auto"/>
              </w:rPr>
              <w:t>Interest on Overdue Amounts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99</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0000FF"/>
                <w:w w:val="90"/>
              </w:rPr>
              <w:t>98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§5.11</w:t>
            </w:r>
          </w:p>
        </w:tc>
        <w:tc>
          <w:tcPr>
            <w:tcW w:w="1700" w:type="dxa"/>
            <w:vAlign w:val="bottom"/>
            <w:gridSpan w:val="11"/>
          </w:tcPr>
          <w:p>
            <w:pPr>
              <w:ind w:left="140"/>
              <w:spacing w:after="0"/>
              <w:rPr>
                <w:sz w:val="20"/>
                <w:szCs w:val="20"/>
                <w:color w:val="auto"/>
              </w:rPr>
            </w:pPr>
            <w:r>
              <w:rPr>
                <w:rFonts w:ascii="Times New Roman" w:cs="Times New Roman" w:eastAsia="Times New Roman" w:hAnsi="Times New Roman"/>
                <w:sz w:val="22"/>
                <w:szCs w:val="22"/>
                <w:color w:val="auto"/>
              </w:rPr>
              <w:t>Cash Collateral</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81"/>
              </w:rPr>
              <w:t>99</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98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§5.12</w:t>
            </w:r>
          </w:p>
        </w:tc>
        <w:tc>
          <w:tcPr>
            <w:tcW w:w="1900" w:type="dxa"/>
            <w:vAlign w:val="bottom"/>
            <w:gridSpan w:val="14"/>
          </w:tcPr>
          <w:p>
            <w:pPr>
              <w:ind w:left="140"/>
              <w:spacing w:after="0"/>
              <w:rPr>
                <w:sz w:val="20"/>
                <w:szCs w:val="20"/>
                <w:color w:val="auto"/>
              </w:rPr>
            </w:pPr>
            <w:r>
              <w:rPr>
                <w:rFonts w:ascii="Times New Roman" w:cs="Times New Roman" w:eastAsia="Times New Roman" w:hAnsi="Times New Roman"/>
                <w:sz w:val="22"/>
                <w:szCs w:val="22"/>
                <w:color w:val="auto"/>
              </w:rPr>
              <w:t>Delinquent Banks</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6"/>
              </w:rPr>
              <w:t>100</w:t>
            </w:r>
          </w:p>
        </w:tc>
        <w:tc>
          <w:tcPr>
            <w:tcW w:w="2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99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§5.13</w:t>
            </w:r>
          </w:p>
        </w:tc>
        <w:tc>
          <w:tcPr>
            <w:tcW w:w="9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Survival</w:t>
            </w:r>
          </w:p>
        </w:tc>
        <w:tc>
          <w:tcPr>
            <w:tcW w:w="46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rPr>
              <w:t>103</w:t>
            </w:r>
          </w:p>
        </w:tc>
        <w:tc>
          <w:tcPr>
            <w:tcW w:w="3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102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c>
          <w:tcPr>
            <w:tcW w:w="2760" w:type="dxa"/>
            <w:vAlign w:val="bottom"/>
            <w:gridSpan w:val="15"/>
          </w:tcPr>
          <w:p>
            <w:pPr>
              <w:ind w:left="80"/>
              <w:spacing w:after="0"/>
              <w:rPr>
                <w:sz w:val="20"/>
                <w:szCs w:val="20"/>
                <w:color w:val="auto"/>
              </w:rPr>
            </w:pPr>
            <w:r>
              <w:rPr>
                <w:rFonts w:ascii="Times New Roman" w:cs="Times New Roman" w:eastAsia="Times New Roman" w:hAnsi="Times New Roman"/>
                <w:sz w:val="22"/>
                <w:szCs w:val="22"/>
                <w:color w:val="auto"/>
                <w:w w:val="99"/>
              </w:rPr>
              <w:t>RECOURSE OBLIGATIONS</w:t>
            </w:r>
          </w:p>
        </w:tc>
        <w:tc>
          <w:tcPr>
            <w:tcW w:w="120" w:type="dxa"/>
            <w:vAlign w:val="bottom"/>
          </w:tcPr>
          <w:p>
            <w:pPr>
              <w:spacing w:after="0"/>
              <w:rPr>
                <w:sz w:val="24"/>
                <w:szCs w:val="24"/>
                <w:color w:val="auto"/>
              </w:rPr>
            </w:pPr>
          </w:p>
        </w:tc>
        <w:tc>
          <w:tcPr>
            <w:tcW w:w="36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FF0000"/>
                <w:strike w:val="1"/>
                <w:w w:val="90"/>
              </w:rPr>
              <w:t>103</w:t>
            </w:r>
          </w:p>
        </w:tc>
        <w:tc>
          <w:tcPr>
            <w:tcW w:w="3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§7</w:t>
            </w:r>
          </w:p>
        </w:tc>
        <w:tc>
          <w:tcPr>
            <w:tcW w:w="4240" w:type="dxa"/>
            <w:vAlign w:val="bottom"/>
            <w:gridSpan w:val="34"/>
          </w:tcPr>
          <w:p>
            <w:pPr>
              <w:ind w:left="8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103</w:t>
            </w:r>
          </w:p>
        </w:tc>
        <w:tc>
          <w:tcPr>
            <w:tcW w:w="5040" w:type="dxa"/>
            <w:vAlign w:val="bottom"/>
            <w:gridSpan w:val="11"/>
          </w:tcPr>
          <w:p>
            <w:pPr>
              <w:jc w:val="right"/>
              <w:ind w:right="4720"/>
              <w:spacing w:after="0"/>
              <w:rPr>
                <w:sz w:val="20"/>
                <w:szCs w:val="20"/>
                <w:color w:val="auto"/>
              </w:rPr>
            </w:pPr>
            <w:r>
              <w:rPr>
                <w:rFonts w:ascii="Times New Roman" w:cs="Times New Roman" w:eastAsia="Times New Roman" w:hAnsi="Times New Roman"/>
                <w:sz w:val="22"/>
                <w:szCs w:val="22"/>
                <w:color w:val="0000FF"/>
                <w:w w:val="90"/>
              </w:rPr>
              <w:t>102</w:t>
            </w:r>
          </w:p>
        </w:tc>
        <w:tc>
          <w:tcPr>
            <w:tcW w:w="0" w:type="dxa"/>
            <w:vAlign w:val="bottom"/>
          </w:tcPr>
          <w:p>
            <w:pPr>
              <w:spacing w:after="0"/>
              <w:rPr>
                <w:sz w:val="1"/>
                <w:szCs w:val="1"/>
                <w:color w:val="auto"/>
              </w:rPr>
            </w:pPr>
          </w:p>
        </w:tc>
      </w:tr>
      <w:tr>
        <w:trPr>
          <w:trHeight w:val="479"/>
        </w:trPr>
        <w:tc>
          <w:tcPr>
            <w:tcW w:w="32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w:t>
            </w:r>
          </w:p>
        </w:tc>
        <w:tc>
          <w:tcPr>
            <w:tcW w:w="146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rPr>
              <w:t>Authority, Etc</w:t>
            </w:r>
          </w:p>
        </w:tc>
        <w:tc>
          <w:tcPr>
            <w:tcW w:w="3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FF0000"/>
                <w:strike w:val="1"/>
                <w:w w:val="90"/>
              </w:rPr>
              <w:t>103</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102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398" w:right="1440"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47"/>
        </w:trPr>
        <w:tc>
          <w:tcPr>
            <w:tcW w:w="1180" w:type="dxa"/>
            <w:vAlign w:val="bottom"/>
            <w:vMerge w:val="restart"/>
          </w:tcPr>
          <w:p>
            <w:pPr>
              <w:ind w:left="660"/>
              <w:spacing w:after="0"/>
              <w:rPr>
                <w:sz w:val="20"/>
                <w:szCs w:val="20"/>
                <w:color w:val="auto"/>
              </w:rPr>
            </w:pPr>
            <w:r>
              <w:rPr>
                <w:rFonts w:ascii="Times New Roman" w:cs="Times New Roman" w:eastAsia="Times New Roman" w:hAnsi="Times New Roman"/>
                <w:sz w:val="22"/>
                <w:szCs w:val="22"/>
                <w:color w:val="auto"/>
              </w:rPr>
              <w:t>§7.2</w:t>
            </w:r>
          </w:p>
        </w:tc>
        <w:tc>
          <w:tcPr>
            <w:tcW w:w="2280" w:type="dxa"/>
            <w:vAlign w:val="bottom"/>
            <w:gridSpan w:val="15"/>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Governmental Approvals</w:t>
            </w:r>
          </w:p>
        </w:tc>
        <w:tc>
          <w:tcPr>
            <w:tcW w:w="10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26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19"/>
                <w:szCs w:val="19"/>
                <w:color w:val="FF0000"/>
                <w:strike w:val="1"/>
                <w:w w:val="77"/>
              </w:rPr>
              <w:t>105</w:t>
            </w:r>
          </w:p>
        </w:tc>
        <w:tc>
          <w:tcPr>
            <w:tcW w:w="320" w:type="dxa"/>
            <w:vAlign w:val="bottom"/>
            <w:gridSpan w:val="6"/>
            <w:vMerge w:val="restart"/>
          </w:tcPr>
          <w:p>
            <w:pPr>
              <w:spacing w:after="0"/>
              <w:rPr>
                <w:sz w:val="20"/>
                <w:szCs w:val="20"/>
                <w:color w:val="auto"/>
              </w:rPr>
            </w:pPr>
            <w:r>
              <w:rPr>
                <w:rFonts w:ascii="Times New Roman" w:cs="Times New Roman" w:eastAsia="Times New Roman" w:hAnsi="Times New Roman"/>
                <w:sz w:val="22"/>
                <w:szCs w:val="22"/>
                <w:color w:val="0000FF"/>
                <w:w w:val="90"/>
              </w:rPr>
              <w:t>104</w:t>
            </w:r>
          </w:p>
        </w:tc>
        <w:tc>
          <w:tcPr>
            <w:tcW w:w="4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180" w:type="dxa"/>
            <w:vAlign w:val="bottom"/>
            <w:vMerge w:val="continue"/>
          </w:tcPr>
          <w:p>
            <w:pPr>
              <w:spacing w:after="0"/>
              <w:rPr>
                <w:sz w:val="17"/>
                <w:szCs w:val="17"/>
                <w:color w:val="auto"/>
              </w:rPr>
            </w:pPr>
          </w:p>
        </w:tc>
        <w:tc>
          <w:tcPr>
            <w:tcW w:w="2280" w:type="dxa"/>
            <w:vAlign w:val="bottom"/>
            <w:gridSpan w:val="15"/>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60" w:type="dxa"/>
            <w:vAlign w:val="bottom"/>
            <w:gridSpan w:val="6"/>
            <w:vMerge w:val="continue"/>
          </w:tcPr>
          <w:p>
            <w:pPr>
              <w:spacing w:after="0"/>
              <w:rPr>
                <w:sz w:val="17"/>
                <w:szCs w:val="17"/>
                <w:color w:val="auto"/>
              </w:rPr>
            </w:pPr>
          </w:p>
        </w:tc>
        <w:tc>
          <w:tcPr>
            <w:tcW w:w="320" w:type="dxa"/>
            <w:vAlign w:val="bottom"/>
            <w:tcBorders>
              <w:bottom w:val="single" w:sz="8" w:color="0000FF"/>
            </w:tcBorders>
            <w:gridSpan w:val="6"/>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§7.3</w:t>
            </w:r>
          </w:p>
        </w:tc>
        <w:tc>
          <w:tcPr>
            <w:tcW w:w="2050" w:type="dxa"/>
            <w:vAlign w:val="bottom"/>
            <w:gridSpan w:val="13"/>
          </w:tcPr>
          <w:p>
            <w:pPr>
              <w:ind w:left="40"/>
              <w:spacing w:after="0"/>
              <w:rPr>
                <w:sz w:val="20"/>
                <w:szCs w:val="20"/>
                <w:color w:val="auto"/>
              </w:rPr>
            </w:pPr>
            <w:r>
              <w:rPr>
                <w:rFonts w:ascii="Times New Roman" w:cs="Times New Roman" w:eastAsia="Times New Roman" w:hAnsi="Times New Roman"/>
                <w:sz w:val="22"/>
                <w:szCs w:val="22"/>
                <w:color w:val="auto"/>
              </w:rPr>
              <w:t>Ownership of Assets</w:t>
            </w:r>
          </w:p>
        </w:tc>
        <w:tc>
          <w:tcPr>
            <w:tcW w:w="33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0"/>
              </w:rPr>
              <w:t>105</w:t>
            </w:r>
          </w:p>
        </w:tc>
        <w:tc>
          <w:tcPr>
            <w:tcW w:w="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w w:val="90"/>
              </w:rPr>
              <w:t>104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§7.4</w:t>
            </w:r>
          </w:p>
        </w:tc>
        <w:tc>
          <w:tcPr>
            <w:tcW w:w="2050" w:type="dxa"/>
            <w:vAlign w:val="bottom"/>
            <w:gridSpan w:val="13"/>
          </w:tcPr>
          <w:p>
            <w:pPr>
              <w:ind w:left="40"/>
              <w:spacing w:after="0"/>
              <w:rPr>
                <w:sz w:val="20"/>
                <w:szCs w:val="20"/>
                <w:color w:val="auto"/>
              </w:rPr>
            </w:pPr>
            <w:r>
              <w:rPr>
                <w:rFonts w:ascii="Times New Roman" w:cs="Times New Roman" w:eastAsia="Times New Roman" w:hAnsi="Times New Roman"/>
                <w:sz w:val="22"/>
                <w:szCs w:val="22"/>
                <w:color w:val="auto"/>
              </w:rPr>
              <w:t>Financial Statements</w:t>
            </w:r>
          </w:p>
        </w:tc>
        <w:tc>
          <w:tcPr>
            <w:tcW w:w="470" w:type="dxa"/>
            <w:vAlign w:val="bottom"/>
            <w:gridSpan w:val="4"/>
          </w:tcPr>
          <w:p>
            <w:pPr>
              <w:jc w:val="right"/>
              <w:ind w:right="32"/>
              <w:spacing w:after="0"/>
              <w:rPr>
                <w:sz w:val="20"/>
                <w:szCs w:val="20"/>
                <w:color w:val="auto"/>
              </w:rPr>
            </w:pPr>
            <w:r>
              <w:rPr>
                <w:rFonts w:ascii="Times New Roman" w:cs="Times New Roman" w:eastAsia="Times New Roman" w:hAnsi="Times New Roman"/>
                <w:sz w:val="22"/>
                <w:szCs w:val="22"/>
                <w:color w:val="FF0000"/>
                <w:strike w:val="1"/>
                <w:w w:val="90"/>
              </w:rPr>
              <w:t>105</w:t>
            </w:r>
          </w:p>
        </w:tc>
        <w:tc>
          <w:tcPr>
            <w:tcW w:w="220" w:type="dxa"/>
            <w:vAlign w:val="bottom"/>
            <w:gridSpan w:val="4"/>
          </w:tcPr>
          <w:p>
            <w:pPr>
              <w:spacing w:after="0"/>
              <w:rPr>
                <w:sz w:val="20"/>
                <w:szCs w:val="20"/>
                <w:color w:val="auto"/>
              </w:rPr>
            </w:pPr>
            <w:r>
              <w:rPr>
                <w:rFonts w:ascii="Times New Roman" w:cs="Times New Roman" w:eastAsia="Times New Roman" w:hAnsi="Times New Roman"/>
                <w:sz w:val="19"/>
                <w:szCs w:val="19"/>
                <w:color w:val="0000FF"/>
                <w:w w:val="70"/>
              </w:rPr>
              <w:t>104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§7.5</w:t>
            </w:r>
          </w:p>
        </w:tc>
        <w:tc>
          <w:tcPr>
            <w:tcW w:w="2280" w:type="dxa"/>
            <w:vAlign w:val="bottom"/>
            <w:gridSpan w:val="15"/>
          </w:tcPr>
          <w:p>
            <w:pPr>
              <w:ind w:left="40"/>
              <w:spacing w:after="0"/>
              <w:rPr>
                <w:sz w:val="20"/>
                <w:szCs w:val="20"/>
                <w:color w:val="auto"/>
              </w:rPr>
            </w:pPr>
            <w:r>
              <w:rPr>
                <w:rFonts w:ascii="Times New Roman" w:cs="Times New Roman" w:eastAsia="Times New Roman" w:hAnsi="Times New Roman"/>
                <w:sz w:val="22"/>
                <w:szCs w:val="22"/>
                <w:color w:val="auto"/>
                <w:w w:val="97"/>
              </w:rPr>
              <w:t>No Material Changes, Etc</w:t>
            </w:r>
          </w:p>
        </w:tc>
        <w:tc>
          <w:tcPr>
            <w:tcW w:w="240" w:type="dxa"/>
            <w:vAlign w:val="bottom"/>
            <w:gridSpan w:val="2"/>
          </w:tcPr>
          <w:p>
            <w:pPr>
              <w:spacing w:after="0"/>
              <w:rPr>
                <w:sz w:val="24"/>
                <w:szCs w:val="24"/>
                <w:color w:val="auto"/>
              </w:rPr>
            </w:pPr>
          </w:p>
        </w:tc>
        <w:tc>
          <w:tcPr>
            <w:tcW w:w="32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FF0000"/>
                <w:strike w:val="1"/>
                <w:w w:val="84"/>
              </w:rPr>
              <w:t>105</w:t>
            </w: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0000FF"/>
                <w:w w:val="84"/>
              </w:rPr>
              <w:t>104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§7.6</w:t>
            </w:r>
          </w:p>
        </w:tc>
        <w:tc>
          <w:tcPr>
            <w:tcW w:w="3320" w:type="dxa"/>
            <w:vAlign w:val="bottom"/>
            <w:gridSpan w:val="31"/>
          </w:tcPr>
          <w:p>
            <w:pPr>
              <w:ind w:left="40"/>
              <w:spacing w:after="0"/>
              <w:rPr>
                <w:sz w:val="20"/>
                <w:szCs w:val="20"/>
                <w:color w:val="auto"/>
              </w:rPr>
            </w:pPr>
            <w:r>
              <w:rPr>
                <w:rFonts w:ascii="Times New Roman" w:cs="Times New Roman" w:eastAsia="Times New Roman" w:hAnsi="Times New Roman"/>
                <w:sz w:val="22"/>
                <w:szCs w:val="22"/>
                <w:color w:val="auto"/>
              </w:rPr>
              <w:t>Franchises, Patents, Copyrights, Etc</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rPr>
              <w:t>105</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104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§7.7</w:t>
            </w:r>
          </w:p>
        </w:tc>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Litigation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106</w:t>
            </w: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6"/>
              </w:rPr>
              <w:t>104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§7.8</w:t>
            </w:r>
          </w:p>
        </w:tc>
        <w:tc>
          <w:tcPr>
            <w:tcW w:w="3320" w:type="dxa"/>
            <w:vAlign w:val="bottom"/>
            <w:gridSpan w:val="31"/>
          </w:tcPr>
          <w:p>
            <w:pPr>
              <w:ind w:left="40"/>
              <w:spacing w:after="0"/>
              <w:rPr>
                <w:sz w:val="20"/>
                <w:szCs w:val="20"/>
                <w:color w:val="auto"/>
              </w:rPr>
            </w:pPr>
            <w:r>
              <w:rPr>
                <w:rFonts w:ascii="Times New Roman" w:cs="Times New Roman" w:eastAsia="Times New Roman" w:hAnsi="Times New Roman"/>
                <w:sz w:val="22"/>
                <w:szCs w:val="22"/>
                <w:color w:val="auto"/>
                <w:w w:val="97"/>
              </w:rPr>
              <w:t>No Materially Adverse Contracts, Etc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0"/>
              </w:rPr>
              <w:t>106</w:t>
            </w: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22"/>
                <w:szCs w:val="22"/>
                <w:color w:val="0000FF"/>
                <w:w w:val="96"/>
              </w:rPr>
              <w:t>105</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§7.9</w:t>
            </w:r>
          </w:p>
        </w:tc>
        <w:tc>
          <w:tcPr>
            <w:tcW w:w="4360" w:type="dxa"/>
            <w:vAlign w:val="bottom"/>
            <w:gridSpan w:val="39"/>
          </w:tcPr>
          <w:p>
            <w:pPr>
              <w:ind w:left="40"/>
              <w:spacing w:after="0"/>
              <w:rPr>
                <w:sz w:val="20"/>
                <w:szCs w:val="20"/>
                <w:color w:val="auto"/>
              </w:rPr>
            </w:pPr>
            <w:r>
              <w:rPr>
                <w:rFonts w:ascii="Times New Roman" w:cs="Times New Roman" w:eastAsia="Times New Roman" w:hAnsi="Times New Roman"/>
                <w:sz w:val="22"/>
                <w:szCs w:val="22"/>
                <w:color w:val="auto"/>
              </w:rPr>
              <w:t>Compliance With Other Instruments, Laws, Etc</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106</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0000FF"/>
                <w:w w:val="96"/>
              </w:rPr>
              <w:t>105</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§7.10</w:t>
            </w:r>
          </w:p>
        </w:tc>
        <w:tc>
          <w:tcPr>
            <w:tcW w:w="11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Tax Status</w:t>
            </w:r>
          </w:p>
        </w:tc>
        <w:tc>
          <w:tcPr>
            <w:tcW w:w="48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rPr>
              <w:t>106</w:t>
            </w: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6"/>
              </w:rPr>
              <w:t>105</w:t>
            </w:r>
          </w:p>
        </w:tc>
        <w:tc>
          <w:tcPr>
            <w:tcW w:w="8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§7.11</w:t>
            </w:r>
          </w:p>
        </w:tc>
        <w:tc>
          <w:tcPr>
            <w:tcW w:w="2050" w:type="dxa"/>
            <w:vAlign w:val="bottom"/>
            <w:gridSpan w:val="13"/>
          </w:tcPr>
          <w:p>
            <w:pPr>
              <w:ind w:left="140"/>
              <w:spacing w:after="0"/>
              <w:rPr>
                <w:sz w:val="20"/>
                <w:szCs w:val="20"/>
                <w:color w:val="auto"/>
              </w:rPr>
            </w:pPr>
            <w:r>
              <w:rPr>
                <w:rFonts w:ascii="Times New Roman" w:cs="Times New Roman" w:eastAsia="Times New Roman" w:hAnsi="Times New Roman"/>
                <w:sz w:val="22"/>
                <w:szCs w:val="22"/>
                <w:color w:val="auto"/>
              </w:rPr>
              <w:t>No Event of Default</w:t>
            </w:r>
          </w:p>
        </w:tc>
        <w:tc>
          <w:tcPr>
            <w:tcW w:w="470" w:type="dxa"/>
            <w:vAlign w:val="bottom"/>
            <w:gridSpan w:val="4"/>
          </w:tcPr>
          <w:p>
            <w:pPr>
              <w:ind w:left="70"/>
              <w:spacing w:after="0"/>
              <w:rPr>
                <w:sz w:val="20"/>
                <w:szCs w:val="20"/>
                <w:color w:val="auto"/>
              </w:rPr>
            </w:pPr>
            <w:r>
              <w:rPr>
                <w:rFonts w:ascii="Times New Roman" w:cs="Times New Roman" w:eastAsia="Times New Roman" w:hAnsi="Times New Roman"/>
                <w:sz w:val="22"/>
                <w:szCs w:val="22"/>
                <w:color w:val="FF0000"/>
                <w:strike w:val="1"/>
              </w:rPr>
              <w:t>107</w:t>
            </w:r>
          </w:p>
        </w:tc>
        <w:tc>
          <w:tcPr>
            <w:tcW w:w="2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9"/>
                <w:szCs w:val="19"/>
                <w:color w:val="0000FF"/>
                <w:w w:val="77"/>
              </w:rPr>
              <w:t>105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§7.12</w:t>
            </w:r>
          </w:p>
        </w:tc>
        <w:tc>
          <w:tcPr>
            <w:tcW w:w="2660" w:type="dxa"/>
            <w:vAlign w:val="bottom"/>
            <w:gridSpan w:val="19"/>
          </w:tcPr>
          <w:p>
            <w:pPr>
              <w:ind w:left="140"/>
              <w:spacing w:after="0"/>
              <w:rPr>
                <w:sz w:val="20"/>
                <w:szCs w:val="20"/>
                <w:color w:val="auto"/>
              </w:rPr>
            </w:pPr>
            <w:r>
              <w:rPr>
                <w:rFonts w:ascii="Times New Roman" w:cs="Times New Roman" w:eastAsia="Times New Roman" w:hAnsi="Times New Roman"/>
                <w:sz w:val="22"/>
                <w:szCs w:val="22"/>
                <w:color w:val="auto"/>
              </w:rPr>
              <w:t>Investment Company Acts</w:t>
            </w:r>
          </w:p>
        </w:tc>
        <w:tc>
          <w:tcPr>
            <w:tcW w:w="32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FF0000"/>
                <w:strike w:val="1"/>
                <w:w w:val="90"/>
              </w:rPr>
              <w:t>107</w:t>
            </w: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6"/>
              </w:rPr>
              <w:t>105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§7.13</w:t>
            </w:r>
          </w:p>
        </w:tc>
        <w:tc>
          <w:tcPr>
            <w:tcW w:w="3000" w:type="dxa"/>
            <w:vAlign w:val="bottom"/>
            <w:gridSpan w:val="27"/>
          </w:tcPr>
          <w:p>
            <w:pPr>
              <w:ind w:left="140"/>
              <w:spacing w:after="0"/>
              <w:rPr>
                <w:sz w:val="20"/>
                <w:szCs w:val="20"/>
                <w:color w:val="auto"/>
              </w:rPr>
            </w:pPr>
            <w:r>
              <w:rPr>
                <w:rFonts w:ascii="Times New Roman" w:cs="Times New Roman" w:eastAsia="Times New Roman" w:hAnsi="Times New Roman"/>
                <w:sz w:val="22"/>
                <w:szCs w:val="22"/>
                <w:color w:val="auto"/>
              </w:rPr>
              <w:t>Affected Financial Institutions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0"/>
              </w:rPr>
              <w:t>107</w:t>
            </w:r>
          </w:p>
        </w:tc>
        <w:tc>
          <w:tcPr>
            <w:tcW w:w="1900" w:type="dxa"/>
            <w:vAlign w:val="bottom"/>
            <w:gridSpan w:val="11"/>
          </w:tcPr>
          <w:p>
            <w:pPr>
              <w:jc w:val="right"/>
              <w:ind w:right="1580"/>
              <w:spacing w:after="0"/>
              <w:rPr>
                <w:sz w:val="20"/>
                <w:szCs w:val="20"/>
                <w:color w:val="auto"/>
              </w:rPr>
            </w:pPr>
            <w:r>
              <w:rPr>
                <w:rFonts w:ascii="Times New Roman" w:cs="Times New Roman" w:eastAsia="Times New Roman" w:hAnsi="Times New Roman"/>
                <w:sz w:val="22"/>
                <w:szCs w:val="22"/>
                <w:color w:val="0000FF"/>
                <w:w w:val="90"/>
              </w:rPr>
              <w:t>105</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§7.14</w:t>
            </w:r>
          </w:p>
        </w:tc>
        <w:tc>
          <w:tcPr>
            <w:tcW w:w="11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Solvency</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rPr>
              <w:t>107</w:t>
            </w: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6"/>
              </w:rPr>
              <w:t>106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§7.15</w:t>
            </w:r>
          </w:p>
        </w:tc>
        <w:tc>
          <w:tcPr>
            <w:tcW w:w="2050" w:type="dxa"/>
            <w:vAlign w:val="bottom"/>
            <w:gridSpan w:val="13"/>
          </w:tcPr>
          <w:p>
            <w:pPr>
              <w:ind w:left="140"/>
              <w:spacing w:after="0"/>
              <w:rPr>
                <w:sz w:val="20"/>
                <w:szCs w:val="20"/>
                <w:color w:val="auto"/>
              </w:rPr>
            </w:pPr>
            <w:r>
              <w:rPr>
                <w:rFonts w:ascii="Times New Roman" w:cs="Times New Roman" w:eastAsia="Times New Roman" w:hAnsi="Times New Roman"/>
                <w:sz w:val="22"/>
                <w:szCs w:val="22"/>
                <w:color w:val="auto"/>
              </w:rPr>
              <w:t>Intentionally Deleted</w:t>
            </w:r>
          </w:p>
        </w:tc>
        <w:tc>
          <w:tcPr>
            <w:tcW w:w="70" w:type="dxa"/>
            <w:vAlign w:val="bottom"/>
          </w:tcPr>
          <w:p>
            <w:pPr>
              <w:spacing w:after="0"/>
              <w:rPr>
                <w:sz w:val="24"/>
                <w:szCs w:val="24"/>
                <w:color w:val="auto"/>
              </w:rPr>
            </w:pPr>
          </w:p>
        </w:tc>
        <w:tc>
          <w:tcPr>
            <w:tcW w:w="4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FF0000"/>
                <w:strike w:val="1"/>
                <w:w w:val="84"/>
              </w:rPr>
              <w:t>107</w:t>
            </w:r>
          </w:p>
        </w:tc>
        <w:tc>
          <w:tcPr>
            <w:tcW w:w="32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2"/>
                <w:szCs w:val="22"/>
                <w:color w:val="0000FF"/>
                <w:w w:val="90"/>
              </w:rPr>
              <w:t>106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§7.16</w:t>
            </w:r>
          </w:p>
        </w:tc>
        <w:tc>
          <w:tcPr>
            <w:tcW w:w="2050" w:type="dxa"/>
            <w:vAlign w:val="bottom"/>
            <w:gridSpan w:val="13"/>
          </w:tcPr>
          <w:p>
            <w:pPr>
              <w:ind w:left="140"/>
              <w:spacing w:after="0"/>
              <w:rPr>
                <w:sz w:val="20"/>
                <w:szCs w:val="20"/>
                <w:color w:val="auto"/>
              </w:rPr>
            </w:pPr>
            <w:r>
              <w:rPr>
                <w:rFonts w:ascii="Times New Roman" w:cs="Times New Roman" w:eastAsia="Times New Roman" w:hAnsi="Times New Roman"/>
                <w:sz w:val="22"/>
                <w:szCs w:val="22"/>
                <w:color w:val="auto"/>
              </w:rPr>
              <w:t>ERISA Compliance</w:t>
            </w:r>
          </w:p>
        </w:tc>
        <w:tc>
          <w:tcPr>
            <w:tcW w:w="470" w:type="dxa"/>
            <w:vAlign w:val="bottom"/>
            <w:gridSpan w:val="4"/>
          </w:tcPr>
          <w:p>
            <w:pPr>
              <w:jc w:val="right"/>
              <w:ind w:right="12"/>
              <w:spacing w:after="0"/>
              <w:rPr>
                <w:sz w:val="20"/>
                <w:szCs w:val="20"/>
                <w:color w:val="auto"/>
              </w:rPr>
            </w:pPr>
            <w:r>
              <w:rPr>
                <w:rFonts w:ascii="Times New Roman" w:cs="Times New Roman" w:eastAsia="Times New Roman" w:hAnsi="Times New Roman"/>
                <w:sz w:val="22"/>
                <w:szCs w:val="22"/>
                <w:color w:val="FF0000"/>
                <w:strike w:val="1"/>
                <w:w w:val="96"/>
              </w:rPr>
              <w:t>107</w:t>
            </w:r>
          </w:p>
        </w:tc>
        <w:tc>
          <w:tcPr>
            <w:tcW w:w="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9"/>
                <w:szCs w:val="19"/>
                <w:color w:val="0000FF"/>
                <w:w w:val="70"/>
              </w:rPr>
              <w:t>106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§7.17</w:t>
            </w:r>
          </w:p>
        </w:tc>
        <w:tc>
          <w:tcPr>
            <w:tcW w:w="2050" w:type="dxa"/>
            <w:vAlign w:val="bottom"/>
            <w:gridSpan w:val="13"/>
          </w:tcPr>
          <w:p>
            <w:pPr>
              <w:ind w:left="140"/>
              <w:spacing w:after="0"/>
              <w:rPr>
                <w:sz w:val="20"/>
                <w:szCs w:val="20"/>
                <w:color w:val="auto"/>
              </w:rPr>
            </w:pPr>
            <w:r>
              <w:rPr>
                <w:rFonts w:ascii="Times New Roman" w:cs="Times New Roman" w:eastAsia="Times New Roman" w:hAnsi="Times New Roman"/>
                <w:sz w:val="22"/>
                <w:szCs w:val="22"/>
                <w:color w:val="auto"/>
              </w:rPr>
              <w:t>Regulations U and X</w:t>
            </w:r>
          </w:p>
        </w:tc>
        <w:tc>
          <w:tcPr>
            <w:tcW w:w="7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108</w:t>
            </w:r>
          </w:p>
        </w:tc>
        <w:tc>
          <w:tcPr>
            <w:tcW w:w="32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2"/>
                <w:szCs w:val="22"/>
                <w:color w:val="0000FF"/>
                <w:w w:val="84"/>
              </w:rPr>
              <w:t>107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§7.18</w:t>
            </w:r>
          </w:p>
        </w:tc>
        <w:tc>
          <w:tcPr>
            <w:tcW w:w="2660" w:type="dxa"/>
            <w:vAlign w:val="bottom"/>
            <w:gridSpan w:val="19"/>
          </w:tcPr>
          <w:p>
            <w:pPr>
              <w:ind w:left="140"/>
              <w:spacing w:after="0"/>
              <w:rPr>
                <w:sz w:val="20"/>
                <w:szCs w:val="20"/>
                <w:color w:val="auto"/>
              </w:rPr>
            </w:pPr>
            <w:r>
              <w:rPr>
                <w:rFonts w:ascii="Times New Roman" w:cs="Times New Roman" w:eastAsia="Times New Roman" w:hAnsi="Times New Roman"/>
                <w:sz w:val="22"/>
                <w:szCs w:val="22"/>
                <w:color w:val="auto"/>
              </w:rPr>
              <w:t>Environmental Compliance</w:t>
            </w:r>
          </w:p>
        </w:tc>
        <w:tc>
          <w:tcPr>
            <w:tcW w:w="80" w:type="dxa"/>
            <w:vAlign w:val="bottom"/>
            <w:gridSpan w:val="2"/>
          </w:tcPr>
          <w:p>
            <w:pPr>
              <w:spacing w:after="0"/>
              <w:rPr>
                <w:sz w:val="24"/>
                <w:szCs w:val="24"/>
                <w:color w:val="auto"/>
              </w:rPr>
            </w:pPr>
          </w:p>
        </w:tc>
        <w:tc>
          <w:tcPr>
            <w:tcW w:w="320" w:type="dxa"/>
            <w:vAlign w:val="bottom"/>
            <w:gridSpan w:val="7"/>
          </w:tcPr>
          <w:p>
            <w:pPr>
              <w:spacing w:after="0"/>
              <w:rPr>
                <w:sz w:val="20"/>
                <w:szCs w:val="20"/>
                <w:color w:val="auto"/>
              </w:rPr>
            </w:pPr>
            <w:r>
              <w:rPr>
                <w:rFonts w:ascii="Times New Roman" w:cs="Times New Roman" w:eastAsia="Times New Roman" w:hAnsi="Times New Roman"/>
                <w:sz w:val="22"/>
                <w:szCs w:val="22"/>
                <w:color w:val="FF0000"/>
                <w:strike w:val="1"/>
                <w:w w:val="90"/>
              </w:rPr>
              <w:t>108</w:t>
            </w:r>
          </w:p>
        </w:tc>
        <w:tc>
          <w:tcPr>
            <w:tcW w:w="460" w:type="dxa"/>
            <w:vAlign w:val="bottom"/>
            <w:gridSpan w:val="5"/>
          </w:tcPr>
          <w:p>
            <w:pPr>
              <w:jc w:val="right"/>
              <w:ind w:right="120"/>
              <w:spacing w:after="0"/>
              <w:rPr>
                <w:sz w:val="20"/>
                <w:szCs w:val="20"/>
                <w:color w:val="auto"/>
              </w:rPr>
            </w:pPr>
            <w:r>
              <w:rPr>
                <w:rFonts w:ascii="Times New Roman" w:cs="Times New Roman" w:eastAsia="Times New Roman" w:hAnsi="Times New Roman"/>
                <w:sz w:val="22"/>
                <w:szCs w:val="22"/>
                <w:color w:val="0000FF"/>
                <w:w w:val="96"/>
              </w:rPr>
              <w:t>107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§7.19</w:t>
            </w:r>
          </w:p>
        </w:tc>
        <w:tc>
          <w:tcPr>
            <w:tcW w:w="11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OFAC</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110</w:t>
            </w:r>
          </w:p>
        </w:tc>
        <w:tc>
          <w:tcPr>
            <w:tcW w:w="3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109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§7.20</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Disclosures</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110</w:t>
            </w:r>
          </w:p>
        </w:tc>
        <w:tc>
          <w:tcPr>
            <w:tcW w:w="370" w:type="dxa"/>
            <w:vAlign w:val="bottom"/>
            <w:gridSpan w:val="6"/>
          </w:tcPr>
          <w:p>
            <w:pPr>
              <w:jc w:val="right"/>
              <w:ind w:right="50"/>
              <w:spacing w:after="0"/>
              <w:rPr>
                <w:sz w:val="20"/>
                <w:szCs w:val="20"/>
                <w:color w:val="auto"/>
              </w:rPr>
            </w:pPr>
            <w:r>
              <w:rPr>
                <w:rFonts w:ascii="Times New Roman" w:cs="Times New Roman" w:eastAsia="Times New Roman" w:hAnsi="Times New Roman"/>
                <w:sz w:val="22"/>
                <w:szCs w:val="22"/>
                <w:color w:val="0000FF"/>
                <w:w w:val="90"/>
              </w:rPr>
              <w:t>109</w:t>
            </w:r>
          </w:p>
        </w:tc>
        <w:tc>
          <w:tcPr>
            <w:tcW w:w="7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§7.21</w:t>
            </w:r>
          </w:p>
        </w:tc>
        <w:tc>
          <w:tcPr>
            <w:tcW w:w="2280" w:type="dxa"/>
            <w:vAlign w:val="bottom"/>
            <w:gridSpan w:val="15"/>
          </w:tcPr>
          <w:p>
            <w:pPr>
              <w:ind w:left="140"/>
              <w:spacing w:after="0"/>
              <w:rPr>
                <w:sz w:val="20"/>
                <w:szCs w:val="20"/>
                <w:color w:val="auto"/>
              </w:rPr>
            </w:pPr>
            <w:r>
              <w:rPr>
                <w:rFonts w:ascii="Times New Roman" w:cs="Times New Roman" w:eastAsia="Times New Roman" w:hAnsi="Times New Roman"/>
                <w:sz w:val="22"/>
                <w:szCs w:val="22"/>
                <w:color w:val="auto"/>
              </w:rPr>
              <w:t>Anti-Corruption Laws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110</w:t>
            </w:r>
          </w:p>
        </w:tc>
        <w:tc>
          <w:tcPr>
            <w:tcW w:w="380" w:type="dxa"/>
            <w:vAlign w:val="bottom"/>
            <w:gridSpan w:val="8"/>
          </w:tcPr>
          <w:p>
            <w:pPr>
              <w:jc w:val="right"/>
              <w:ind w:right="60"/>
              <w:spacing w:after="0"/>
              <w:rPr>
                <w:sz w:val="20"/>
                <w:szCs w:val="20"/>
                <w:color w:val="auto"/>
              </w:rPr>
            </w:pPr>
            <w:r>
              <w:rPr>
                <w:rFonts w:ascii="Times New Roman" w:cs="Times New Roman" w:eastAsia="Times New Roman" w:hAnsi="Times New Roman"/>
                <w:sz w:val="22"/>
                <w:szCs w:val="22"/>
                <w:color w:val="0000FF"/>
                <w:w w:val="90"/>
              </w:rPr>
              <w:t>109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§7.22</w:t>
            </w:r>
          </w:p>
        </w:tc>
        <w:tc>
          <w:tcPr>
            <w:tcW w:w="2280" w:type="dxa"/>
            <w:vAlign w:val="bottom"/>
            <w:gridSpan w:val="15"/>
          </w:tcPr>
          <w:p>
            <w:pPr>
              <w:ind w:left="140"/>
              <w:spacing w:after="0"/>
              <w:rPr>
                <w:sz w:val="20"/>
                <w:szCs w:val="20"/>
                <w:color w:val="auto"/>
              </w:rPr>
            </w:pPr>
            <w:r>
              <w:rPr>
                <w:rFonts w:ascii="Times New Roman" w:cs="Times New Roman" w:eastAsia="Times New Roman" w:hAnsi="Times New Roman"/>
                <w:sz w:val="22"/>
                <w:szCs w:val="22"/>
                <w:color w:val="auto"/>
                <w:w w:val="98"/>
              </w:rPr>
              <w:t>Anti-Money Laundering</w:t>
            </w:r>
          </w:p>
        </w:tc>
        <w:tc>
          <w:tcPr>
            <w:tcW w:w="240" w:type="dxa"/>
            <w:vAlign w:val="bottom"/>
            <w:gridSpan w:val="2"/>
          </w:tcPr>
          <w:p>
            <w:pPr>
              <w:spacing w:after="0"/>
              <w:rPr>
                <w:sz w:val="24"/>
                <w:szCs w:val="24"/>
                <w:color w:val="auto"/>
              </w:rPr>
            </w:pPr>
          </w:p>
        </w:tc>
        <w:tc>
          <w:tcPr>
            <w:tcW w:w="32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FF0000"/>
                <w:strike w:val="1"/>
                <w:w w:val="78"/>
              </w:rPr>
              <w:t>110</w:t>
            </w:r>
          </w:p>
        </w:tc>
        <w:tc>
          <w:tcPr>
            <w:tcW w:w="300" w:type="dxa"/>
            <w:vAlign w:val="bottom"/>
            <w:tcBorders>
              <w:bottom w:val="single" w:sz="8" w:color="0000FF"/>
            </w:tcBorders>
            <w:gridSpan w:val="6"/>
          </w:tcPr>
          <w:p>
            <w:pPr>
              <w:jc w:val="right"/>
              <w:ind w:right="20"/>
              <w:spacing w:after="0"/>
              <w:rPr>
                <w:sz w:val="20"/>
                <w:szCs w:val="20"/>
                <w:color w:val="auto"/>
              </w:rPr>
            </w:pPr>
            <w:r>
              <w:rPr>
                <w:rFonts w:ascii="Times New Roman" w:cs="Times New Roman" w:eastAsia="Times New Roman" w:hAnsi="Times New Roman"/>
                <w:sz w:val="22"/>
                <w:szCs w:val="22"/>
                <w:color w:val="0000FF"/>
                <w:w w:val="78"/>
              </w:rPr>
              <w:t>109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400" w:type="dxa"/>
            <w:vAlign w:val="bottom"/>
            <w:gridSpan w:val="43"/>
          </w:tcPr>
          <w:p>
            <w:pPr>
              <w:jc w:val="right"/>
              <w:ind w:right="200"/>
              <w:spacing w:after="0"/>
              <w:rPr>
                <w:sz w:val="20"/>
                <w:szCs w:val="20"/>
                <w:color w:val="auto"/>
              </w:rPr>
            </w:pPr>
            <w:r>
              <w:rPr>
                <w:rFonts w:ascii="Times New Roman" w:cs="Times New Roman" w:eastAsia="Times New Roman" w:hAnsi="Times New Roman"/>
                <w:sz w:val="22"/>
                <w:szCs w:val="22"/>
                <w:color w:val="auto"/>
                <w:w w:val="98"/>
              </w:rPr>
              <w:t>§8  AFFIRMATIVE COVENANTS OF THE BORROWER AND BPI</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111</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109</w:t>
            </w:r>
          </w:p>
        </w:tc>
        <w:tc>
          <w:tcPr>
            <w:tcW w:w="0" w:type="dxa"/>
            <w:vAlign w:val="bottom"/>
          </w:tcPr>
          <w:p>
            <w:pPr>
              <w:spacing w:after="0"/>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w:t>
            </w:r>
          </w:p>
        </w:tc>
        <w:tc>
          <w:tcPr>
            <w:tcW w:w="1820" w:type="dxa"/>
            <w:vAlign w:val="bottom"/>
            <w:gridSpan w:val="10"/>
          </w:tcPr>
          <w:p>
            <w:pPr>
              <w:ind w:left="40"/>
              <w:spacing w:after="0"/>
              <w:rPr>
                <w:sz w:val="20"/>
                <w:szCs w:val="20"/>
                <w:color w:val="auto"/>
              </w:rPr>
            </w:pPr>
            <w:r>
              <w:rPr>
                <w:rFonts w:ascii="Times New Roman" w:cs="Times New Roman" w:eastAsia="Times New Roman" w:hAnsi="Times New Roman"/>
                <w:sz w:val="22"/>
                <w:szCs w:val="22"/>
                <w:color w:val="auto"/>
              </w:rPr>
              <w:t>Punctual Payment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84"/>
              </w:rPr>
              <w:t>111</w:t>
            </w:r>
          </w:p>
        </w:tc>
        <w:tc>
          <w:tcPr>
            <w:tcW w:w="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rPr>
              <w:t>109</w:t>
            </w:r>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§8.2</w:t>
            </w:r>
          </w:p>
        </w:tc>
        <w:tc>
          <w:tcPr>
            <w:tcW w:w="2050" w:type="dxa"/>
            <w:vAlign w:val="bottom"/>
            <w:gridSpan w:val="13"/>
          </w:tcPr>
          <w:p>
            <w:pPr>
              <w:ind w:left="40"/>
              <w:spacing w:after="0"/>
              <w:rPr>
                <w:sz w:val="20"/>
                <w:szCs w:val="20"/>
                <w:color w:val="auto"/>
              </w:rPr>
            </w:pPr>
            <w:r>
              <w:rPr>
                <w:rFonts w:ascii="Times New Roman" w:cs="Times New Roman" w:eastAsia="Times New Roman" w:hAnsi="Times New Roman"/>
                <w:sz w:val="22"/>
                <w:szCs w:val="22"/>
                <w:color w:val="auto"/>
              </w:rPr>
              <w:t>Maintenance of Office</w:t>
            </w:r>
          </w:p>
        </w:tc>
        <w:tc>
          <w:tcPr>
            <w:tcW w:w="70" w:type="dxa"/>
            <w:vAlign w:val="bottom"/>
          </w:tcPr>
          <w:p>
            <w:pPr>
              <w:spacing w:after="0"/>
              <w:rPr>
                <w:sz w:val="24"/>
                <w:szCs w:val="24"/>
                <w:color w:val="auto"/>
              </w:rPr>
            </w:pPr>
          </w:p>
        </w:tc>
        <w:tc>
          <w:tcPr>
            <w:tcW w:w="4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FF0000"/>
                <w:strike w:val="1"/>
                <w:w w:val="84"/>
              </w:rPr>
              <w:t>111</w:t>
            </w:r>
          </w:p>
        </w:tc>
        <w:tc>
          <w:tcPr>
            <w:tcW w:w="32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2"/>
                <w:szCs w:val="22"/>
                <w:color w:val="0000FF"/>
                <w:w w:val="84"/>
              </w:rPr>
              <w:t>110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§8.3</w:t>
            </w:r>
          </w:p>
        </w:tc>
        <w:tc>
          <w:tcPr>
            <w:tcW w:w="2050" w:type="dxa"/>
            <w:vAlign w:val="bottom"/>
            <w:gridSpan w:val="13"/>
          </w:tcPr>
          <w:p>
            <w:pPr>
              <w:ind w:left="40"/>
              <w:spacing w:after="0"/>
              <w:rPr>
                <w:sz w:val="20"/>
                <w:szCs w:val="20"/>
                <w:color w:val="auto"/>
              </w:rPr>
            </w:pPr>
            <w:r>
              <w:rPr>
                <w:rFonts w:ascii="Times New Roman" w:cs="Times New Roman" w:eastAsia="Times New Roman" w:hAnsi="Times New Roman"/>
                <w:sz w:val="22"/>
                <w:szCs w:val="22"/>
                <w:color w:val="auto"/>
              </w:rPr>
              <w:t>Records and Accounts</w:t>
            </w:r>
          </w:p>
        </w:tc>
        <w:tc>
          <w:tcPr>
            <w:tcW w:w="70" w:type="dxa"/>
            <w:vAlign w:val="bottom"/>
          </w:tcPr>
          <w:p>
            <w:pPr>
              <w:spacing w:after="0"/>
              <w:rPr>
                <w:sz w:val="24"/>
                <w:szCs w:val="24"/>
                <w:color w:val="auto"/>
              </w:rPr>
            </w:pPr>
          </w:p>
        </w:tc>
        <w:tc>
          <w:tcPr>
            <w:tcW w:w="4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FF0000"/>
                <w:strike w:val="1"/>
                <w:w w:val="84"/>
              </w:rPr>
              <w:t>111</w:t>
            </w:r>
          </w:p>
        </w:tc>
        <w:tc>
          <w:tcPr>
            <w:tcW w:w="32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2"/>
                <w:szCs w:val="22"/>
                <w:color w:val="0000FF"/>
                <w:w w:val="84"/>
              </w:rPr>
              <w:t>110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398" w:right="1440"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47"/>
        </w:trPr>
        <w:tc>
          <w:tcPr>
            <w:tcW w:w="1180" w:type="dxa"/>
            <w:vAlign w:val="bottom"/>
            <w:vMerge w:val="restart"/>
          </w:tcPr>
          <w:p>
            <w:pPr>
              <w:ind w:left="660"/>
              <w:spacing w:after="0"/>
              <w:rPr>
                <w:sz w:val="20"/>
                <w:szCs w:val="20"/>
                <w:color w:val="auto"/>
              </w:rPr>
            </w:pPr>
            <w:r>
              <w:rPr>
                <w:rFonts w:ascii="Times New Roman" w:cs="Times New Roman" w:eastAsia="Times New Roman" w:hAnsi="Times New Roman"/>
                <w:sz w:val="22"/>
                <w:szCs w:val="22"/>
                <w:color w:val="auto"/>
              </w:rPr>
              <w:t>§8.4</w:t>
            </w:r>
          </w:p>
        </w:tc>
        <w:tc>
          <w:tcPr>
            <w:tcW w:w="4600" w:type="dxa"/>
            <w:vAlign w:val="bottom"/>
            <w:gridSpan w:val="39"/>
            <w:vMerge w:val="restart"/>
          </w:tcPr>
          <w:p>
            <w:pPr>
              <w:ind w:left="40"/>
              <w:spacing w:after="0"/>
              <w:rPr>
                <w:sz w:val="20"/>
                <w:szCs w:val="20"/>
                <w:color w:val="auto"/>
              </w:rPr>
            </w:pPr>
            <w:r>
              <w:rPr>
                <w:rFonts w:ascii="Times New Roman" w:cs="Times New Roman" w:eastAsia="Times New Roman" w:hAnsi="Times New Roman"/>
                <w:sz w:val="22"/>
                <w:szCs w:val="22"/>
                <w:color w:val="auto"/>
              </w:rPr>
              <w:t>Financial Statements, Certificates and Information</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111</w:t>
            </w:r>
          </w:p>
        </w:tc>
        <w:tc>
          <w:tcPr>
            <w:tcW w:w="3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2"/>
                <w:szCs w:val="22"/>
                <w:color w:val="0000FF"/>
                <w:w w:val="90"/>
              </w:rPr>
              <w:t>110</w:t>
            </w:r>
          </w:p>
        </w:tc>
        <w:tc>
          <w:tcPr>
            <w:tcW w:w="30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4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180" w:type="dxa"/>
            <w:vAlign w:val="bottom"/>
            <w:vMerge w:val="continue"/>
          </w:tcPr>
          <w:p>
            <w:pPr>
              <w:spacing w:after="0"/>
              <w:rPr>
                <w:sz w:val="17"/>
                <w:szCs w:val="17"/>
                <w:color w:val="auto"/>
              </w:rPr>
            </w:pPr>
          </w:p>
        </w:tc>
        <w:tc>
          <w:tcPr>
            <w:tcW w:w="4600" w:type="dxa"/>
            <w:vAlign w:val="bottom"/>
            <w:gridSpan w:val="39"/>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80" w:type="dxa"/>
            <w:vAlign w:val="bottom"/>
            <w:gridSpan w:val="3"/>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§8.5</w:t>
            </w:r>
          </w:p>
        </w:tc>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Notices</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rPr>
              <w:t>113</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112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§8.6</w:t>
            </w:r>
          </w:p>
        </w:tc>
        <w:tc>
          <w:tcPr>
            <w:tcW w:w="4600" w:type="dxa"/>
            <w:vAlign w:val="bottom"/>
            <w:gridSpan w:val="39"/>
          </w:tcPr>
          <w:p>
            <w:pPr>
              <w:ind w:left="40"/>
              <w:spacing w:after="0"/>
              <w:rPr>
                <w:sz w:val="20"/>
                <w:szCs w:val="20"/>
                <w:color w:val="auto"/>
              </w:rPr>
            </w:pPr>
            <w:r>
              <w:rPr>
                <w:rFonts w:ascii="Times New Roman" w:cs="Times New Roman" w:eastAsia="Times New Roman" w:hAnsi="Times New Roman"/>
                <w:sz w:val="22"/>
                <w:szCs w:val="22"/>
                <w:color w:val="auto"/>
              </w:rPr>
              <w:t>Existence of Borrower; Maintenance of Properties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114</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113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§8.7</w:t>
            </w:r>
          </w:p>
        </w:tc>
        <w:tc>
          <w:tcPr>
            <w:tcW w:w="7320" w:type="dxa"/>
            <w:vAlign w:val="bottom"/>
            <w:gridSpan w:val="51"/>
          </w:tcPr>
          <w:p>
            <w:pPr>
              <w:ind w:left="40"/>
              <w:spacing w:after="0"/>
              <w:rPr>
                <w:sz w:val="20"/>
                <w:szCs w:val="20"/>
                <w:color w:val="auto"/>
              </w:rPr>
            </w:pPr>
            <w:r>
              <w:rPr>
                <w:rFonts w:ascii="Times New Roman" w:cs="Times New Roman" w:eastAsia="Times New Roman" w:hAnsi="Times New Roman"/>
                <w:sz w:val="22"/>
                <w:szCs w:val="22"/>
                <w:color w:val="auto"/>
              </w:rPr>
              <w:t>Existence of BPI; Maintenance of REIT Status of BPI; Maintenance of Properties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84"/>
              </w:rPr>
              <w:t>115</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color w:val="0000FF"/>
                <w:w w:val="90"/>
              </w:rPr>
              <w:t>114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§8.8</w:t>
            </w:r>
          </w:p>
        </w:tc>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Insurance</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116</w:t>
            </w:r>
          </w:p>
        </w:tc>
        <w:tc>
          <w:tcPr>
            <w:tcW w:w="360" w:type="dxa"/>
            <w:vAlign w:val="bottom"/>
            <w:gridSpan w:val="5"/>
          </w:tcPr>
          <w:p>
            <w:pPr>
              <w:jc w:val="right"/>
              <w:ind w:right="40"/>
              <w:spacing w:after="0"/>
              <w:rPr>
                <w:sz w:val="20"/>
                <w:szCs w:val="20"/>
                <w:color w:val="auto"/>
              </w:rPr>
            </w:pPr>
            <w:r>
              <w:rPr>
                <w:rFonts w:ascii="Times New Roman" w:cs="Times New Roman" w:eastAsia="Times New Roman" w:hAnsi="Times New Roman"/>
                <w:sz w:val="22"/>
                <w:szCs w:val="22"/>
                <w:color w:val="0000FF"/>
                <w:w w:val="90"/>
              </w:rPr>
              <w:t>114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40" w:type="dxa"/>
            <w:vAlign w:val="bottom"/>
            <w:gridSpan w:val="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§8.9</w:t>
            </w:r>
          </w:p>
        </w:tc>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Taxes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116</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115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§8.10</w:t>
            </w:r>
          </w:p>
        </w:tc>
        <w:tc>
          <w:tcPr>
            <w:tcW w:w="7820" w:type="dxa"/>
            <w:vAlign w:val="bottom"/>
            <w:gridSpan w:val="53"/>
          </w:tcPr>
          <w:p>
            <w:pPr>
              <w:ind w:left="140"/>
              <w:spacing w:after="0"/>
              <w:rPr>
                <w:sz w:val="20"/>
                <w:szCs w:val="20"/>
                <w:color w:val="auto"/>
              </w:rPr>
            </w:pPr>
            <w:r>
              <w:rPr>
                <w:rFonts w:ascii="Times New Roman" w:cs="Times New Roman" w:eastAsia="Times New Roman" w:hAnsi="Times New Roman"/>
                <w:sz w:val="22"/>
                <w:szCs w:val="22"/>
                <w:color w:val="auto"/>
              </w:rPr>
              <w:t>Inspection of Properties and Books; Treatment of Certain Information; Confidentiality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116</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115</w:t>
            </w: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§8.11</w:t>
            </w:r>
          </w:p>
        </w:tc>
        <w:tc>
          <w:tcPr>
            <w:tcW w:w="5300" w:type="dxa"/>
            <w:vAlign w:val="bottom"/>
            <w:gridSpan w:val="43"/>
          </w:tcPr>
          <w:p>
            <w:pPr>
              <w:ind w:left="140"/>
              <w:spacing w:after="0"/>
              <w:rPr>
                <w:sz w:val="20"/>
                <w:szCs w:val="20"/>
                <w:color w:val="auto"/>
              </w:rPr>
            </w:pPr>
            <w:r>
              <w:rPr>
                <w:rFonts w:ascii="Times New Roman" w:cs="Times New Roman" w:eastAsia="Times New Roman" w:hAnsi="Times New Roman"/>
                <w:sz w:val="22"/>
                <w:szCs w:val="22"/>
                <w:color w:val="auto"/>
              </w:rPr>
              <w:t>Compliance with Laws, Contracts, Licenses, and Permits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84"/>
              </w:rPr>
              <w:t>119</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118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§8.12</w:t>
            </w:r>
          </w:p>
        </w:tc>
        <w:tc>
          <w:tcPr>
            <w:tcW w:w="176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rPr>
              <w:t>Use of Proceeds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120</w:t>
            </w:r>
          </w:p>
        </w:tc>
        <w:tc>
          <w:tcPr>
            <w:tcW w:w="3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2"/>
                <w:szCs w:val="22"/>
                <w:color w:val="0000FF"/>
                <w:w w:val="96"/>
              </w:rPr>
              <w:t>118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§8.13</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Sanctions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121</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120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§8.14</w:t>
            </w:r>
          </w:p>
        </w:tc>
        <w:tc>
          <w:tcPr>
            <w:tcW w:w="2080" w:type="dxa"/>
            <w:vAlign w:val="bottom"/>
            <w:gridSpan w:val="11"/>
          </w:tcPr>
          <w:p>
            <w:pPr>
              <w:ind w:left="140"/>
              <w:spacing w:after="0"/>
              <w:rPr>
                <w:sz w:val="20"/>
                <w:szCs w:val="20"/>
                <w:color w:val="auto"/>
              </w:rPr>
            </w:pPr>
            <w:r>
              <w:rPr>
                <w:rFonts w:ascii="Times New Roman" w:cs="Times New Roman" w:eastAsia="Times New Roman" w:hAnsi="Times New Roman"/>
                <w:sz w:val="22"/>
                <w:szCs w:val="22"/>
                <w:color w:val="auto"/>
              </w:rPr>
              <w:t>Intentionally Deleted</w:t>
            </w:r>
          </w:p>
        </w:tc>
        <w:tc>
          <w:tcPr>
            <w:tcW w:w="44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rPr>
              <w:t>121</w:t>
            </w:r>
          </w:p>
        </w:tc>
        <w:tc>
          <w:tcPr>
            <w:tcW w:w="3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2"/>
                <w:szCs w:val="22"/>
                <w:color w:val="0000FF"/>
                <w:w w:val="90"/>
              </w:rPr>
              <w:t>120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§8.15</w:t>
            </w:r>
          </w:p>
        </w:tc>
        <w:tc>
          <w:tcPr>
            <w:tcW w:w="1840" w:type="dxa"/>
            <w:vAlign w:val="bottom"/>
            <w:gridSpan w:val="10"/>
          </w:tcPr>
          <w:p>
            <w:pPr>
              <w:ind w:left="140"/>
              <w:spacing w:after="0"/>
              <w:rPr>
                <w:sz w:val="20"/>
                <w:szCs w:val="20"/>
                <w:color w:val="auto"/>
              </w:rPr>
            </w:pPr>
            <w:r>
              <w:rPr>
                <w:rFonts w:ascii="Times New Roman" w:cs="Times New Roman" w:eastAsia="Times New Roman" w:hAnsi="Times New Roman"/>
                <w:sz w:val="22"/>
                <w:szCs w:val="22"/>
                <w:color w:val="auto"/>
                <w:w w:val="98"/>
              </w:rPr>
              <w:t>Further Assurances</w:t>
            </w:r>
          </w:p>
        </w:tc>
        <w:tc>
          <w:tcPr>
            <w:tcW w:w="520" w:type="dxa"/>
            <w:vAlign w:val="bottom"/>
            <w:gridSpan w:val="3"/>
          </w:tcPr>
          <w:p>
            <w:pPr>
              <w:jc w:val="center"/>
              <w:ind w:left="92"/>
              <w:spacing w:after="0"/>
              <w:rPr>
                <w:sz w:val="20"/>
                <w:szCs w:val="20"/>
                <w:color w:val="auto"/>
              </w:rPr>
            </w:pPr>
            <w:r>
              <w:rPr>
                <w:rFonts w:ascii="Times New Roman" w:cs="Times New Roman" w:eastAsia="Times New Roman" w:hAnsi="Times New Roman"/>
                <w:sz w:val="22"/>
                <w:szCs w:val="22"/>
                <w:color w:val="FF0000"/>
                <w:strike w:val="1"/>
                <w:w w:val="96"/>
              </w:rPr>
              <w:t>121</w:t>
            </w:r>
          </w:p>
        </w:tc>
        <w:tc>
          <w:tcPr>
            <w:tcW w:w="3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2"/>
                <w:szCs w:val="22"/>
                <w:color w:val="0000FF"/>
                <w:w w:val="90"/>
              </w:rPr>
              <w:t>120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§8.16</w:t>
            </w:r>
          </w:p>
        </w:tc>
        <w:tc>
          <w:tcPr>
            <w:tcW w:w="2080" w:type="dxa"/>
            <w:vAlign w:val="bottom"/>
            <w:gridSpan w:val="11"/>
          </w:tcPr>
          <w:p>
            <w:pPr>
              <w:ind w:left="140"/>
              <w:spacing w:after="0"/>
              <w:rPr>
                <w:sz w:val="20"/>
                <w:szCs w:val="20"/>
                <w:color w:val="auto"/>
              </w:rPr>
            </w:pPr>
            <w:r>
              <w:rPr>
                <w:rFonts w:ascii="Times New Roman" w:cs="Times New Roman" w:eastAsia="Times New Roman" w:hAnsi="Times New Roman"/>
                <w:sz w:val="22"/>
                <w:szCs w:val="22"/>
                <w:color w:val="auto"/>
                <w:w w:val="97"/>
              </w:rPr>
              <w:t>Anti-Corruption Laws</w:t>
            </w:r>
          </w:p>
        </w:tc>
        <w:tc>
          <w:tcPr>
            <w:tcW w:w="160" w:type="dxa"/>
            <w:vAlign w:val="bottom"/>
          </w:tcPr>
          <w:p>
            <w:pPr>
              <w:spacing w:after="0"/>
              <w:rPr>
                <w:sz w:val="24"/>
                <w:szCs w:val="24"/>
                <w:color w:val="auto"/>
              </w:rPr>
            </w:pPr>
          </w:p>
        </w:tc>
        <w:tc>
          <w:tcPr>
            <w:tcW w:w="38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rPr>
              <w:t>121</w:t>
            </w:r>
          </w:p>
        </w:tc>
        <w:tc>
          <w:tcPr>
            <w:tcW w:w="3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120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§8.17</w:t>
            </w:r>
          </w:p>
        </w:tc>
        <w:tc>
          <w:tcPr>
            <w:tcW w:w="3080" w:type="dxa"/>
            <w:vAlign w:val="bottom"/>
            <w:gridSpan w:val="25"/>
          </w:tcPr>
          <w:p>
            <w:pPr>
              <w:ind w:left="140"/>
              <w:spacing w:after="0"/>
              <w:rPr>
                <w:sz w:val="20"/>
                <w:szCs w:val="20"/>
                <w:color w:val="auto"/>
              </w:rPr>
            </w:pPr>
            <w:r>
              <w:rPr>
                <w:rFonts w:ascii="Times New Roman" w:cs="Times New Roman" w:eastAsia="Times New Roman" w:hAnsi="Times New Roman"/>
                <w:sz w:val="22"/>
                <w:szCs w:val="22"/>
                <w:color w:val="auto"/>
              </w:rPr>
              <w:t>Environmental Indemnification</w:t>
            </w: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121</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0000FF"/>
                <w:w w:val="90"/>
              </w:rPr>
              <w:t>120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§8.18</w:t>
            </w:r>
          </w:p>
        </w:tc>
        <w:tc>
          <w:tcPr>
            <w:tcW w:w="1840" w:type="dxa"/>
            <w:vAlign w:val="bottom"/>
            <w:gridSpan w:val="10"/>
          </w:tcPr>
          <w:p>
            <w:pPr>
              <w:ind w:left="140"/>
              <w:spacing w:after="0"/>
              <w:rPr>
                <w:sz w:val="20"/>
                <w:szCs w:val="20"/>
                <w:color w:val="auto"/>
              </w:rPr>
            </w:pPr>
            <w:r>
              <w:rPr>
                <w:rFonts w:ascii="Times New Roman" w:cs="Times New Roman" w:eastAsia="Times New Roman" w:hAnsi="Times New Roman"/>
                <w:sz w:val="22"/>
                <w:szCs w:val="22"/>
                <w:color w:val="auto"/>
              </w:rPr>
              <w:t>Response Actions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122</w:t>
            </w:r>
          </w:p>
        </w:tc>
        <w:tc>
          <w:tcPr>
            <w:tcW w:w="3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120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§8.19</w:t>
            </w:r>
          </w:p>
        </w:tc>
        <w:tc>
          <w:tcPr>
            <w:tcW w:w="2440" w:type="dxa"/>
            <w:vAlign w:val="bottom"/>
            <w:gridSpan w:val="15"/>
          </w:tcPr>
          <w:p>
            <w:pPr>
              <w:ind w:left="140"/>
              <w:spacing w:after="0"/>
              <w:rPr>
                <w:sz w:val="20"/>
                <w:szCs w:val="20"/>
                <w:color w:val="auto"/>
              </w:rPr>
            </w:pPr>
            <w:r>
              <w:rPr>
                <w:rFonts w:ascii="Times New Roman" w:cs="Times New Roman" w:eastAsia="Times New Roman" w:hAnsi="Times New Roman"/>
                <w:sz w:val="22"/>
                <w:szCs w:val="22"/>
                <w:color w:val="auto"/>
              </w:rPr>
              <w:t>Anti-Money Laundering</w:t>
            </w:r>
          </w:p>
        </w:tc>
        <w:tc>
          <w:tcPr>
            <w:tcW w:w="36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rPr>
              <w:t>122</w:t>
            </w:r>
          </w:p>
        </w:tc>
        <w:tc>
          <w:tcPr>
            <w:tcW w:w="320" w:type="dxa"/>
            <w:vAlign w:val="bottom"/>
            <w:gridSpan w:val="6"/>
          </w:tcPr>
          <w:p>
            <w:pPr>
              <w:spacing w:after="0"/>
              <w:rPr>
                <w:sz w:val="20"/>
                <w:szCs w:val="20"/>
                <w:color w:val="auto"/>
              </w:rPr>
            </w:pPr>
            <w:r>
              <w:rPr>
                <w:rFonts w:ascii="Times New Roman" w:cs="Times New Roman" w:eastAsia="Times New Roman" w:hAnsi="Times New Roman"/>
                <w:sz w:val="22"/>
                <w:szCs w:val="22"/>
                <w:color w:val="0000FF"/>
                <w:w w:val="90"/>
              </w:rPr>
              <w:t>121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§8.20</w:t>
            </w:r>
          </w:p>
        </w:tc>
        <w:tc>
          <w:tcPr>
            <w:tcW w:w="2440" w:type="dxa"/>
            <w:vAlign w:val="bottom"/>
            <w:gridSpan w:val="15"/>
          </w:tcPr>
          <w:p>
            <w:pPr>
              <w:ind w:left="140"/>
              <w:spacing w:after="0"/>
              <w:rPr>
                <w:sz w:val="20"/>
                <w:szCs w:val="20"/>
                <w:color w:val="auto"/>
              </w:rPr>
            </w:pPr>
            <w:r>
              <w:rPr>
                <w:rFonts w:ascii="Times New Roman" w:cs="Times New Roman" w:eastAsia="Times New Roman" w:hAnsi="Times New Roman"/>
                <w:sz w:val="22"/>
                <w:szCs w:val="22"/>
                <w:color w:val="auto"/>
              </w:rPr>
              <w:t>Employee Benefit Plans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96"/>
              </w:rPr>
              <w:t>122</w:t>
            </w:r>
          </w:p>
        </w:tc>
        <w:tc>
          <w:tcPr>
            <w:tcW w:w="320" w:type="dxa"/>
            <w:vAlign w:val="bottom"/>
            <w:tcBorders>
              <w:top w:val="single" w:sz="8" w:color="0000FF"/>
              <w:bottom w:val="single" w:sz="8" w:color="0000FF"/>
            </w:tcBorders>
            <w:gridSpan w:val="6"/>
          </w:tcPr>
          <w:p>
            <w:pPr>
              <w:jc w:val="right"/>
              <w:spacing w:after="0"/>
              <w:rPr>
                <w:sz w:val="20"/>
                <w:szCs w:val="20"/>
                <w:color w:val="auto"/>
              </w:rPr>
            </w:pPr>
            <w:r>
              <w:rPr>
                <w:rFonts w:ascii="Times New Roman" w:cs="Times New Roman" w:eastAsia="Times New Roman" w:hAnsi="Times New Roman"/>
                <w:sz w:val="22"/>
                <w:szCs w:val="22"/>
                <w:color w:val="0000FF"/>
                <w:w w:val="90"/>
              </w:rPr>
              <w:t>121</w:t>
            </w: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§8.21</w:t>
            </w:r>
          </w:p>
        </w:tc>
        <w:tc>
          <w:tcPr>
            <w:tcW w:w="3600" w:type="dxa"/>
            <w:vAlign w:val="bottom"/>
            <w:gridSpan w:val="32"/>
          </w:tcPr>
          <w:p>
            <w:pPr>
              <w:ind w:left="140"/>
              <w:spacing w:after="0"/>
              <w:rPr>
                <w:sz w:val="20"/>
                <w:szCs w:val="20"/>
                <w:color w:val="auto"/>
              </w:rPr>
            </w:pPr>
            <w:r>
              <w:rPr>
                <w:rFonts w:ascii="Times New Roman" w:cs="Times New Roman" w:eastAsia="Times New Roman" w:hAnsi="Times New Roman"/>
                <w:sz w:val="22"/>
                <w:szCs w:val="22"/>
                <w:color w:val="auto"/>
                <w:w w:val="98"/>
              </w:rPr>
              <w:t>No Amendments to Certain Documents</w:t>
            </w:r>
          </w:p>
        </w:tc>
        <w:tc>
          <w:tcPr>
            <w:tcW w:w="18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122</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22"/>
                <w:szCs w:val="22"/>
                <w:color w:val="0000FF"/>
                <w:w w:val="90"/>
              </w:rPr>
              <w:t>121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000" w:type="dxa"/>
            <w:vAlign w:val="bottom"/>
            <w:gridSpan w:val="46"/>
          </w:tcPr>
          <w:p>
            <w:pPr>
              <w:jc w:val="center"/>
              <w:ind w:right="92"/>
              <w:spacing w:after="0"/>
              <w:rPr>
                <w:sz w:val="20"/>
                <w:szCs w:val="20"/>
                <w:color w:val="auto"/>
              </w:rPr>
            </w:pPr>
            <w:r>
              <w:rPr>
                <w:rFonts w:ascii="Times New Roman" w:cs="Times New Roman" w:eastAsia="Times New Roman" w:hAnsi="Times New Roman"/>
                <w:sz w:val="22"/>
                <w:szCs w:val="22"/>
                <w:color w:val="auto"/>
                <w:w w:val="98"/>
              </w:rPr>
              <w:t>§9  CERTAIN NEGATIVE COVENANTS OF THE BORROWER AND BPI</w:t>
            </w:r>
          </w:p>
        </w:tc>
        <w:tc>
          <w:tcPr>
            <w:tcW w:w="340" w:type="dxa"/>
            <w:vAlign w:val="bottom"/>
            <w:gridSpan w:val="3"/>
          </w:tcPr>
          <w:p>
            <w:pPr>
              <w:spacing w:after="0"/>
              <w:rPr>
                <w:sz w:val="20"/>
                <w:szCs w:val="20"/>
                <w:color w:val="auto"/>
              </w:rPr>
            </w:pPr>
            <w:r>
              <w:rPr>
                <w:rFonts w:ascii="Times New Roman" w:cs="Times New Roman" w:eastAsia="Times New Roman" w:hAnsi="Times New Roman"/>
                <w:sz w:val="22"/>
                <w:szCs w:val="22"/>
                <w:color w:val="FF0000"/>
                <w:strike w:val="1"/>
                <w:w w:val="96"/>
              </w:rPr>
              <w:t>122</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121</w:t>
            </w:r>
          </w:p>
        </w:tc>
        <w:tc>
          <w:tcPr>
            <w:tcW w:w="19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§9.1</w:t>
            </w:r>
          </w:p>
        </w:tc>
        <w:tc>
          <w:tcPr>
            <w:tcW w:w="2440" w:type="dxa"/>
            <w:vAlign w:val="bottom"/>
            <w:gridSpan w:val="15"/>
          </w:tcPr>
          <w:p>
            <w:pPr>
              <w:ind w:left="40"/>
              <w:spacing w:after="0"/>
              <w:rPr>
                <w:sz w:val="20"/>
                <w:szCs w:val="20"/>
                <w:color w:val="auto"/>
              </w:rPr>
            </w:pPr>
            <w:r>
              <w:rPr>
                <w:rFonts w:ascii="Times New Roman" w:cs="Times New Roman" w:eastAsia="Times New Roman" w:hAnsi="Times New Roman"/>
                <w:sz w:val="22"/>
                <w:szCs w:val="22"/>
                <w:color w:val="auto"/>
              </w:rPr>
              <w:t>Restrictions on Liabilities</w:t>
            </w:r>
          </w:p>
        </w:tc>
        <w:tc>
          <w:tcPr>
            <w:tcW w:w="36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rPr>
              <w:t>123</w:t>
            </w:r>
          </w:p>
        </w:tc>
        <w:tc>
          <w:tcPr>
            <w:tcW w:w="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2"/>
                <w:szCs w:val="22"/>
                <w:color w:val="0000FF"/>
              </w:rPr>
              <w:t>121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§9.2</w:t>
            </w:r>
          </w:p>
        </w:tc>
        <w:tc>
          <w:tcPr>
            <w:tcW w:w="2440" w:type="dxa"/>
            <w:vAlign w:val="bottom"/>
            <w:gridSpan w:val="15"/>
          </w:tcPr>
          <w:p>
            <w:pPr>
              <w:ind w:left="40"/>
              <w:spacing w:after="0"/>
              <w:rPr>
                <w:sz w:val="20"/>
                <w:szCs w:val="20"/>
                <w:color w:val="auto"/>
              </w:rPr>
            </w:pPr>
            <w:r>
              <w:rPr>
                <w:rFonts w:ascii="Times New Roman" w:cs="Times New Roman" w:eastAsia="Times New Roman" w:hAnsi="Times New Roman"/>
                <w:sz w:val="22"/>
                <w:szCs w:val="22"/>
                <w:color w:val="auto"/>
              </w:rPr>
              <w:t>Restrictions on Liens, Etc</w:t>
            </w:r>
          </w:p>
        </w:tc>
        <w:tc>
          <w:tcPr>
            <w:tcW w:w="36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rPr>
              <w:t>124</w:t>
            </w:r>
          </w:p>
        </w:tc>
        <w:tc>
          <w:tcPr>
            <w:tcW w:w="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2"/>
                <w:szCs w:val="22"/>
                <w:color w:val="0000FF"/>
                <w:w w:val="96"/>
              </w:rPr>
              <w:t>123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§9.3</w:t>
            </w:r>
          </w:p>
        </w:tc>
        <w:tc>
          <w:tcPr>
            <w:tcW w:w="2440" w:type="dxa"/>
            <w:vAlign w:val="bottom"/>
            <w:gridSpan w:val="15"/>
          </w:tcPr>
          <w:p>
            <w:pPr>
              <w:ind w:left="40"/>
              <w:spacing w:after="0"/>
              <w:rPr>
                <w:sz w:val="20"/>
                <w:szCs w:val="20"/>
                <w:color w:val="auto"/>
              </w:rPr>
            </w:pPr>
            <w:r>
              <w:rPr>
                <w:rFonts w:ascii="Times New Roman" w:cs="Times New Roman" w:eastAsia="Times New Roman" w:hAnsi="Times New Roman"/>
                <w:sz w:val="22"/>
                <w:szCs w:val="22"/>
                <w:color w:val="auto"/>
                <w:w w:val="97"/>
              </w:rPr>
              <w:t>Restrictions on Investments</w:t>
            </w:r>
          </w:p>
        </w:tc>
        <w:tc>
          <w:tcPr>
            <w:tcW w:w="180" w:type="dxa"/>
            <w:vAlign w:val="bottom"/>
            <w:gridSpan w:val="3"/>
          </w:tcPr>
          <w:p>
            <w:pPr>
              <w:spacing w:after="0"/>
              <w:rPr>
                <w:sz w:val="24"/>
                <w:szCs w:val="24"/>
                <w:color w:val="auto"/>
              </w:rPr>
            </w:pPr>
          </w:p>
        </w:tc>
        <w:tc>
          <w:tcPr>
            <w:tcW w:w="36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rPr>
              <w:t>126</w:t>
            </w:r>
          </w:p>
        </w:tc>
        <w:tc>
          <w:tcPr>
            <w:tcW w:w="420" w:type="dxa"/>
            <w:vAlign w:val="bottom"/>
            <w:gridSpan w:val="7"/>
          </w:tcPr>
          <w:p>
            <w:pPr>
              <w:jc w:val="right"/>
              <w:ind w:right="100"/>
              <w:spacing w:after="0"/>
              <w:rPr>
                <w:sz w:val="20"/>
                <w:szCs w:val="20"/>
                <w:color w:val="auto"/>
              </w:rPr>
            </w:pPr>
            <w:r>
              <w:rPr>
                <w:rFonts w:ascii="Times New Roman" w:cs="Times New Roman" w:eastAsia="Times New Roman" w:hAnsi="Times New Roman"/>
                <w:sz w:val="22"/>
                <w:szCs w:val="22"/>
                <w:color w:val="0000FF"/>
                <w:w w:val="90"/>
              </w:rPr>
              <w:t>125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320" w:type="dxa"/>
            <w:vAlign w:val="bottom"/>
            <w:gridSpan w:val="6"/>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000" w:type="dxa"/>
            <w:vAlign w:val="bottom"/>
            <w:gridSpan w:val="46"/>
          </w:tcPr>
          <w:p>
            <w:pPr>
              <w:jc w:val="right"/>
              <w:ind w:right="112"/>
              <w:spacing w:after="0"/>
              <w:rPr>
                <w:sz w:val="20"/>
                <w:szCs w:val="20"/>
                <w:color w:val="auto"/>
              </w:rPr>
            </w:pPr>
            <w:r>
              <w:rPr>
                <w:rFonts w:ascii="Times New Roman" w:cs="Times New Roman" w:eastAsia="Times New Roman" w:hAnsi="Times New Roman"/>
                <w:sz w:val="22"/>
                <w:szCs w:val="22"/>
                <w:color w:val="auto"/>
              </w:rPr>
              <w:t>§9.4  Merger, Consolidation and Disposition of Assets; Assets of BPI.</w:t>
            </w:r>
          </w:p>
        </w:tc>
        <w:tc>
          <w:tcPr>
            <w:tcW w:w="320" w:type="dxa"/>
            <w:vAlign w:val="bottom"/>
            <w:gridSpan w:val="2"/>
          </w:tcPr>
          <w:p>
            <w:pPr>
              <w:spacing w:after="0"/>
              <w:rPr>
                <w:sz w:val="20"/>
                <w:szCs w:val="20"/>
                <w:color w:val="auto"/>
              </w:rPr>
            </w:pPr>
            <w:r>
              <w:rPr>
                <w:rFonts w:ascii="Times New Roman" w:cs="Times New Roman" w:eastAsia="Times New Roman" w:hAnsi="Times New Roman"/>
                <w:sz w:val="22"/>
                <w:szCs w:val="22"/>
                <w:color w:val="FF0000"/>
                <w:strike w:val="1"/>
                <w:w w:val="90"/>
              </w:rPr>
              <w:t>128</w:t>
            </w:r>
          </w:p>
        </w:tc>
        <w:tc>
          <w:tcPr>
            <w:tcW w:w="2320" w:type="dxa"/>
            <w:vAlign w:val="bottom"/>
            <w:gridSpan w:val="9"/>
          </w:tcPr>
          <w:p>
            <w:pPr>
              <w:jc w:val="right"/>
              <w:ind w:right="1892"/>
              <w:spacing w:after="0"/>
              <w:rPr>
                <w:sz w:val="20"/>
                <w:szCs w:val="20"/>
                <w:color w:val="auto"/>
              </w:rPr>
            </w:pPr>
            <w:r>
              <w:rPr>
                <w:rFonts w:ascii="Times New Roman" w:cs="Times New Roman" w:eastAsia="Times New Roman" w:hAnsi="Times New Roman"/>
                <w:sz w:val="22"/>
                <w:szCs w:val="22"/>
                <w:color w:val="0000FF"/>
                <w:w w:val="90"/>
              </w:rPr>
              <w:t>127</w:t>
            </w:r>
          </w:p>
        </w:tc>
        <w:tc>
          <w:tcPr>
            <w:tcW w:w="0" w:type="dxa"/>
            <w:vAlign w:val="bottom"/>
          </w:tcPr>
          <w:p>
            <w:pPr>
              <w:spacing w:after="0"/>
              <w:rPr>
                <w:sz w:val="1"/>
                <w:szCs w:val="1"/>
                <w:color w:val="auto"/>
              </w:rPr>
            </w:pPr>
          </w:p>
        </w:tc>
      </w:tr>
      <w:tr>
        <w:trPr>
          <w:trHeight w:val="479"/>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§9.5</w:t>
            </w:r>
          </w:p>
        </w:tc>
        <w:tc>
          <w:tcPr>
            <w:tcW w:w="3600" w:type="dxa"/>
            <w:vAlign w:val="bottom"/>
            <w:gridSpan w:val="32"/>
          </w:tcPr>
          <w:p>
            <w:pPr>
              <w:ind w:left="40"/>
              <w:spacing w:after="0"/>
              <w:rPr>
                <w:sz w:val="20"/>
                <w:szCs w:val="20"/>
                <w:color w:val="auto"/>
              </w:rPr>
            </w:pPr>
            <w:r>
              <w:rPr>
                <w:rFonts w:ascii="Times New Roman" w:cs="Times New Roman" w:eastAsia="Times New Roman" w:hAnsi="Times New Roman"/>
                <w:sz w:val="22"/>
                <w:szCs w:val="22"/>
                <w:color w:val="auto"/>
              </w:rPr>
              <w:t>Compliance with Environmental Laws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129</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22"/>
                <w:szCs w:val="22"/>
                <w:color w:val="0000FF"/>
                <w:w w:val="90"/>
              </w:rPr>
              <w:t>127</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40" w:type="dxa"/>
            <w:vAlign w:val="bottom"/>
            <w:gridSpan w:val="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0139"/>
          </w:cols>
          <w:pgMar w:left="320" w:top="1398" w:right="1440"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47"/>
        </w:trPr>
        <w:tc>
          <w:tcPr>
            <w:tcW w:w="420" w:type="dxa"/>
            <w:vAlign w:val="bottom"/>
          </w:tcPr>
          <w:p>
            <w:pPr>
              <w:spacing w:after="0"/>
              <w:rPr>
                <w:sz w:val="4"/>
                <w:szCs w:val="4"/>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§9.6</w:t>
            </w:r>
          </w:p>
        </w:tc>
        <w:tc>
          <w:tcPr>
            <w:tcW w:w="1360" w:type="dxa"/>
            <w:vAlign w:val="bottom"/>
            <w:gridSpan w:val="6"/>
            <w:vMerge w:val="restart"/>
          </w:tcPr>
          <w:p>
            <w:pPr>
              <w:ind w:left="40"/>
              <w:spacing w:after="0"/>
              <w:rPr>
                <w:sz w:val="20"/>
                <w:szCs w:val="20"/>
                <w:color w:val="auto"/>
              </w:rPr>
            </w:pPr>
            <w:r>
              <w:rPr>
                <w:rFonts w:ascii="Times New Roman" w:cs="Times New Roman" w:eastAsia="Times New Roman" w:hAnsi="Times New Roman"/>
                <w:sz w:val="22"/>
                <w:szCs w:val="22"/>
                <w:color w:val="auto"/>
              </w:rPr>
              <w:t>Distributions</w:t>
            </w: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6"/>
              </w:rPr>
              <w:t>129</w:t>
            </w:r>
          </w:p>
        </w:tc>
        <w:tc>
          <w:tcPr>
            <w:tcW w:w="3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22"/>
                <w:szCs w:val="22"/>
                <w:color w:val="0000FF"/>
                <w:w w:val="90"/>
              </w:rPr>
              <w:t>128</w:t>
            </w:r>
          </w:p>
        </w:tc>
        <w:tc>
          <w:tcPr>
            <w:tcW w:w="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360" w:type="dxa"/>
            <w:vAlign w:val="bottom"/>
            <w:gridSpan w:val="6"/>
            <w:vMerge w:val="continue"/>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340" w:type="dxa"/>
            <w:vAlign w:val="bottom"/>
            <w:tcBorders>
              <w:bottom w:val="single" w:sz="8" w:color="0000FF"/>
            </w:tcBorders>
            <w:gridSpan w:val="4"/>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§9.7</w:t>
            </w: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Sanctions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129</w:t>
            </w:r>
          </w:p>
        </w:tc>
        <w:tc>
          <w:tcPr>
            <w:tcW w:w="3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128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§9.8</w:t>
            </w:r>
          </w:p>
        </w:tc>
        <w:tc>
          <w:tcPr>
            <w:tcW w:w="2180" w:type="dxa"/>
            <w:vAlign w:val="bottom"/>
            <w:gridSpan w:val="16"/>
          </w:tcPr>
          <w:p>
            <w:pPr>
              <w:ind w:left="40"/>
              <w:spacing w:after="0"/>
              <w:rPr>
                <w:sz w:val="20"/>
                <w:szCs w:val="20"/>
                <w:color w:val="auto"/>
              </w:rPr>
            </w:pPr>
            <w:r>
              <w:rPr>
                <w:rFonts w:ascii="Times New Roman" w:cs="Times New Roman" w:eastAsia="Times New Roman" w:hAnsi="Times New Roman"/>
                <w:sz w:val="22"/>
                <w:szCs w:val="22"/>
                <w:color w:val="auto"/>
              </w:rPr>
              <w:t>Anti-Corruption Laws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129</w:t>
            </w:r>
          </w:p>
        </w:tc>
        <w:tc>
          <w:tcPr>
            <w:tcW w:w="300" w:type="dxa"/>
            <w:vAlign w:val="bottom"/>
            <w:gridSpan w:val="5"/>
          </w:tcPr>
          <w:p>
            <w:pPr>
              <w:jc w:val="right"/>
              <w:ind w:right="20"/>
              <w:spacing w:after="0"/>
              <w:rPr>
                <w:sz w:val="20"/>
                <w:szCs w:val="20"/>
                <w:color w:val="auto"/>
              </w:rPr>
            </w:pPr>
            <w:r>
              <w:rPr>
                <w:rFonts w:ascii="Times New Roman" w:cs="Times New Roman" w:eastAsia="Times New Roman" w:hAnsi="Times New Roman"/>
                <w:sz w:val="22"/>
                <w:szCs w:val="22"/>
                <w:color w:val="0000FF"/>
                <w:w w:val="78"/>
              </w:rPr>
              <w:t>128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2840" w:type="dxa"/>
            <w:vAlign w:val="bottom"/>
            <w:gridSpan w:val="15"/>
          </w:tcPr>
          <w:p>
            <w:pPr>
              <w:ind w:left="100"/>
              <w:spacing w:after="0"/>
              <w:rPr>
                <w:sz w:val="20"/>
                <w:szCs w:val="20"/>
                <w:color w:val="auto"/>
              </w:rPr>
            </w:pPr>
            <w:r>
              <w:rPr>
                <w:rFonts w:ascii="Times New Roman" w:cs="Times New Roman" w:eastAsia="Times New Roman" w:hAnsi="Times New Roman"/>
                <w:sz w:val="22"/>
                <w:szCs w:val="22"/>
                <w:color w:val="auto"/>
              </w:rPr>
              <w:t>FINANCIAL COVENANTS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129</w:t>
            </w:r>
          </w:p>
        </w:tc>
        <w:tc>
          <w:tcPr>
            <w:tcW w:w="3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128</w:t>
            </w:r>
          </w:p>
        </w:tc>
        <w:tc>
          <w:tcPr>
            <w:tcW w:w="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§10.1</w:t>
            </w:r>
          </w:p>
        </w:tc>
        <w:tc>
          <w:tcPr>
            <w:tcW w:w="100" w:type="dxa"/>
            <w:vAlign w:val="bottom"/>
          </w:tcPr>
          <w:p>
            <w:pPr>
              <w:spacing w:after="0"/>
              <w:rPr>
                <w:sz w:val="24"/>
                <w:szCs w:val="24"/>
                <w:color w:val="auto"/>
              </w:rPr>
            </w:pPr>
          </w:p>
        </w:tc>
        <w:tc>
          <w:tcPr>
            <w:tcW w:w="2960" w:type="dxa"/>
            <w:vAlign w:val="bottom"/>
            <w:gridSpan w:val="26"/>
          </w:tcPr>
          <w:p>
            <w:pPr>
              <w:ind w:left="40"/>
              <w:spacing w:after="0"/>
              <w:rPr>
                <w:sz w:val="20"/>
                <w:szCs w:val="20"/>
                <w:color w:val="auto"/>
              </w:rPr>
            </w:pPr>
            <w:r>
              <w:rPr>
                <w:rFonts w:ascii="Times New Roman" w:cs="Times New Roman" w:eastAsia="Times New Roman" w:hAnsi="Times New Roman"/>
                <w:sz w:val="22"/>
                <w:szCs w:val="22"/>
                <w:color w:val="auto"/>
              </w:rPr>
              <w:t>Consolidated Total Indebtedness</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rPr>
              <w:t>129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0000FF"/>
                <w:w w:val="77"/>
              </w:rPr>
              <w:t>128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§10.2</w:t>
            </w:r>
          </w:p>
        </w:tc>
        <w:tc>
          <w:tcPr>
            <w:tcW w:w="100" w:type="dxa"/>
            <w:vAlign w:val="bottom"/>
          </w:tcPr>
          <w:p>
            <w:pPr>
              <w:spacing w:after="0"/>
              <w:rPr>
                <w:sz w:val="24"/>
                <w:szCs w:val="24"/>
                <w:color w:val="auto"/>
              </w:rPr>
            </w:pPr>
          </w:p>
        </w:tc>
        <w:tc>
          <w:tcPr>
            <w:tcW w:w="3820" w:type="dxa"/>
            <w:vAlign w:val="bottom"/>
            <w:gridSpan w:val="34"/>
          </w:tcPr>
          <w:p>
            <w:pPr>
              <w:ind w:left="40"/>
              <w:spacing w:after="0"/>
              <w:rPr>
                <w:sz w:val="20"/>
                <w:szCs w:val="20"/>
                <w:color w:val="auto"/>
              </w:rPr>
            </w:pPr>
            <w:r>
              <w:rPr>
                <w:rFonts w:ascii="Times New Roman" w:cs="Times New Roman" w:eastAsia="Times New Roman" w:hAnsi="Times New Roman"/>
                <w:sz w:val="22"/>
                <w:szCs w:val="22"/>
                <w:color w:val="auto"/>
              </w:rPr>
              <w:t>Secured Consolidated Total Indebtedness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6"/>
              </w:rPr>
              <w:t>130</w:t>
            </w:r>
          </w:p>
        </w:tc>
        <w:tc>
          <w:tcPr>
            <w:tcW w:w="560" w:type="dxa"/>
            <w:vAlign w:val="bottom"/>
            <w:gridSpan w:val="4"/>
          </w:tcPr>
          <w:p>
            <w:pPr>
              <w:jc w:val="right"/>
              <w:ind w:right="240"/>
              <w:spacing w:after="0"/>
              <w:rPr>
                <w:sz w:val="20"/>
                <w:szCs w:val="20"/>
                <w:color w:val="auto"/>
              </w:rPr>
            </w:pPr>
            <w:r>
              <w:rPr>
                <w:rFonts w:ascii="Times New Roman" w:cs="Times New Roman" w:eastAsia="Times New Roman" w:hAnsi="Times New Roman"/>
                <w:sz w:val="22"/>
                <w:szCs w:val="22"/>
                <w:color w:val="0000FF"/>
                <w:w w:val="90"/>
              </w:rPr>
              <w:t>128</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§10.3</w:t>
            </w:r>
          </w:p>
        </w:tc>
        <w:tc>
          <w:tcPr>
            <w:tcW w:w="100" w:type="dxa"/>
            <w:vAlign w:val="bottom"/>
          </w:tcPr>
          <w:p>
            <w:pPr>
              <w:spacing w:after="0"/>
              <w:rPr>
                <w:sz w:val="24"/>
                <w:szCs w:val="24"/>
                <w:color w:val="auto"/>
              </w:rPr>
            </w:pPr>
          </w:p>
        </w:tc>
        <w:tc>
          <w:tcPr>
            <w:tcW w:w="2300" w:type="dxa"/>
            <w:vAlign w:val="bottom"/>
            <w:gridSpan w:val="16"/>
          </w:tcPr>
          <w:p>
            <w:pPr>
              <w:ind w:left="40"/>
              <w:spacing w:after="0"/>
              <w:rPr>
                <w:sz w:val="20"/>
                <w:szCs w:val="20"/>
                <w:color w:val="auto"/>
              </w:rPr>
            </w:pPr>
            <w:r>
              <w:rPr>
                <w:rFonts w:ascii="Times New Roman" w:cs="Times New Roman" w:eastAsia="Times New Roman" w:hAnsi="Times New Roman"/>
                <w:sz w:val="22"/>
                <w:szCs w:val="22"/>
                <w:color w:val="auto"/>
              </w:rPr>
              <w:t>Fixed Charge Coverage</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6"/>
              </w:rPr>
              <w:t>130</w:t>
            </w:r>
          </w:p>
        </w:tc>
        <w:tc>
          <w:tcPr>
            <w:tcW w:w="3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2"/>
                <w:szCs w:val="22"/>
                <w:color w:val="0000FF"/>
                <w:w w:val="90"/>
              </w:rPr>
              <w:t>129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§10.4</w:t>
            </w:r>
          </w:p>
        </w:tc>
        <w:tc>
          <w:tcPr>
            <w:tcW w:w="100" w:type="dxa"/>
            <w:vAlign w:val="bottom"/>
          </w:tcPr>
          <w:p>
            <w:pPr>
              <w:spacing w:after="0"/>
              <w:rPr>
                <w:sz w:val="24"/>
                <w:szCs w:val="24"/>
                <w:color w:val="auto"/>
              </w:rPr>
            </w:pPr>
          </w:p>
        </w:tc>
        <w:tc>
          <w:tcPr>
            <w:tcW w:w="2440" w:type="dxa"/>
            <w:vAlign w:val="bottom"/>
            <w:gridSpan w:val="17"/>
          </w:tcPr>
          <w:p>
            <w:pPr>
              <w:ind w:left="40"/>
              <w:spacing w:after="0"/>
              <w:rPr>
                <w:sz w:val="20"/>
                <w:szCs w:val="20"/>
                <w:color w:val="auto"/>
              </w:rPr>
            </w:pPr>
            <w:r>
              <w:rPr>
                <w:rFonts w:ascii="Times New Roman" w:cs="Times New Roman" w:eastAsia="Times New Roman" w:hAnsi="Times New Roman"/>
                <w:sz w:val="22"/>
                <w:szCs w:val="22"/>
                <w:color w:val="auto"/>
              </w:rPr>
              <w:t>Unsecured Leverage Ratio</w:t>
            </w:r>
          </w:p>
        </w:tc>
        <w:tc>
          <w:tcPr>
            <w:tcW w:w="80" w:type="dxa"/>
            <w:vAlign w:val="bottom"/>
          </w:tcPr>
          <w:p>
            <w:pPr>
              <w:spacing w:after="0"/>
              <w:rPr>
                <w:sz w:val="24"/>
                <w:szCs w:val="24"/>
                <w:color w:val="auto"/>
              </w:rPr>
            </w:pPr>
          </w:p>
        </w:tc>
        <w:tc>
          <w:tcPr>
            <w:tcW w:w="36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FF0000"/>
                <w:strike w:val="1"/>
              </w:rPr>
              <w:t>130</w:t>
            </w: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6"/>
              </w:rPr>
              <w:t>129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§10.5</w:t>
            </w:r>
          </w:p>
        </w:tc>
        <w:tc>
          <w:tcPr>
            <w:tcW w:w="100" w:type="dxa"/>
            <w:vAlign w:val="bottom"/>
          </w:tcPr>
          <w:p>
            <w:pPr>
              <w:spacing w:after="0"/>
              <w:rPr>
                <w:sz w:val="24"/>
                <w:szCs w:val="24"/>
                <w:color w:val="auto"/>
              </w:rPr>
            </w:pPr>
          </w:p>
        </w:tc>
        <w:tc>
          <w:tcPr>
            <w:tcW w:w="126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[Reserved.]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130</w:t>
            </w:r>
          </w:p>
        </w:tc>
        <w:tc>
          <w:tcPr>
            <w:tcW w:w="34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6"/>
              </w:rPr>
              <w:t>129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§10.6</w:t>
            </w:r>
          </w:p>
        </w:tc>
        <w:tc>
          <w:tcPr>
            <w:tcW w:w="100" w:type="dxa"/>
            <w:vAlign w:val="bottom"/>
          </w:tcPr>
          <w:p>
            <w:pPr>
              <w:spacing w:after="0"/>
              <w:rPr>
                <w:sz w:val="24"/>
                <w:szCs w:val="24"/>
                <w:color w:val="auto"/>
              </w:rPr>
            </w:pPr>
          </w:p>
        </w:tc>
        <w:tc>
          <w:tcPr>
            <w:tcW w:w="2760" w:type="dxa"/>
            <w:vAlign w:val="bottom"/>
            <w:gridSpan w:val="23"/>
          </w:tcPr>
          <w:p>
            <w:pPr>
              <w:ind w:left="40"/>
              <w:spacing w:after="0"/>
              <w:rPr>
                <w:sz w:val="20"/>
                <w:szCs w:val="20"/>
                <w:color w:val="auto"/>
              </w:rPr>
            </w:pPr>
            <w:r>
              <w:rPr>
                <w:rFonts w:ascii="Times New Roman" w:cs="Times New Roman" w:eastAsia="Times New Roman" w:hAnsi="Times New Roman"/>
                <w:sz w:val="22"/>
                <w:szCs w:val="22"/>
                <w:color w:val="auto"/>
              </w:rPr>
              <w:t>Unsecured Interest Coverage</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6"/>
              </w:rPr>
              <w:t>130</w:t>
            </w:r>
          </w:p>
        </w:tc>
        <w:tc>
          <w:tcPr>
            <w:tcW w:w="3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129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[Reserved.]</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130</w:t>
            </w: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6"/>
              </w:rPr>
              <w:t>129</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3620" w:type="dxa"/>
            <w:vAlign w:val="bottom"/>
            <w:gridSpan w:val="25"/>
          </w:tcPr>
          <w:p>
            <w:pPr>
              <w:ind w:left="100"/>
              <w:spacing w:after="0"/>
              <w:rPr>
                <w:sz w:val="20"/>
                <w:szCs w:val="20"/>
                <w:color w:val="auto"/>
              </w:rPr>
            </w:pPr>
            <w:r>
              <w:rPr>
                <w:rFonts w:ascii="Times New Roman" w:cs="Times New Roman" w:eastAsia="Times New Roman" w:hAnsi="Times New Roman"/>
                <w:sz w:val="22"/>
                <w:szCs w:val="22"/>
                <w:color w:val="auto"/>
              </w:rPr>
              <w:t>CONDITIONS TO EFFECTIVENESS</w:t>
            </w: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rPr>
              <w:t>130</w:t>
            </w:r>
          </w:p>
        </w:tc>
        <w:tc>
          <w:tcPr>
            <w:tcW w:w="560" w:type="dxa"/>
            <w:vAlign w:val="bottom"/>
            <w:gridSpan w:val="5"/>
          </w:tcPr>
          <w:p>
            <w:pPr>
              <w:jc w:val="right"/>
              <w:ind w:right="143"/>
              <w:spacing w:after="0"/>
              <w:rPr>
                <w:sz w:val="20"/>
                <w:szCs w:val="20"/>
                <w:color w:val="auto"/>
              </w:rPr>
            </w:pPr>
            <w:r>
              <w:rPr>
                <w:rFonts w:ascii="Times New Roman" w:cs="Times New Roman" w:eastAsia="Times New Roman" w:hAnsi="Times New Roman"/>
                <w:sz w:val="22"/>
                <w:szCs w:val="22"/>
                <w:color w:val="0000FF"/>
                <w:w w:val="90"/>
              </w:rPr>
              <w:t>129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§12.1</w:t>
            </w:r>
          </w:p>
        </w:tc>
        <w:tc>
          <w:tcPr>
            <w:tcW w:w="100" w:type="dxa"/>
            <w:vAlign w:val="bottom"/>
          </w:tcPr>
          <w:p>
            <w:pPr>
              <w:spacing w:after="0"/>
              <w:rPr>
                <w:sz w:val="24"/>
                <w:szCs w:val="24"/>
                <w:color w:val="auto"/>
              </w:rPr>
            </w:pPr>
          </w:p>
        </w:tc>
        <w:tc>
          <w:tcPr>
            <w:tcW w:w="1740" w:type="dxa"/>
            <w:vAlign w:val="bottom"/>
            <w:gridSpan w:val="10"/>
          </w:tcPr>
          <w:p>
            <w:pPr>
              <w:ind w:left="40"/>
              <w:spacing w:after="0"/>
              <w:rPr>
                <w:sz w:val="20"/>
                <w:szCs w:val="20"/>
                <w:color w:val="auto"/>
              </w:rPr>
            </w:pPr>
            <w:r>
              <w:rPr>
                <w:rFonts w:ascii="Times New Roman" w:cs="Times New Roman" w:eastAsia="Times New Roman" w:hAnsi="Times New Roman"/>
                <w:sz w:val="22"/>
                <w:szCs w:val="22"/>
                <w:color w:val="auto"/>
              </w:rPr>
              <w:t>Loan Documents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130</w:t>
            </w:r>
          </w:p>
        </w:tc>
        <w:tc>
          <w:tcPr>
            <w:tcW w:w="3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6"/>
              </w:rPr>
              <w:t>129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§12.2</w:t>
            </w:r>
          </w:p>
        </w:tc>
        <w:tc>
          <w:tcPr>
            <w:tcW w:w="100" w:type="dxa"/>
            <w:vAlign w:val="bottom"/>
          </w:tcPr>
          <w:p>
            <w:pPr>
              <w:spacing w:after="0"/>
              <w:rPr>
                <w:sz w:val="24"/>
                <w:szCs w:val="24"/>
                <w:color w:val="auto"/>
              </w:rPr>
            </w:pPr>
          </w:p>
        </w:tc>
        <w:tc>
          <w:tcPr>
            <w:tcW w:w="4040" w:type="dxa"/>
            <w:vAlign w:val="bottom"/>
            <w:gridSpan w:val="35"/>
          </w:tcPr>
          <w:p>
            <w:pPr>
              <w:ind w:left="40"/>
              <w:spacing w:after="0"/>
              <w:rPr>
                <w:sz w:val="20"/>
                <w:szCs w:val="20"/>
                <w:color w:val="auto"/>
              </w:rPr>
            </w:pPr>
            <w:r>
              <w:rPr>
                <w:rFonts w:ascii="Times New Roman" w:cs="Times New Roman" w:eastAsia="Times New Roman" w:hAnsi="Times New Roman"/>
                <w:sz w:val="22"/>
                <w:szCs w:val="22"/>
                <w:color w:val="auto"/>
              </w:rPr>
              <w:t>Certified Copies of Organization Documents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131</w:t>
            </w:r>
          </w:p>
        </w:tc>
        <w:tc>
          <w:tcPr>
            <w:tcW w:w="3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129</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§12.3</w:t>
            </w:r>
          </w:p>
        </w:tc>
        <w:tc>
          <w:tcPr>
            <w:tcW w:w="100" w:type="dxa"/>
            <w:vAlign w:val="bottom"/>
          </w:tcPr>
          <w:p>
            <w:pPr>
              <w:spacing w:after="0"/>
              <w:rPr>
                <w:sz w:val="24"/>
                <w:szCs w:val="24"/>
                <w:color w:val="auto"/>
              </w:rPr>
            </w:pPr>
          </w:p>
        </w:tc>
        <w:tc>
          <w:tcPr>
            <w:tcW w:w="2080" w:type="dxa"/>
            <w:vAlign w:val="bottom"/>
            <w:gridSpan w:val="15"/>
          </w:tcPr>
          <w:p>
            <w:pPr>
              <w:ind w:left="40"/>
              <w:spacing w:after="0"/>
              <w:rPr>
                <w:sz w:val="20"/>
                <w:szCs w:val="20"/>
                <w:color w:val="auto"/>
              </w:rPr>
            </w:pPr>
            <w:r>
              <w:rPr>
                <w:rFonts w:ascii="Times New Roman" w:cs="Times New Roman" w:eastAsia="Times New Roman" w:hAnsi="Times New Roman"/>
                <w:sz w:val="22"/>
                <w:szCs w:val="22"/>
                <w:color w:val="auto"/>
              </w:rPr>
              <w:t>By-laws; Resolutions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131</w:t>
            </w:r>
          </w:p>
        </w:tc>
        <w:tc>
          <w:tcPr>
            <w:tcW w:w="3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2"/>
                <w:szCs w:val="22"/>
                <w:color w:val="0000FF"/>
                <w:w w:val="90"/>
              </w:rPr>
              <w:t>129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§12.4</w:t>
            </w:r>
          </w:p>
        </w:tc>
        <w:tc>
          <w:tcPr>
            <w:tcW w:w="100" w:type="dxa"/>
            <w:vAlign w:val="bottom"/>
          </w:tcPr>
          <w:p>
            <w:pPr>
              <w:spacing w:after="0"/>
              <w:rPr>
                <w:sz w:val="24"/>
                <w:szCs w:val="24"/>
                <w:color w:val="auto"/>
              </w:rPr>
            </w:pPr>
          </w:p>
        </w:tc>
        <w:tc>
          <w:tcPr>
            <w:tcW w:w="4040" w:type="dxa"/>
            <w:vAlign w:val="bottom"/>
            <w:gridSpan w:val="35"/>
          </w:tcPr>
          <w:p>
            <w:pPr>
              <w:ind w:left="40"/>
              <w:spacing w:after="0"/>
              <w:rPr>
                <w:sz w:val="20"/>
                <w:szCs w:val="20"/>
                <w:color w:val="auto"/>
              </w:rPr>
            </w:pPr>
            <w:r>
              <w:rPr>
                <w:rFonts w:ascii="Times New Roman" w:cs="Times New Roman" w:eastAsia="Times New Roman" w:hAnsi="Times New Roman"/>
                <w:sz w:val="22"/>
                <w:szCs w:val="22"/>
                <w:color w:val="auto"/>
              </w:rPr>
              <w:t>Incumbency Certificate: Authorized Signers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131</w:t>
            </w:r>
          </w:p>
        </w:tc>
        <w:tc>
          <w:tcPr>
            <w:tcW w:w="3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130</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§12.5</w:t>
            </w:r>
          </w:p>
        </w:tc>
        <w:tc>
          <w:tcPr>
            <w:tcW w:w="100" w:type="dxa"/>
            <w:vAlign w:val="bottom"/>
          </w:tcPr>
          <w:p>
            <w:pPr>
              <w:spacing w:after="0"/>
              <w:rPr>
                <w:sz w:val="24"/>
                <w:szCs w:val="24"/>
                <w:color w:val="auto"/>
              </w:rPr>
            </w:pPr>
          </w:p>
        </w:tc>
        <w:tc>
          <w:tcPr>
            <w:tcW w:w="2960" w:type="dxa"/>
            <w:vAlign w:val="bottom"/>
            <w:gridSpan w:val="26"/>
          </w:tcPr>
          <w:p>
            <w:pPr>
              <w:ind w:left="40"/>
              <w:spacing w:after="0"/>
              <w:rPr>
                <w:sz w:val="20"/>
                <w:szCs w:val="20"/>
                <w:color w:val="auto"/>
              </w:rPr>
            </w:pPr>
            <w:r>
              <w:rPr>
                <w:rFonts w:ascii="Times New Roman" w:cs="Times New Roman" w:eastAsia="Times New Roman" w:hAnsi="Times New Roman"/>
                <w:sz w:val="22"/>
                <w:szCs w:val="22"/>
                <w:color w:val="auto"/>
              </w:rPr>
              <w:t>Pro Forma Financial Statements</w:t>
            </w: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rPr>
              <w:t>131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130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§12.6</w:t>
            </w:r>
          </w:p>
        </w:tc>
        <w:tc>
          <w:tcPr>
            <w:tcW w:w="100" w:type="dxa"/>
            <w:vAlign w:val="bottom"/>
          </w:tcPr>
          <w:p>
            <w:pPr>
              <w:spacing w:after="0"/>
              <w:rPr>
                <w:sz w:val="24"/>
                <w:szCs w:val="24"/>
                <w:color w:val="auto"/>
              </w:rPr>
            </w:pPr>
          </w:p>
        </w:tc>
        <w:tc>
          <w:tcPr>
            <w:tcW w:w="2080" w:type="dxa"/>
            <w:vAlign w:val="bottom"/>
            <w:gridSpan w:val="15"/>
          </w:tcPr>
          <w:p>
            <w:pPr>
              <w:ind w:left="40"/>
              <w:spacing w:after="0"/>
              <w:rPr>
                <w:sz w:val="20"/>
                <w:szCs w:val="20"/>
                <w:color w:val="auto"/>
              </w:rPr>
            </w:pPr>
            <w:r>
              <w:rPr>
                <w:rFonts w:ascii="Times New Roman" w:cs="Times New Roman" w:eastAsia="Times New Roman" w:hAnsi="Times New Roman"/>
                <w:sz w:val="22"/>
                <w:szCs w:val="22"/>
                <w:color w:val="auto"/>
              </w:rPr>
              <w:t>Intentionally Deleted</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6"/>
              </w:rPr>
              <w:t>131</w:t>
            </w:r>
          </w:p>
        </w:tc>
        <w:tc>
          <w:tcPr>
            <w:tcW w:w="3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84"/>
              </w:rPr>
              <w:t>130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§12.7</w:t>
            </w:r>
          </w:p>
        </w:tc>
        <w:tc>
          <w:tcPr>
            <w:tcW w:w="100" w:type="dxa"/>
            <w:vAlign w:val="bottom"/>
          </w:tcPr>
          <w:p>
            <w:pPr>
              <w:spacing w:after="0"/>
              <w:rPr>
                <w:sz w:val="24"/>
                <w:szCs w:val="24"/>
                <w:color w:val="auto"/>
              </w:rPr>
            </w:pPr>
          </w:p>
        </w:tc>
        <w:tc>
          <w:tcPr>
            <w:tcW w:w="2080" w:type="dxa"/>
            <w:vAlign w:val="bottom"/>
            <w:gridSpan w:val="15"/>
          </w:tcPr>
          <w:p>
            <w:pPr>
              <w:ind w:left="40"/>
              <w:spacing w:after="0"/>
              <w:rPr>
                <w:sz w:val="20"/>
                <w:szCs w:val="20"/>
                <w:color w:val="auto"/>
              </w:rPr>
            </w:pPr>
            <w:r>
              <w:rPr>
                <w:rFonts w:ascii="Times New Roman" w:cs="Times New Roman" w:eastAsia="Times New Roman" w:hAnsi="Times New Roman"/>
                <w:sz w:val="22"/>
                <w:szCs w:val="22"/>
                <w:color w:val="auto"/>
              </w:rPr>
              <w:t>Intentionally Deleted</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6"/>
              </w:rPr>
              <w:t>131</w:t>
            </w:r>
          </w:p>
        </w:tc>
        <w:tc>
          <w:tcPr>
            <w:tcW w:w="3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84"/>
              </w:rPr>
              <w:t>130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6800" w:type="dxa"/>
            <w:vAlign w:val="bottom"/>
            <w:gridSpan w:val="44"/>
          </w:tcPr>
          <w:p>
            <w:pPr>
              <w:ind w:left="240"/>
              <w:spacing w:after="0"/>
              <w:rPr>
                <w:sz w:val="20"/>
                <w:szCs w:val="20"/>
                <w:color w:val="auto"/>
              </w:rPr>
            </w:pPr>
            <w:r>
              <w:rPr>
                <w:rFonts w:ascii="Times New Roman" w:cs="Times New Roman" w:eastAsia="Times New Roman" w:hAnsi="Times New Roman"/>
                <w:sz w:val="22"/>
                <w:szCs w:val="22"/>
                <w:color w:val="auto"/>
                <w:w w:val="99"/>
              </w:rPr>
              <w:t>§12.8  Opinion of Counsel Concerning Organization and Loan Documents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131</w:t>
            </w:r>
          </w:p>
        </w:tc>
        <w:tc>
          <w:tcPr>
            <w:tcW w:w="3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6"/>
              </w:rPr>
              <w:t>130</w:t>
            </w: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§12.9</w:t>
            </w:r>
          </w:p>
        </w:tc>
        <w:tc>
          <w:tcPr>
            <w:tcW w:w="100" w:type="dxa"/>
            <w:vAlign w:val="bottom"/>
          </w:tcPr>
          <w:p>
            <w:pPr>
              <w:spacing w:after="0"/>
              <w:rPr>
                <w:sz w:val="24"/>
                <w:szCs w:val="24"/>
                <w:color w:val="auto"/>
              </w:rPr>
            </w:pPr>
          </w:p>
        </w:tc>
        <w:tc>
          <w:tcPr>
            <w:tcW w:w="2440" w:type="dxa"/>
            <w:vAlign w:val="bottom"/>
            <w:gridSpan w:val="17"/>
          </w:tcPr>
          <w:p>
            <w:pPr>
              <w:ind w:left="40"/>
              <w:spacing w:after="0"/>
              <w:rPr>
                <w:sz w:val="20"/>
                <w:szCs w:val="20"/>
                <w:color w:val="auto"/>
              </w:rPr>
            </w:pPr>
            <w:r>
              <w:rPr>
                <w:rFonts w:ascii="Times New Roman" w:cs="Times New Roman" w:eastAsia="Times New Roman" w:hAnsi="Times New Roman"/>
                <w:sz w:val="22"/>
                <w:szCs w:val="22"/>
                <w:color w:val="auto"/>
              </w:rPr>
              <w:t>Compliance with the Acts</w:t>
            </w:r>
          </w:p>
        </w:tc>
        <w:tc>
          <w:tcPr>
            <w:tcW w:w="40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FF0000"/>
                <w:strike w:val="1"/>
                <w:w w:val="84"/>
              </w:rPr>
              <w:t>132</w:t>
            </w: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130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§12.10</w:t>
            </w:r>
          </w:p>
        </w:tc>
        <w:tc>
          <w:tcPr>
            <w:tcW w:w="2080" w:type="dxa"/>
            <w:vAlign w:val="bottom"/>
            <w:gridSpan w:val="15"/>
          </w:tcPr>
          <w:p>
            <w:pPr>
              <w:ind w:left="160"/>
              <w:spacing w:after="0"/>
              <w:rPr>
                <w:sz w:val="20"/>
                <w:szCs w:val="20"/>
                <w:color w:val="auto"/>
              </w:rPr>
            </w:pPr>
            <w:r>
              <w:rPr>
                <w:rFonts w:ascii="Times New Roman" w:cs="Times New Roman" w:eastAsia="Times New Roman" w:hAnsi="Times New Roman"/>
                <w:sz w:val="22"/>
                <w:szCs w:val="22"/>
                <w:color w:val="auto"/>
              </w:rPr>
              <w:t>Intentionally Deleted</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132</w:t>
            </w:r>
          </w:p>
        </w:tc>
        <w:tc>
          <w:tcPr>
            <w:tcW w:w="360" w:type="dxa"/>
            <w:vAlign w:val="bottom"/>
            <w:gridSpan w:val="7"/>
          </w:tcPr>
          <w:p>
            <w:pPr>
              <w:spacing w:after="0"/>
              <w:rPr>
                <w:sz w:val="20"/>
                <w:szCs w:val="20"/>
                <w:color w:val="auto"/>
              </w:rPr>
            </w:pPr>
            <w:r>
              <w:rPr>
                <w:rFonts w:ascii="Times New Roman" w:cs="Times New Roman" w:eastAsia="Times New Roman" w:hAnsi="Times New Roman"/>
                <w:sz w:val="22"/>
                <w:szCs w:val="22"/>
                <w:color w:val="0000FF"/>
              </w:rPr>
              <w:t>130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20" w:type="dxa"/>
            <w:vAlign w:val="bottom"/>
          </w:tcPr>
          <w:p>
            <w:pPr>
              <w:spacing w:after="0"/>
              <w:rPr>
                <w:sz w:val="24"/>
                <w:szCs w:val="24"/>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§12.11</w:t>
            </w:r>
          </w:p>
        </w:tc>
        <w:tc>
          <w:tcPr>
            <w:tcW w:w="2080" w:type="dxa"/>
            <w:vAlign w:val="bottom"/>
            <w:gridSpan w:val="15"/>
          </w:tcPr>
          <w:p>
            <w:pPr>
              <w:ind w:left="140"/>
              <w:spacing w:after="0"/>
              <w:rPr>
                <w:sz w:val="20"/>
                <w:szCs w:val="20"/>
                <w:color w:val="auto"/>
              </w:rPr>
            </w:pPr>
            <w:r>
              <w:rPr>
                <w:rFonts w:ascii="Times New Roman" w:cs="Times New Roman" w:eastAsia="Times New Roman" w:hAnsi="Times New Roman"/>
                <w:sz w:val="22"/>
                <w:szCs w:val="22"/>
                <w:color w:val="auto"/>
              </w:rPr>
              <w:t>Intentionally Deleted</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132</w:t>
            </w:r>
          </w:p>
        </w:tc>
        <w:tc>
          <w:tcPr>
            <w:tcW w:w="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22"/>
                <w:szCs w:val="22"/>
                <w:color w:val="0000FF"/>
                <w:w w:val="84"/>
              </w:rPr>
              <w:t>130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§12.12</w:t>
            </w:r>
          </w:p>
        </w:tc>
        <w:tc>
          <w:tcPr>
            <w:tcW w:w="2080" w:type="dxa"/>
            <w:vAlign w:val="bottom"/>
            <w:gridSpan w:val="15"/>
          </w:tcPr>
          <w:p>
            <w:pPr>
              <w:ind w:left="160"/>
              <w:spacing w:after="0"/>
              <w:rPr>
                <w:sz w:val="20"/>
                <w:szCs w:val="20"/>
                <w:color w:val="auto"/>
              </w:rPr>
            </w:pPr>
            <w:r>
              <w:rPr>
                <w:rFonts w:ascii="Times New Roman" w:cs="Times New Roman" w:eastAsia="Times New Roman" w:hAnsi="Times New Roman"/>
                <w:sz w:val="22"/>
                <w:szCs w:val="22"/>
                <w:color w:val="auto"/>
              </w:rPr>
              <w:t>Intentionally Deleted</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132</w:t>
            </w:r>
          </w:p>
        </w:tc>
        <w:tc>
          <w:tcPr>
            <w:tcW w:w="360" w:type="dxa"/>
            <w:vAlign w:val="bottom"/>
            <w:gridSpan w:val="7"/>
          </w:tcPr>
          <w:p>
            <w:pPr>
              <w:spacing w:after="0"/>
              <w:rPr>
                <w:sz w:val="20"/>
                <w:szCs w:val="20"/>
                <w:color w:val="auto"/>
              </w:rPr>
            </w:pPr>
            <w:r>
              <w:rPr>
                <w:rFonts w:ascii="Times New Roman" w:cs="Times New Roman" w:eastAsia="Times New Roman" w:hAnsi="Times New Roman"/>
                <w:sz w:val="22"/>
                <w:szCs w:val="22"/>
                <w:color w:val="0000FF"/>
              </w:rPr>
              <w:t>130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0139"/>
          </w:cols>
          <w:pgMar w:left="320" w:top="1398" w:right="1440"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47"/>
        </w:trPr>
        <w:tc>
          <w:tcPr>
            <w:tcW w:w="420" w:type="dxa"/>
            <w:vAlign w:val="bottom"/>
          </w:tcPr>
          <w:p>
            <w:pPr>
              <w:spacing w:after="0"/>
              <w:rPr>
                <w:sz w:val="4"/>
                <w:szCs w:val="4"/>
                <w:color w:val="auto"/>
              </w:rPr>
            </w:pP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§12.13</w:t>
            </w:r>
          </w:p>
        </w:tc>
        <w:tc>
          <w:tcPr>
            <w:tcW w:w="3800" w:type="dxa"/>
            <w:vAlign w:val="bottom"/>
            <w:gridSpan w:val="35"/>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Certifications from Government Officials</w:t>
            </w:r>
          </w:p>
        </w:tc>
        <w:tc>
          <w:tcPr>
            <w:tcW w:w="140" w:type="dxa"/>
            <w:vAlign w:val="bottom"/>
            <w:vMerge w:val="restart"/>
          </w:tcPr>
          <w:p>
            <w:pPr>
              <w:spacing w:after="0"/>
              <w:rPr>
                <w:sz w:val="4"/>
                <w:szCs w:val="4"/>
                <w:color w:val="auto"/>
              </w:rPr>
            </w:pPr>
          </w:p>
        </w:tc>
        <w:tc>
          <w:tcPr>
            <w:tcW w:w="320" w:type="dxa"/>
            <w:vAlign w:val="bottom"/>
            <w:gridSpan w:val="4"/>
            <w:vMerge w:val="restart"/>
          </w:tcPr>
          <w:p>
            <w:pPr>
              <w:spacing w:after="0"/>
              <w:rPr>
                <w:sz w:val="20"/>
                <w:szCs w:val="20"/>
                <w:color w:val="auto"/>
              </w:rPr>
            </w:pPr>
            <w:r>
              <w:rPr>
                <w:rFonts w:ascii="Times New Roman" w:cs="Times New Roman" w:eastAsia="Times New Roman" w:hAnsi="Times New Roman"/>
                <w:sz w:val="22"/>
                <w:szCs w:val="22"/>
                <w:color w:val="FF0000"/>
                <w:strike w:val="1"/>
                <w:w w:val="90"/>
              </w:rPr>
              <w:t>132</w:t>
            </w:r>
          </w:p>
        </w:tc>
        <w:tc>
          <w:tcPr>
            <w:tcW w:w="34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22"/>
                <w:szCs w:val="22"/>
                <w:color w:val="0000FF"/>
                <w:w w:val="90"/>
              </w:rPr>
              <w:t>131</w:t>
            </w:r>
          </w:p>
        </w:tc>
        <w:tc>
          <w:tcPr>
            <w:tcW w:w="160" w:type="dxa"/>
            <w:vAlign w:val="bottom"/>
            <w:vMerge w:val="restart"/>
          </w:tcPr>
          <w:p>
            <w:pPr>
              <w:spacing w:after="0"/>
              <w:rPr>
                <w:sz w:val="4"/>
                <w:szCs w:val="4"/>
                <w:color w:val="auto"/>
              </w:rPr>
            </w:pPr>
          </w:p>
        </w:tc>
        <w:tc>
          <w:tcPr>
            <w:tcW w:w="250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0" w:type="dxa"/>
            <w:vAlign w:val="bottom"/>
            <w:gridSpan w:val="35"/>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20" w:type="dxa"/>
            <w:vAlign w:val="bottom"/>
            <w:gridSpan w:val="4"/>
            <w:vMerge w:val="continue"/>
          </w:tcPr>
          <w:p>
            <w:pPr>
              <w:spacing w:after="0"/>
              <w:rPr>
                <w:sz w:val="17"/>
                <w:szCs w:val="17"/>
                <w:color w:val="auto"/>
              </w:rPr>
            </w:pPr>
          </w:p>
        </w:tc>
        <w:tc>
          <w:tcPr>
            <w:tcW w:w="340" w:type="dxa"/>
            <w:vAlign w:val="bottom"/>
            <w:gridSpan w:val="6"/>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5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§12.14</w:t>
            </w:r>
          </w:p>
        </w:tc>
        <w:tc>
          <w:tcPr>
            <w:tcW w:w="96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w w:val="97"/>
              </w:rPr>
              <w:t>Reserved</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rPr>
              <w:t>132</w:t>
            </w:r>
          </w:p>
        </w:tc>
        <w:tc>
          <w:tcPr>
            <w:tcW w:w="360" w:type="dxa"/>
            <w:vAlign w:val="bottom"/>
            <w:gridSpan w:val="5"/>
          </w:tcPr>
          <w:p>
            <w:pPr>
              <w:jc w:val="right"/>
              <w:ind w:right="40"/>
              <w:spacing w:after="0"/>
              <w:rPr>
                <w:sz w:val="20"/>
                <w:szCs w:val="20"/>
                <w:color w:val="auto"/>
              </w:rPr>
            </w:pPr>
            <w:r>
              <w:rPr>
                <w:rFonts w:ascii="Times New Roman" w:cs="Times New Roman" w:eastAsia="Times New Roman" w:hAnsi="Times New Roman"/>
                <w:sz w:val="22"/>
                <w:szCs w:val="22"/>
                <w:color w:val="0000FF"/>
                <w:w w:val="90"/>
              </w:rPr>
              <w:t>131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§12.15</w:t>
            </w:r>
          </w:p>
        </w:tc>
        <w:tc>
          <w:tcPr>
            <w:tcW w:w="2640" w:type="dxa"/>
            <w:vAlign w:val="bottom"/>
            <w:gridSpan w:val="24"/>
          </w:tcPr>
          <w:p>
            <w:pPr>
              <w:ind w:left="140"/>
              <w:spacing w:after="0"/>
              <w:rPr>
                <w:sz w:val="20"/>
                <w:szCs w:val="20"/>
                <w:color w:val="auto"/>
              </w:rPr>
            </w:pPr>
            <w:r>
              <w:rPr>
                <w:rFonts w:ascii="Times New Roman" w:cs="Times New Roman" w:eastAsia="Times New Roman" w:hAnsi="Times New Roman"/>
                <w:sz w:val="22"/>
                <w:szCs w:val="22"/>
                <w:color w:val="auto"/>
                <w:w w:val="98"/>
              </w:rPr>
              <w:t>Proceedings and Documents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6"/>
              </w:rPr>
              <w:t>132</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131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§12.16</w:t>
            </w:r>
          </w:p>
        </w:tc>
        <w:tc>
          <w:tcPr>
            <w:tcW w:w="96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Fees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132</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131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§12.17</w:t>
            </w:r>
          </w:p>
        </w:tc>
        <w:tc>
          <w:tcPr>
            <w:tcW w:w="7700" w:type="dxa"/>
            <w:vAlign w:val="bottom"/>
            <w:gridSpan w:val="50"/>
          </w:tcPr>
          <w:p>
            <w:pPr>
              <w:ind w:left="140"/>
              <w:spacing w:after="0"/>
              <w:rPr>
                <w:sz w:val="20"/>
                <w:szCs w:val="20"/>
                <w:color w:val="auto"/>
              </w:rPr>
            </w:pPr>
            <w:r>
              <w:rPr>
                <w:rFonts w:ascii="Times New Roman" w:cs="Times New Roman" w:eastAsia="Times New Roman" w:hAnsi="Times New Roman"/>
                <w:sz w:val="22"/>
                <w:szCs w:val="22"/>
                <w:color w:val="auto"/>
              </w:rPr>
              <w:t>Closing Certificate; Compliance Certificate; Sustainability Metric Annual Certificate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132</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131</w:t>
            </w:r>
          </w:p>
        </w:tc>
        <w:tc>
          <w:tcPr>
            <w:tcW w:w="0" w:type="dxa"/>
            <w:vAlign w:val="bottom"/>
          </w:tcPr>
          <w:p>
            <w:pPr>
              <w:spacing w:after="0"/>
              <w:rPr>
                <w:sz w:val="1"/>
                <w:szCs w:val="1"/>
                <w:color w:val="auto"/>
              </w:rPr>
            </w:pPr>
          </w:p>
        </w:tc>
      </w:tr>
      <w:tr>
        <w:trPr>
          <w:trHeight w:val="48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4980" w:type="dxa"/>
            <w:vAlign w:val="bottom"/>
            <w:gridSpan w:val="38"/>
          </w:tcPr>
          <w:p>
            <w:pPr>
              <w:ind w:left="100"/>
              <w:spacing w:after="0"/>
              <w:rPr>
                <w:sz w:val="20"/>
                <w:szCs w:val="20"/>
                <w:color w:val="auto"/>
              </w:rPr>
            </w:pPr>
            <w:r>
              <w:rPr>
                <w:rFonts w:ascii="Times New Roman" w:cs="Times New Roman" w:eastAsia="Times New Roman" w:hAnsi="Times New Roman"/>
                <w:sz w:val="22"/>
                <w:szCs w:val="22"/>
                <w:color w:val="auto"/>
              </w:rPr>
              <w:t>CONDITIONS TO ALL EXTENSIONS OF CREDIT</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96"/>
              </w:rPr>
              <w:t>133</w:t>
            </w:r>
          </w:p>
        </w:tc>
        <w:tc>
          <w:tcPr>
            <w:tcW w:w="3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131</w:t>
            </w: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§13.1</w:t>
            </w:r>
          </w:p>
        </w:tc>
        <w:tc>
          <w:tcPr>
            <w:tcW w:w="3800" w:type="dxa"/>
            <w:vAlign w:val="bottom"/>
            <w:gridSpan w:val="35"/>
          </w:tcPr>
          <w:p>
            <w:pPr>
              <w:ind w:left="20"/>
              <w:spacing w:after="0"/>
              <w:rPr>
                <w:sz w:val="20"/>
                <w:szCs w:val="20"/>
                <w:color w:val="auto"/>
              </w:rPr>
            </w:pPr>
            <w:r>
              <w:rPr>
                <w:rFonts w:ascii="Times New Roman" w:cs="Times New Roman" w:eastAsia="Times New Roman" w:hAnsi="Times New Roman"/>
                <w:sz w:val="22"/>
                <w:szCs w:val="22"/>
                <w:color w:val="auto"/>
                <w:w w:val="99"/>
              </w:rPr>
              <w:t>Representations True; No Event of Default</w:t>
            </w:r>
          </w:p>
        </w:tc>
        <w:tc>
          <w:tcPr>
            <w:tcW w:w="140" w:type="dxa"/>
            <w:vAlign w:val="bottom"/>
          </w:tcPr>
          <w:p>
            <w:pPr>
              <w:spacing w:after="0"/>
              <w:rPr>
                <w:sz w:val="24"/>
                <w:szCs w:val="24"/>
                <w:color w:val="auto"/>
              </w:rPr>
            </w:pPr>
          </w:p>
        </w:tc>
        <w:tc>
          <w:tcPr>
            <w:tcW w:w="340" w:type="dxa"/>
            <w:vAlign w:val="bottom"/>
            <w:gridSpan w:val="5"/>
          </w:tcPr>
          <w:p>
            <w:pPr>
              <w:spacing w:after="0"/>
              <w:rPr>
                <w:sz w:val="20"/>
                <w:szCs w:val="20"/>
                <w:color w:val="auto"/>
              </w:rPr>
            </w:pPr>
            <w:r>
              <w:rPr>
                <w:rFonts w:ascii="Times New Roman" w:cs="Times New Roman" w:eastAsia="Times New Roman" w:hAnsi="Times New Roman"/>
                <w:sz w:val="22"/>
                <w:szCs w:val="22"/>
                <w:color w:val="FF0000"/>
                <w:strike w:val="1"/>
                <w:w w:val="96"/>
              </w:rPr>
              <w:t>133</w:t>
            </w:r>
          </w:p>
        </w:tc>
        <w:tc>
          <w:tcPr>
            <w:tcW w:w="3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131</w:t>
            </w: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§13.2</w:t>
            </w:r>
          </w:p>
        </w:tc>
        <w:tc>
          <w:tcPr>
            <w:tcW w:w="2020" w:type="dxa"/>
            <w:vAlign w:val="bottom"/>
            <w:gridSpan w:val="15"/>
          </w:tcPr>
          <w:p>
            <w:pPr>
              <w:ind w:left="20"/>
              <w:spacing w:after="0"/>
              <w:rPr>
                <w:sz w:val="20"/>
                <w:szCs w:val="20"/>
                <w:color w:val="auto"/>
              </w:rPr>
            </w:pPr>
            <w:r>
              <w:rPr>
                <w:rFonts w:ascii="Times New Roman" w:cs="Times New Roman" w:eastAsia="Times New Roman" w:hAnsi="Times New Roman"/>
                <w:sz w:val="22"/>
                <w:szCs w:val="22"/>
                <w:color w:val="auto"/>
              </w:rPr>
              <w:t>No Legal Impediment</w:t>
            </w:r>
          </w:p>
        </w:tc>
        <w:tc>
          <w:tcPr>
            <w:tcW w:w="46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FF0000"/>
                <w:strike w:val="1"/>
              </w:rPr>
              <w:t>133</w:t>
            </w:r>
          </w:p>
        </w:tc>
        <w:tc>
          <w:tcPr>
            <w:tcW w:w="3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2"/>
                <w:szCs w:val="22"/>
                <w:color w:val="0000FF"/>
                <w:w w:val="90"/>
              </w:rPr>
              <w:t>132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§13.3</w:t>
            </w:r>
          </w:p>
        </w:tc>
        <w:tc>
          <w:tcPr>
            <w:tcW w:w="2480" w:type="dxa"/>
            <w:vAlign w:val="bottom"/>
            <w:gridSpan w:val="22"/>
          </w:tcPr>
          <w:p>
            <w:pPr>
              <w:ind w:left="20"/>
              <w:spacing w:after="0"/>
              <w:rPr>
                <w:sz w:val="20"/>
                <w:szCs w:val="20"/>
                <w:color w:val="auto"/>
              </w:rPr>
            </w:pPr>
            <w:r>
              <w:rPr>
                <w:rFonts w:ascii="Times New Roman" w:cs="Times New Roman" w:eastAsia="Times New Roman" w:hAnsi="Times New Roman"/>
                <w:sz w:val="22"/>
                <w:szCs w:val="22"/>
                <w:color w:val="auto"/>
              </w:rPr>
              <w:t>Governmental Regulation</w:t>
            </w: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133</w:t>
            </w:r>
          </w:p>
        </w:tc>
        <w:tc>
          <w:tcPr>
            <w:tcW w:w="480" w:type="dxa"/>
            <w:vAlign w:val="bottom"/>
            <w:gridSpan w:val="4"/>
          </w:tcPr>
          <w:p>
            <w:pPr>
              <w:jc w:val="right"/>
              <w:ind w:right="52"/>
              <w:spacing w:after="0"/>
              <w:rPr>
                <w:sz w:val="20"/>
                <w:szCs w:val="20"/>
                <w:color w:val="auto"/>
              </w:rPr>
            </w:pPr>
            <w:r>
              <w:rPr>
                <w:rFonts w:ascii="Times New Roman" w:cs="Times New Roman" w:eastAsia="Times New Roman" w:hAnsi="Times New Roman"/>
                <w:sz w:val="22"/>
                <w:szCs w:val="22"/>
                <w:color w:val="0000FF"/>
                <w:w w:val="90"/>
              </w:rPr>
              <w:t>132</w:t>
            </w:r>
          </w:p>
        </w:tc>
        <w:tc>
          <w:tcPr>
            <w:tcW w:w="3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§13.4</w:t>
            </w:r>
          </w:p>
        </w:tc>
        <w:tc>
          <w:tcPr>
            <w:tcW w:w="7260" w:type="dxa"/>
            <w:vAlign w:val="bottom"/>
            <w:gridSpan w:val="48"/>
          </w:tcPr>
          <w:p>
            <w:pPr>
              <w:ind w:left="20"/>
              <w:spacing w:after="0"/>
              <w:rPr>
                <w:sz w:val="20"/>
                <w:szCs w:val="20"/>
                <w:color w:val="auto"/>
              </w:rPr>
            </w:pPr>
            <w:r>
              <w:rPr>
                <w:rFonts w:ascii="Times New Roman" w:cs="Times New Roman" w:eastAsia="Times New Roman" w:hAnsi="Times New Roman"/>
                <w:sz w:val="22"/>
                <w:szCs w:val="22"/>
                <w:color w:val="auto"/>
              </w:rPr>
              <w:t>No Change Rendering Extension of Credit in Alternative Currency Impracticable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133</w:t>
            </w: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6"/>
              </w:rPr>
              <w:t>132</w:t>
            </w:r>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100" w:type="dxa"/>
            <w:vAlign w:val="bottom"/>
            <w:gridSpan w:val="37"/>
          </w:tcPr>
          <w:p>
            <w:pPr>
              <w:spacing w:after="0"/>
              <w:rPr>
                <w:sz w:val="20"/>
                <w:szCs w:val="20"/>
                <w:color w:val="auto"/>
              </w:rPr>
            </w:pPr>
            <w:r>
              <w:rPr>
                <w:rFonts w:ascii="Times New Roman" w:cs="Times New Roman" w:eastAsia="Times New Roman" w:hAnsi="Times New Roman"/>
                <w:sz w:val="22"/>
                <w:szCs w:val="22"/>
                <w:color w:val="auto"/>
              </w:rPr>
              <w:t>§14  EVENTS OF DEFAULT; ACCELERATION; ETC</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rPr>
              <w:t>134</w:t>
            </w:r>
          </w:p>
        </w:tc>
        <w:tc>
          <w:tcPr>
            <w:tcW w:w="3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§14.1</w:t>
            </w:r>
          </w:p>
        </w:tc>
        <w:tc>
          <w:tcPr>
            <w:tcW w:w="3280" w:type="dxa"/>
            <w:vAlign w:val="bottom"/>
            <w:gridSpan w:val="32"/>
          </w:tcPr>
          <w:p>
            <w:pPr>
              <w:ind w:left="20"/>
              <w:spacing w:after="0"/>
              <w:rPr>
                <w:sz w:val="20"/>
                <w:szCs w:val="20"/>
                <w:color w:val="auto"/>
              </w:rPr>
            </w:pPr>
            <w:r>
              <w:rPr>
                <w:rFonts w:ascii="Times New Roman" w:cs="Times New Roman" w:eastAsia="Times New Roman" w:hAnsi="Times New Roman"/>
                <w:sz w:val="22"/>
                <w:szCs w:val="22"/>
                <w:color w:val="auto"/>
              </w:rPr>
              <w:t>Events of Default and Acceleration</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6"/>
              </w:rPr>
              <w:t>134</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133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5"/>
          </w:tcPr>
          <w:p>
            <w:pPr>
              <w:spacing w:after="0"/>
              <w:rPr>
                <w:sz w:val="24"/>
                <w:szCs w:val="24"/>
                <w:color w:val="auto"/>
              </w:rPr>
            </w:pPr>
          </w:p>
        </w:tc>
        <w:tc>
          <w:tcPr>
            <w:tcW w:w="38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§14.2</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Remedies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137</w:t>
            </w:r>
          </w:p>
        </w:tc>
        <w:tc>
          <w:tcPr>
            <w:tcW w:w="3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136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§14.3</w:t>
            </w:r>
          </w:p>
        </w:tc>
        <w:tc>
          <w:tcPr>
            <w:tcW w:w="2020" w:type="dxa"/>
            <w:vAlign w:val="bottom"/>
            <w:gridSpan w:val="15"/>
          </w:tcPr>
          <w:p>
            <w:pPr>
              <w:ind w:left="20"/>
              <w:spacing w:after="0"/>
              <w:rPr>
                <w:sz w:val="20"/>
                <w:szCs w:val="20"/>
                <w:color w:val="auto"/>
              </w:rPr>
            </w:pPr>
            <w:r>
              <w:rPr>
                <w:rFonts w:ascii="Times New Roman" w:cs="Times New Roman" w:eastAsia="Times New Roman" w:hAnsi="Times New Roman"/>
                <w:sz w:val="22"/>
                <w:szCs w:val="22"/>
                <w:color w:val="auto"/>
              </w:rPr>
              <w:t>Application of Funds</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rPr>
              <w:t>138</w:t>
            </w:r>
          </w:p>
        </w:tc>
        <w:tc>
          <w:tcPr>
            <w:tcW w:w="3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2"/>
                <w:szCs w:val="22"/>
                <w:color w:val="0000FF"/>
                <w:w w:val="90"/>
              </w:rPr>
              <w:t>137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8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SETOFF</w:t>
            </w:r>
          </w:p>
        </w:tc>
        <w:tc>
          <w:tcPr>
            <w:tcW w:w="540" w:type="dxa"/>
            <w:vAlign w:val="bottom"/>
          </w:tcPr>
          <w:p>
            <w:pPr>
              <w:ind w:left="200"/>
              <w:spacing w:after="0"/>
              <w:rPr>
                <w:sz w:val="20"/>
                <w:szCs w:val="20"/>
                <w:color w:val="auto"/>
              </w:rPr>
            </w:pPr>
            <w:r>
              <w:rPr>
                <w:rFonts w:ascii="Times New Roman" w:cs="Times New Roman" w:eastAsia="Times New Roman" w:hAnsi="Times New Roman"/>
                <w:sz w:val="22"/>
                <w:szCs w:val="22"/>
                <w:color w:val="FF0000"/>
                <w:strike w:val="1"/>
                <w:w w:val="96"/>
              </w:rPr>
              <w:t>139</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137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§16</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THE AGENT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139</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137</w:t>
            </w:r>
          </w:p>
        </w:tc>
        <w:tc>
          <w:tcPr>
            <w:tcW w:w="20" w:type="dxa"/>
            <w:vAlign w:val="bottom"/>
          </w:tcPr>
          <w:p>
            <w:pPr>
              <w:spacing w:after="0"/>
              <w:rPr>
                <w:sz w:val="24"/>
                <w:szCs w:val="24"/>
                <w:color w:val="auto"/>
              </w:rPr>
            </w:pPr>
          </w:p>
        </w:tc>
        <w:tc>
          <w:tcPr>
            <w:tcW w:w="3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§16.1</w:t>
            </w:r>
          </w:p>
        </w:tc>
        <w:tc>
          <w:tcPr>
            <w:tcW w:w="2640" w:type="dxa"/>
            <w:vAlign w:val="bottom"/>
            <w:gridSpan w:val="24"/>
          </w:tcPr>
          <w:p>
            <w:pPr>
              <w:ind w:left="20"/>
              <w:spacing w:after="0"/>
              <w:rPr>
                <w:sz w:val="20"/>
                <w:szCs w:val="20"/>
                <w:color w:val="auto"/>
              </w:rPr>
            </w:pPr>
            <w:r>
              <w:rPr>
                <w:rFonts w:ascii="Times New Roman" w:cs="Times New Roman" w:eastAsia="Times New Roman" w:hAnsi="Times New Roman"/>
                <w:sz w:val="22"/>
                <w:szCs w:val="22"/>
                <w:color w:val="auto"/>
              </w:rPr>
              <w:t>Appointment and Authority</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139</w:t>
            </w:r>
          </w:p>
        </w:tc>
        <w:tc>
          <w:tcPr>
            <w:tcW w:w="500" w:type="dxa"/>
            <w:vAlign w:val="bottom"/>
            <w:gridSpan w:val="4"/>
          </w:tcPr>
          <w:p>
            <w:pPr>
              <w:jc w:val="right"/>
              <w:ind w:right="72"/>
              <w:spacing w:after="0"/>
              <w:rPr>
                <w:sz w:val="20"/>
                <w:szCs w:val="20"/>
                <w:color w:val="auto"/>
              </w:rPr>
            </w:pPr>
            <w:r>
              <w:rPr>
                <w:rFonts w:ascii="Times New Roman" w:cs="Times New Roman" w:eastAsia="Times New Roman" w:hAnsi="Times New Roman"/>
                <w:sz w:val="22"/>
                <w:szCs w:val="22"/>
                <w:color w:val="0000FF"/>
                <w:w w:val="90"/>
              </w:rPr>
              <w:t>137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§16.2</w:t>
            </w:r>
          </w:p>
        </w:tc>
        <w:tc>
          <w:tcPr>
            <w:tcW w:w="1700" w:type="dxa"/>
            <w:vAlign w:val="bottom"/>
            <w:gridSpan w:val="11"/>
          </w:tcPr>
          <w:p>
            <w:pPr>
              <w:ind w:left="20"/>
              <w:spacing w:after="0"/>
              <w:rPr>
                <w:sz w:val="20"/>
                <w:szCs w:val="20"/>
                <w:color w:val="auto"/>
              </w:rPr>
            </w:pPr>
            <w:r>
              <w:rPr>
                <w:rFonts w:ascii="Times New Roman" w:cs="Times New Roman" w:eastAsia="Times New Roman" w:hAnsi="Times New Roman"/>
                <w:sz w:val="22"/>
                <w:szCs w:val="22"/>
                <w:color w:val="auto"/>
              </w:rPr>
              <w:t>Rights as a Bank</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139</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138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§16.3</w:t>
            </w: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rPr>
              <w:t>No Liability</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0"/>
              </w:rPr>
              <w:t>139</w:t>
            </w:r>
          </w:p>
        </w:tc>
        <w:tc>
          <w:tcPr>
            <w:tcW w:w="34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6"/>
              </w:rPr>
              <w:t>138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§16.4</w:t>
            </w:r>
          </w:p>
        </w:tc>
        <w:tc>
          <w:tcPr>
            <w:tcW w:w="1700" w:type="dxa"/>
            <w:vAlign w:val="bottom"/>
            <w:gridSpan w:val="11"/>
          </w:tcPr>
          <w:p>
            <w:pPr>
              <w:ind w:left="20"/>
              <w:spacing w:after="0"/>
              <w:rPr>
                <w:sz w:val="20"/>
                <w:szCs w:val="20"/>
                <w:color w:val="auto"/>
              </w:rPr>
            </w:pPr>
            <w:r>
              <w:rPr>
                <w:rFonts w:ascii="Times New Roman" w:cs="Times New Roman" w:eastAsia="Times New Roman" w:hAnsi="Times New Roman"/>
                <w:sz w:val="22"/>
                <w:szCs w:val="22"/>
                <w:color w:val="auto"/>
              </w:rPr>
              <w:t>Reliance by Agent</w:t>
            </w:r>
          </w:p>
        </w:tc>
        <w:tc>
          <w:tcPr>
            <w:tcW w:w="140" w:type="dxa"/>
            <w:vAlign w:val="bottom"/>
            <w:gridSpan w:val="2"/>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6"/>
              </w:rPr>
              <w:t>140</w:t>
            </w:r>
          </w:p>
        </w:tc>
        <w:tc>
          <w:tcPr>
            <w:tcW w:w="32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2"/>
                <w:szCs w:val="22"/>
                <w:color w:val="0000FF"/>
                <w:w w:val="90"/>
              </w:rPr>
              <w:t>139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§16.5</w:t>
            </w:r>
          </w:p>
        </w:tc>
        <w:tc>
          <w:tcPr>
            <w:tcW w:w="2020" w:type="dxa"/>
            <w:vAlign w:val="bottom"/>
            <w:gridSpan w:val="15"/>
          </w:tcPr>
          <w:p>
            <w:pPr>
              <w:ind w:left="20"/>
              <w:spacing w:after="0"/>
              <w:rPr>
                <w:sz w:val="20"/>
                <w:szCs w:val="20"/>
                <w:color w:val="auto"/>
              </w:rPr>
            </w:pPr>
            <w:r>
              <w:rPr>
                <w:rFonts w:ascii="Times New Roman" w:cs="Times New Roman" w:eastAsia="Times New Roman" w:hAnsi="Times New Roman"/>
                <w:sz w:val="22"/>
                <w:szCs w:val="22"/>
                <w:color w:val="auto"/>
              </w:rPr>
              <w:t>Delegation of Duties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6"/>
              </w:rPr>
              <w:t>141</w:t>
            </w:r>
          </w:p>
        </w:tc>
        <w:tc>
          <w:tcPr>
            <w:tcW w:w="32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2"/>
                <w:szCs w:val="22"/>
                <w:color w:val="0000FF"/>
                <w:w w:val="90"/>
              </w:rPr>
              <w:t>139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§16.6</w:t>
            </w:r>
          </w:p>
        </w:tc>
        <w:tc>
          <w:tcPr>
            <w:tcW w:w="2020" w:type="dxa"/>
            <w:vAlign w:val="bottom"/>
            <w:gridSpan w:val="15"/>
          </w:tcPr>
          <w:p>
            <w:pPr>
              <w:ind w:left="20"/>
              <w:spacing w:after="0"/>
              <w:rPr>
                <w:sz w:val="20"/>
                <w:szCs w:val="20"/>
                <w:color w:val="auto"/>
              </w:rPr>
            </w:pPr>
            <w:r>
              <w:rPr>
                <w:rFonts w:ascii="Times New Roman" w:cs="Times New Roman" w:eastAsia="Times New Roman" w:hAnsi="Times New Roman"/>
                <w:sz w:val="22"/>
                <w:szCs w:val="22"/>
                <w:color w:val="auto"/>
              </w:rPr>
              <w:t>Resignation of Agent</w:t>
            </w:r>
          </w:p>
        </w:tc>
        <w:tc>
          <w:tcPr>
            <w:tcW w:w="40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rPr>
              <w:t>141</w:t>
            </w:r>
          </w:p>
        </w:tc>
        <w:tc>
          <w:tcPr>
            <w:tcW w:w="32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2"/>
                <w:szCs w:val="22"/>
                <w:color w:val="0000FF"/>
                <w:w w:val="90"/>
              </w:rPr>
              <w:t>140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§16.7</w:t>
            </w:r>
          </w:p>
        </w:tc>
        <w:tc>
          <w:tcPr>
            <w:tcW w:w="3800" w:type="dxa"/>
            <w:vAlign w:val="bottom"/>
            <w:gridSpan w:val="35"/>
          </w:tcPr>
          <w:p>
            <w:pPr>
              <w:ind w:left="20"/>
              <w:spacing w:after="0"/>
              <w:rPr>
                <w:sz w:val="20"/>
                <w:szCs w:val="20"/>
                <w:color w:val="auto"/>
              </w:rPr>
            </w:pPr>
            <w:r>
              <w:rPr>
                <w:rFonts w:ascii="Times New Roman" w:cs="Times New Roman" w:eastAsia="Times New Roman" w:hAnsi="Times New Roman"/>
                <w:sz w:val="22"/>
                <w:szCs w:val="22"/>
                <w:color w:val="auto"/>
              </w:rPr>
              <w:t>Non-Reliance on Agent and Other Banks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w w:val="90"/>
              </w:rPr>
              <w:t>143</w:t>
            </w:r>
          </w:p>
        </w:tc>
        <w:tc>
          <w:tcPr>
            <w:tcW w:w="380" w:type="dxa"/>
            <w:vAlign w:val="bottom"/>
            <w:gridSpan w:val="6"/>
          </w:tcPr>
          <w:p>
            <w:pPr>
              <w:jc w:val="right"/>
              <w:ind w:right="60"/>
              <w:spacing w:after="0"/>
              <w:rPr>
                <w:sz w:val="20"/>
                <w:szCs w:val="20"/>
                <w:color w:val="auto"/>
              </w:rPr>
            </w:pPr>
            <w:r>
              <w:rPr>
                <w:rFonts w:ascii="Times New Roman" w:cs="Times New Roman" w:eastAsia="Times New Roman" w:hAnsi="Times New Roman"/>
                <w:sz w:val="22"/>
                <w:szCs w:val="22"/>
                <w:color w:val="0000FF"/>
                <w:w w:val="90"/>
              </w:rPr>
              <w:t>141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§16.8</w:t>
            </w:r>
          </w:p>
        </w:tc>
        <w:tc>
          <w:tcPr>
            <w:tcW w:w="2020" w:type="dxa"/>
            <w:vAlign w:val="bottom"/>
            <w:gridSpan w:val="15"/>
          </w:tcPr>
          <w:p>
            <w:pPr>
              <w:ind w:left="20"/>
              <w:spacing w:after="0"/>
              <w:rPr>
                <w:sz w:val="20"/>
                <w:szCs w:val="20"/>
                <w:color w:val="auto"/>
              </w:rPr>
            </w:pPr>
            <w:r>
              <w:rPr>
                <w:rFonts w:ascii="Times New Roman" w:cs="Times New Roman" w:eastAsia="Times New Roman" w:hAnsi="Times New Roman"/>
                <w:sz w:val="22"/>
                <w:szCs w:val="22"/>
                <w:color w:val="auto"/>
              </w:rPr>
              <w:t>No Other Duties, Etc</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rPr>
              <w:t>143</w:t>
            </w:r>
          </w:p>
        </w:tc>
        <w:tc>
          <w:tcPr>
            <w:tcW w:w="34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2"/>
                <w:szCs w:val="22"/>
                <w:color w:val="0000FF"/>
                <w:w w:val="96"/>
              </w:rPr>
              <w:t>142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10139"/>
          </w:cols>
          <w:pgMar w:left="320" w:top="1398" w:right="1440"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47"/>
        </w:trPr>
        <w:tc>
          <w:tcPr>
            <w:tcW w:w="420" w:type="dxa"/>
            <w:vAlign w:val="bottom"/>
          </w:tcPr>
          <w:p>
            <w:pPr>
              <w:spacing w:after="0"/>
              <w:rPr>
                <w:sz w:val="4"/>
                <w:szCs w:val="4"/>
                <w:color w:val="auto"/>
              </w:rPr>
            </w:pP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§16.9</w:t>
            </w:r>
          </w:p>
        </w:tc>
        <w:tc>
          <w:tcPr>
            <w:tcW w:w="2280" w:type="dxa"/>
            <w:vAlign w:val="bottom"/>
            <w:gridSpan w:val="22"/>
            <w:vMerge w:val="restart"/>
          </w:tcPr>
          <w:p>
            <w:pPr>
              <w:ind w:left="40"/>
              <w:spacing w:after="0"/>
              <w:rPr>
                <w:sz w:val="20"/>
                <w:szCs w:val="20"/>
                <w:color w:val="auto"/>
              </w:rPr>
            </w:pPr>
            <w:r>
              <w:rPr>
                <w:rFonts w:ascii="Times New Roman" w:cs="Times New Roman" w:eastAsia="Times New Roman" w:hAnsi="Times New Roman"/>
                <w:sz w:val="22"/>
                <w:szCs w:val="22"/>
                <w:color w:val="auto"/>
              </w:rPr>
              <w:t>Certain ERISA Matters</w:t>
            </w: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6"/>
              </w:rPr>
              <w:t>143</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142</w:t>
            </w: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80" w:type="dxa"/>
            <w:vAlign w:val="bottom"/>
            <w:gridSpan w:val="22"/>
            <w:vMerge w:val="continue"/>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320" w:type="dxa"/>
            <w:vAlign w:val="bottom"/>
            <w:tcBorders>
              <w:bottom w:val="single" w:sz="8" w:color="0000FF"/>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9"/>
              </w:rPr>
              <w:t>§16.10</w:t>
            </w:r>
          </w:p>
        </w:tc>
        <w:tc>
          <w:tcPr>
            <w:tcW w:w="11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Notices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6"/>
              </w:rPr>
              <w:t>144</w:t>
            </w: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6"/>
              </w:rPr>
              <w:t>143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9"/>
              </w:rPr>
              <w:t>§16.11</w:t>
            </w:r>
          </w:p>
        </w:tc>
        <w:tc>
          <w:tcPr>
            <w:tcW w:w="3360" w:type="dxa"/>
            <w:vAlign w:val="bottom"/>
            <w:gridSpan w:val="32"/>
          </w:tcPr>
          <w:p>
            <w:pPr>
              <w:ind w:left="140"/>
              <w:spacing w:after="0"/>
              <w:rPr>
                <w:sz w:val="20"/>
                <w:szCs w:val="20"/>
                <w:color w:val="auto"/>
              </w:rPr>
            </w:pPr>
            <w:r>
              <w:rPr>
                <w:rFonts w:ascii="Times New Roman" w:cs="Times New Roman" w:eastAsia="Times New Roman" w:hAnsi="Times New Roman"/>
                <w:sz w:val="22"/>
                <w:szCs w:val="22"/>
                <w:color w:val="auto"/>
                <w:w w:val="98"/>
              </w:rPr>
              <w:t>The Agent May File Proofs of Claim</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rPr>
              <w:t>144</w:t>
            </w:r>
          </w:p>
        </w:tc>
        <w:tc>
          <w:tcPr>
            <w:tcW w:w="560" w:type="dxa"/>
            <w:vAlign w:val="bottom"/>
            <w:gridSpan w:val="3"/>
          </w:tcPr>
          <w:p>
            <w:pPr>
              <w:jc w:val="right"/>
              <w:ind w:right="172"/>
              <w:spacing w:after="0"/>
              <w:rPr>
                <w:sz w:val="20"/>
                <w:szCs w:val="20"/>
                <w:color w:val="auto"/>
              </w:rPr>
            </w:pPr>
            <w:r>
              <w:rPr>
                <w:rFonts w:ascii="Times New Roman" w:cs="Times New Roman" w:eastAsia="Times New Roman" w:hAnsi="Times New Roman"/>
                <w:sz w:val="22"/>
                <w:szCs w:val="22"/>
                <w:color w:val="0000FF"/>
                <w:w w:val="78"/>
              </w:rPr>
              <w:t>143</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9"/>
              </w:rPr>
              <w:t>§16.12</w:t>
            </w:r>
          </w:p>
        </w:tc>
        <w:tc>
          <w:tcPr>
            <w:tcW w:w="3140" w:type="dxa"/>
            <w:vAlign w:val="bottom"/>
            <w:gridSpan w:val="30"/>
          </w:tcPr>
          <w:p>
            <w:pPr>
              <w:ind w:left="160"/>
              <w:spacing w:after="0"/>
              <w:rPr>
                <w:sz w:val="20"/>
                <w:szCs w:val="20"/>
                <w:color w:val="auto"/>
              </w:rPr>
            </w:pPr>
            <w:r>
              <w:rPr>
                <w:rFonts w:ascii="Times New Roman" w:cs="Times New Roman" w:eastAsia="Times New Roman" w:hAnsi="Times New Roman"/>
                <w:sz w:val="22"/>
                <w:szCs w:val="22"/>
                <w:color w:val="auto"/>
              </w:rPr>
              <w:t>Recovery of Erroneous Payments</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rPr>
              <w:t>145</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144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§17</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EXPENSES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145</w:t>
            </w:r>
          </w:p>
        </w:tc>
        <w:tc>
          <w:tcPr>
            <w:tcW w:w="3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144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§18</w:t>
            </w:r>
          </w:p>
        </w:tc>
        <w:tc>
          <w:tcPr>
            <w:tcW w:w="2500" w:type="dxa"/>
            <w:vAlign w:val="bottom"/>
            <w:gridSpan w:val="13"/>
          </w:tcPr>
          <w:p>
            <w:pPr>
              <w:ind w:left="100"/>
              <w:spacing w:after="0"/>
              <w:rPr>
                <w:sz w:val="20"/>
                <w:szCs w:val="20"/>
                <w:color w:val="auto"/>
              </w:rPr>
            </w:pPr>
            <w:r>
              <w:rPr>
                <w:rFonts w:ascii="Times New Roman" w:cs="Times New Roman" w:eastAsia="Times New Roman" w:hAnsi="Times New Roman"/>
                <w:sz w:val="22"/>
                <w:szCs w:val="22"/>
                <w:color w:val="auto"/>
              </w:rPr>
              <w:t>PAYMENTS SET ASIDE</w:t>
            </w:r>
          </w:p>
        </w:tc>
        <w:tc>
          <w:tcPr>
            <w:tcW w:w="38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FF0000"/>
                <w:strike w:val="1"/>
              </w:rPr>
              <w:t>148</w:t>
            </w:r>
          </w:p>
        </w:tc>
        <w:tc>
          <w:tcPr>
            <w:tcW w:w="34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6"/>
              </w:rPr>
              <w:t>147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3900" w:type="dxa"/>
            <w:vAlign w:val="bottom"/>
            <w:gridSpan w:val="27"/>
          </w:tcPr>
          <w:p>
            <w:pPr>
              <w:spacing w:after="0"/>
              <w:rPr>
                <w:sz w:val="20"/>
                <w:szCs w:val="20"/>
                <w:color w:val="auto"/>
              </w:rPr>
            </w:pPr>
            <w:r>
              <w:rPr>
                <w:rFonts w:ascii="Times New Roman" w:cs="Times New Roman" w:eastAsia="Times New Roman" w:hAnsi="Times New Roman"/>
                <w:sz w:val="22"/>
                <w:szCs w:val="22"/>
                <w:color w:val="auto"/>
              </w:rPr>
              <w:t>§19  SURVIVAL OF COVENANTS, ETC</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148</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147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§20</w:t>
            </w:r>
          </w:p>
        </w:tc>
        <w:tc>
          <w:tcPr>
            <w:tcW w:w="4000" w:type="dxa"/>
            <w:vAlign w:val="bottom"/>
            <w:gridSpan w:val="31"/>
          </w:tcPr>
          <w:p>
            <w:pPr>
              <w:ind w:left="100"/>
              <w:spacing w:after="0"/>
              <w:rPr>
                <w:sz w:val="20"/>
                <w:szCs w:val="20"/>
                <w:color w:val="auto"/>
              </w:rPr>
            </w:pPr>
            <w:r>
              <w:rPr>
                <w:rFonts w:ascii="Times New Roman" w:cs="Times New Roman" w:eastAsia="Times New Roman" w:hAnsi="Times New Roman"/>
                <w:sz w:val="22"/>
                <w:szCs w:val="22"/>
                <w:color w:val="auto"/>
              </w:rPr>
              <w:t>ASSIGNMENT; PARTICIPATIONS; ETC</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0"/>
              </w:rPr>
              <w:t>149</w:t>
            </w:r>
          </w:p>
        </w:tc>
        <w:tc>
          <w:tcPr>
            <w:tcW w:w="34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6"/>
              </w:rPr>
              <w:t>147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§20.1</w:t>
            </w:r>
          </w:p>
        </w:tc>
        <w:tc>
          <w:tcPr>
            <w:tcW w:w="3360" w:type="dxa"/>
            <w:vAlign w:val="bottom"/>
            <w:gridSpan w:val="32"/>
          </w:tcPr>
          <w:p>
            <w:pPr>
              <w:ind w:left="40"/>
              <w:spacing w:after="0"/>
              <w:rPr>
                <w:sz w:val="20"/>
                <w:szCs w:val="20"/>
                <w:color w:val="auto"/>
              </w:rPr>
            </w:pPr>
            <w:r>
              <w:rPr>
                <w:rFonts w:ascii="Times New Roman" w:cs="Times New Roman" w:eastAsia="Times New Roman" w:hAnsi="Times New Roman"/>
                <w:sz w:val="22"/>
                <w:szCs w:val="22"/>
                <w:color w:val="auto"/>
              </w:rPr>
              <w:t>Conditions to Assignment by Banks</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6"/>
              </w:rPr>
              <w:t>149</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147</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§20.2</w:t>
            </w:r>
          </w:p>
        </w:tc>
        <w:tc>
          <w:tcPr>
            <w:tcW w:w="5820" w:type="dxa"/>
            <w:vAlign w:val="bottom"/>
            <w:gridSpan w:val="45"/>
          </w:tcPr>
          <w:p>
            <w:pPr>
              <w:ind w:left="40"/>
              <w:spacing w:after="0"/>
              <w:rPr>
                <w:sz w:val="20"/>
                <w:szCs w:val="20"/>
                <w:color w:val="auto"/>
              </w:rPr>
            </w:pPr>
            <w:r>
              <w:rPr>
                <w:rFonts w:ascii="Times New Roman" w:cs="Times New Roman" w:eastAsia="Times New Roman" w:hAnsi="Times New Roman"/>
                <w:sz w:val="22"/>
                <w:szCs w:val="22"/>
                <w:color w:val="auto"/>
              </w:rPr>
              <w:t>Certain Representations and Warranties; Limitations;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151</w:t>
            </w:r>
          </w:p>
        </w:tc>
        <w:tc>
          <w:tcPr>
            <w:tcW w:w="1620" w:type="dxa"/>
            <w:vAlign w:val="bottom"/>
            <w:gridSpan w:val="2"/>
          </w:tcPr>
          <w:p>
            <w:pPr>
              <w:jc w:val="right"/>
              <w:ind w:right="1300"/>
              <w:spacing w:after="0"/>
              <w:rPr>
                <w:sz w:val="20"/>
                <w:szCs w:val="20"/>
                <w:color w:val="auto"/>
              </w:rPr>
            </w:pPr>
            <w:r>
              <w:rPr>
                <w:rFonts w:ascii="Times New Roman" w:cs="Times New Roman" w:eastAsia="Times New Roman" w:hAnsi="Times New Roman"/>
                <w:sz w:val="22"/>
                <w:szCs w:val="22"/>
                <w:color w:val="0000FF"/>
                <w:w w:val="90"/>
              </w:rPr>
              <w:t>149</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§20.3</w:t>
            </w: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Register</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0"/>
              </w:rPr>
              <w:t>151</w:t>
            </w:r>
          </w:p>
        </w:tc>
        <w:tc>
          <w:tcPr>
            <w:tcW w:w="34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150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§20.4</w:t>
            </w:r>
          </w:p>
        </w:tc>
        <w:tc>
          <w:tcPr>
            <w:tcW w:w="116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New Notes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6"/>
              </w:rPr>
              <w:t>152</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150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§20.5</w:t>
            </w:r>
          </w:p>
        </w:tc>
        <w:tc>
          <w:tcPr>
            <w:tcW w:w="144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rPr>
              <w:t>Participations</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6"/>
              </w:rPr>
              <w:t>152</w:t>
            </w:r>
          </w:p>
        </w:tc>
        <w:tc>
          <w:tcPr>
            <w:tcW w:w="32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2"/>
                <w:szCs w:val="22"/>
                <w:color w:val="0000FF"/>
                <w:w w:val="90"/>
              </w:rPr>
              <w:t>150</w:t>
            </w:r>
          </w:p>
        </w:tc>
        <w:tc>
          <w:tcPr>
            <w:tcW w:w="1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§20.6</w:t>
            </w:r>
          </w:p>
        </w:tc>
        <w:tc>
          <w:tcPr>
            <w:tcW w:w="1640" w:type="dxa"/>
            <w:vAlign w:val="bottom"/>
            <w:gridSpan w:val="12"/>
          </w:tcPr>
          <w:p>
            <w:pPr>
              <w:ind w:left="40"/>
              <w:spacing w:after="0"/>
              <w:rPr>
                <w:sz w:val="20"/>
                <w:szCs w:val="20"/>
                <w:color w:val="auto"/>
              </w:rPr>
            </w:pPr>
            <w:r>
              <w:rPr>
                <w:rFonts w:ascii="Times New Roman" w:cs="Times New Roman" w:eastAsia="Times New Roman" w:hAnsi="Times New Roman"/>
                <w:sz w:val="22"/>
                <w:szCs w:val="22"/>
                <w:color w:val="auto"/>
              </w:rPr>
              <w:t>Pledge by Bank</w:t>
            </w: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w w:val="90"/>
              </w:rPr>
              <w:t>153</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152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§20.7</w:t>
            </w:r>
          </w:p>
        </w:tc>
        <w:tc>
          <w:tcPr>
            <w:tcW w:w="2620" w:type="dxa"/>
            <w:vAlign w:val="bottom"/>
            <w:gridSpan w:val="25"/>
          </w:tcPr>
          <w:p>
            <w:pPr>
              <w:ind w:left="40"/>
              <w:spacing w:after="0"/>
              <w:rPr>
                <w:sz w:val="20"/>
                <w:szCs w:val="20"/>
                <w:color w:val="auto"/>
              </w:rPr>
            </w:pPr>
            <w:r>
              <w:rPr>
                <w:rFonts w:ascii="Times New Roman" w:cs="Times New Roman" w:eastAsia="Times New Roman" w:hAnsi="Times New Roman"/>
                <w:sz w:val="22"/>
                <w:szCs w:val="22"/>
                <w:color w:val="auto"/>
              </w:rPr>
              <w:t>No Assignment by Borrower</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rPr>
              <w:t>153</w:t>
            </w:r>
          </w:p>
        </w:tc>
        <w:tc>
          <w:tcPr>
            <w:tcW w:w="34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6"/>
              </w:rPr>
              <w:t>152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§20.8</w:t>
            </w:r>
          </w:p>
        </w:tc>
        <w:tc>
          <w:tcPr>
            <w:tcW w:w="116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Disclosure</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96"/>
              </w:rPr>
              <w:t>153</w:t>
            </w:r>
          </w:p>
        </w:tc>
        <w:tc>
          <w:tcPr>
            <w:tcW w:w="34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6"/>
              </w:rPr>
              <w:t>152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§20.9</w:t>
            </w:r>
          </w:p>
        </w:tc>
        <w:tc>
          <w:tcPr>
            <w:tcW w:w="116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Syndication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rPr>
              <w:t>153</w:t>
            </w:r>
          </w:p>
        </w:tc>
        <w:tc>
          <w:tcPr>
            <w:tcW w:w="320" w:type="dxa"/>
            <w:vAlign w:val="bottom"/>
            <w:gridSpan w:val="6"/>
          </w:tcPr>
          <w:p>
            <w:pPr>
              <w:jc w:val="right"/>
              <w:ind w:right="20"/>
              <w:spacing w:after="0"/>
              <w:rPr>
                <w:sz w:val="20"/>
                <w:szCs w:val="20"/>
                <w:color w:val="auto"/>
              </w:rPr>
            </w:pPr>
            <w:r>
              <w:rPr>
                <w:rFonts w:ascii="Times New Roman" w:cs="Times New Roman" w:eastAsia="Times New Roman" w:hAnsi="Times New Roman"/>
                <w:sz w:val="22"/>
                <w:szCs w:val="22"/>
                <w:color w:val="0000FF"/>
                <w:w w:val="84"/>
              </w:rPr>
              <w:t>152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Borders>
              <w:right w:val="single" w:sz="8" w:color="0000FF"/>
            </w:tcBorders>
            <w:gridSpan w:val="6"/>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9"/>
              </w:rPr>
              <w:t>§20.10</w:t>
            </w:r>
          </w:p>
        </w:tc>
        <w:tc>
          <w:tcPr>
            <w:tcW w:w="4480" w:type="dxa"/>
            <w:vAlign w:val="bottom"/>
            <w:gridSpan w:val="42"/>
          </w:tcPr>
          <w:p>
            <w:pPr>
              <w:ind w:left="160"/>
              <w:spacing w:after="0"/>
              <w:rPr>
                <w:sz w:val="20"/>
                <w:szCs w:val="20"/>
                <w:color w:val="auto"/>
              </w:rPr>
            </w:pPr>
            <w:r>
              <w:rPr>
                <w:rFonts w:ascii="Times New Roman" w:cs="Times New Roman" w:eastAsia="Times New Roman" w:hAnsi="Times New Roman"/>
                <w:sz w:val="22"/>
                <w:szCs w:val="22"/>
                <w:color w:val="auto"/>
              </w:rPr>
              <w:t>Resignation as Fronting Bank after Assignment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153</w:t>
            </w:r>
          </w:p>
        </w:tc>
        <w:tc>
          <w:tcPr>
            <w:tcW w:w="2960" w:type="dxa"/>
            <w:vAlign w:val="bottom"/>
            <w:gridSpan w:val="5"/>
          </w:tcPr>
          <w:p>
            <w:pPr>
              <w:jc w:val="right"/>
              <w:ind w:right="2640"/>
              <w:spacing w:after="0"/>
              <w:rPr>
                <w:sz w:val="20"/>
                <w:szCs w:val="20"/>
                <w:color w:val="auto"/>
              </w:rPr>
            </w:pPr>
            <w:r>
              <w:rPr>
                <w:rFonts w:ascii="Times New Roman" w:cs="Times New Roman" w:eastAsia="Times New Roman" w:hAnsi="Times New Roman"/>
                <w:sz w:val="22"/>
                <w:szCs w:val="22"/>
                <w:color w:val="0000FF"/>
                <w:w w:val="90"/>
              </w:rPr>
              <w:t>152</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§21</w:t>
            </w:r>
          </w:p>
        </w:tc>
        <w:tc>
          <w:tcPr>
            <w:tcW w:w="4700" w:type="dxa"/>
            <w:vAlign w:val="bottom"/>
            <w:gridSpan w:val="39"/>
          </w:tcPr>
          <w:p>
            <w:pPr>
              <w:ind w:left="100"/>
              <w:spacing w:after="0"/>
              <w:rPr>
                <w:sz w:val="20"/>
                <w:szCs w:val="20"/>
                <w:color w:val="auto"/>
              </w:rPr>
            </w:pPr>
            <w:r>
              <w:rPr>
                <w:rFonts w:ascii="Times New Roman" w:cs="Times New Roman" w:eastAsia="Times New Roman" w:hAnsi="Times New Roman"/>
                <w:sz w:val="22"/>
                <w:szCs w:val="22"/>
                <w:color w:val="auto"/>
              </w:rPr>
              <w:t>Notices; Effectiveness; Electronic Communication</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FF0000"/>
                <w:strike w:val="1"/>
                <w:w w:val="90"/>
              </w:rPr>
              <w:t>154</w:t>
            </w:r>
          </w:p>
        </w:tc>
        <w:tc>
          <w:tcPr>
            <w:tcW w:w="2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78"/>
              </w:rPr>
              <w:t>152</w:t>
            </w:r>
          </w:p>
        </w:tc>
        <w:tc>
          <w:tcPr>
            <w:tcW w:w="3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4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§22</w:t>
            </w:r>
          </w:p>
        </w:tc>
        <w:tc>
          <w:tcPr>
            <w:tcW w:w="2820" w:type="dxa"/>
            <w:vAlign w:val="bottom"/>
            <w:gridSpan w:val="19"/>
          </w:tcPr>
          <w:p>
            <w:pPr>
              <w:ind w:left="100"/>
              <w:spacing w:after="0"/>
              <w:rPr>
                <w:sz w:val="20"/>
                <w:szCs w:val="20"/>
                <w:color w:val="auto"/>
              </w:rPr>
            </w:pPr>
            <w:r>
              <w:rPr>
                <w:rFonts w:ascii="Times New Roman" w:cs="Times New Roman" w:eastAsia="Times New Roman" w:hAnsi="Times New Roman"/>
                <w:sz w:val="22"/>
                <w:szCs w:val="22"/>
                <w:color w:val="auto"/>
              </w:rPr>
              <w:t>THIRD PARTY RELIANCE</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0"/>
              </w:rPr>
              <w:t>156</w:t>
            </w:r>
          </w:p>
        </w:tc>
        <w:tc>
          <w:tcPr>
            <w:tcW w:w="34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6"/>
              </w:rPr>
              <w:t>155</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§23</w:t>
            </w:r>
          </w:p>
        </w:tc>
        <w:tc>
          <w:tcPr>
            <w:tcW w:w="8620" w:type="dxa"/>
            <w:vAlign w:val="bottom"/>
            <w:gridSpan w:val="49"/>
          </w:tcPr>
          <w:p>
            <w:pPr>
              <w:ind w:left="100"/>
              <w:spacing w:after="0"/>
              <w:rPr>
                <w:sz w:val="20"/>
                <w:szCs w:val="20"/>
                <w:color w:val="auto"/>
              </w:rPr>
            </w:pPr>
            <w:r>
              <w:rPr>
                <w:rFonts w:ascii="Times New Roman" w:cs="Times New Roman" w:eastAsia="Times New Roman" w:hAnsi="Times New Roman"/>
                <w:sz w:val="22"/>
                <w:szCs w:val="22"/>
                <w:color w:val="auto"/>
                <w:w w:val="99"/>
              </w:rPr>
              <w:t>GOVERNING LAW; CONSENT TO JURISDICTION AND SERVICE; WAIVER OF VENUE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156</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155</w:t>
            </w:r>
          </w:p>
        </w:tc>
        <w:tc>
          <w:tcPr>
            <w:tcW w:w="0" w:type="dxa"/>
            <w:vAlign w:val="bottom"/>
          </w:tcPr>
          <w:p>
            <w:pPr>
              <w:spacing w:after="0"/>
              <w:rPr>
                <w:sz w:val="1"/>
                <w:szCs w:val="1"/>
                <w:color w:val="auto"/>
              </w:rPr>
            </w:pPr>
          </w:p>
        </w:tc>
      </w:tr>
      <w:tr>
        <w:trPr>
          <w:trHeight w:val="466"/>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§24</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HEADINGS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157</w:t>
            </w: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0000FF"/>
                <w:w w:val="90"/>
              </w:rPr>
              <w:t>156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§25</w:t>
            </w:r>
          </w:p>
        </w:tc>
        <w:tc>
          <w:tcPr>
            <w:tcW w:w="3480" w:type="dxa"/>
            <w:vAlign w:val="bottom"/>
            <w:gridSpan w:val="26"/>
          </w:tcPr>
          <w:p>
            <w:pPr>
              <w:ind w:left="100"/>
              <w:spacing w:after="0"/>
              <w:rPr>
                <w:sz w:val="20"/>
                <w:szCs w:val="20"/>
                <w:color w:val="auto"/>
              </w:rPr>
            </w:pPr>
            <w:r>
              <w:rPr>
                <w:rFonts w:ascii="Times New Roman" w:cs="Times New Roman" w:eastAsia="Times New Roman" w:hAnsi="Times New Roman"/>
                <w:sz w:val="22"/>
                <w:szCs w:val="22"/>
                <w:color w:val="auto"/>
              </w:rPr>
              <w:t>INTEGRATION; EFFECTIVENESS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157</w:t>
            </w:r>
          </w:p>
        </w:tc>
        <w:tc>
          <w:tcPr>
            <w:tcW w:w="360" w:type="dxa"/>
            <w:vAlign w:val="bottom"/>
            <w:gridSpan w:val="5"/>
          </w:tcPr>
          <w:p>
            <w:pPr>
              <w:jc w:val="right"/>
              <w:ind w:right="40"/>
              <w:spacing w:after="0"/>
              <w:rPr>
                <w:sz w:val="20"/>
                <w:szCs w:val="20"/>
                <w:color w:val="auto"/>
              </w:rPr>
            </w:pPr>
            <w:r>
              <w:rPr>
                <w:rFonts w:ascii="Times New Roman" w:cs="Times New Roman" w:eastAsia="Times New Roman" w:hAnsi="Times New Roman"/>
                <w:sz w:val="22"/>
                <w:szCs w:val="22"/>
                <w:color w:val="0000FF"/>
                <w:w w:val="90"/>
              </w:rPr>
              <w:t>156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§26</w:t>
            </w:r>
          </w:p>
        </w:tc>
        <w:tc>
          <w:tcPr>
            <w:tcW w:w="2500" w:type="dxa"/>
            <w:vAlign w:val="bottom"/>
            <w:gridSpan w:val="13"/>
          </w:tcPr>
          <w:p>
            <w:pPr>
              <w:ind w:left="100"/>
              <w:spacing w:after="0"/>
              <w:rPr>
                <w:sz w:val="20"/>
                <w:szCs w:val="20"/>
                <w:color w:val="auto"/>
              </w:rPr>
            </w:pPr>
            <w:r>
              <w:rPr>
                <w:rFonts w:ascii="Times New Roman" w:cs="Times New Roman" w:eastAsia="Times New Roman" w:hAnsi="Times New Roman"/>
                <w:sz w:val="22"/>
                <w:szCs w:val="22"/>
                <w:b w:val="1"/>
                <w:bCs w:val="1"/>
                <w:color w:val="auto"/>
              </w:rPr>
              <w:t>ENTIRE AGREEMENT</w:t>
            </w:r>
          </w:p>
        </w:tc>
        <w:tc>
          <w:tcPr>
            <w:tcW w:w="440" w:type="dxa"/>
            <w:vAlign w:val="bottom"/>
            <w:gridSpan w:val="8"/>
          </w:tcPr>
          <w:p>
            <w:pPr>
              <w:jc w:val="right"/>
              <w:spacing w:after="0"/>
              <w:rPr>
                <w:sz w:val="20"/>
                <w:szCs w:val="20"/>
                <w:color w:val="auto"/>
              </w:rPr>
            </w:pPr>
            <w:r>
              <w:rPr>
                <w:rFonts w:ascii="Times New Roman" w:cs="Times New Roman" w:eastAsia="Times New Roman" w:hAnsi="Times New Roman"/>
                <w:sz w:val="22"/>
                <w:szCs w:val="22"/>
                <w:color w:val="FF0000"/>
                <w:strike w:val="1"/>
              </w:rPr>
              <w:t>157</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156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vii</w:t>
      </w:r>
    </w:p>
    <w:p>
      <w:pPr>
        <w:sectPr>
          <w:pgSz w:w="11900" w:h="16838" w:orient="portrait"/>
          <w:cols w:equalWidth="0" w:num="1">
            <w:col w:w="10139"/>
          </w:cols>
          <w:pgMar w:left="320" w:top="1398" w:right="1440"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47"/>
        </w:trPr>
        <w:tc>
          <w:tcPr>
            <w:tcW w:w="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§27</w:t>
            </w:r>
          </w:p>
        </w:tc>
        <w:tc>
          <w:tcPr>
            <w:tcW w:w="6100" w:type="dxa"/>
            <w:vAlign w:val="bottom"/>
            <w:gridSpan w:val="21"/>
            <w:vMerge w:val="restart"/>
          </w:tcPr>
          <w:p>
            <w:pPr>
              <w:ind w:left="100"/>
              <w:spacing w:after="0"/>
              <w:rPr>
                <w:sz w:val="20"/>
                <w:szCs w:val="20"/>
                <w:color w:val="auto"/>
              </w:rPr>
            </w:pPr>
            <w:r>
              <w:rPr>
                <w:rFonts w:ascii="Times New Roman" w:cs="Times New Roman" w:eastAsia="Times New Roman" w:hAnsi="Times New Roman"/>
                <w:sz w:val="22"/>
                <w:szCs w:val="22"/>
                <w:color w:val="auto"/>
              </w:rPr>
              <w:t>WAIVER OF JURY TRIAL AND CERTAIN DAMAGE CLAIMS</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6"/>
              </w:rPr>
              <w:t>157</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156</w:t>
            </w:r>
          </w:p>
        </w:tc>
        <w:tc>
          <w:tcPr>
            <w:tcW w:w="8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340" w:type="dxa"/>
            <w:vAlign w:val="bottom"/>
            <w:vMerge w:val="restart"/>
          </w:tcPr>
          <w:p>
            <w:pPr>
              <w:spacing w:after="0"/>
              <w:rPr>
                <w:sz w:val="4"/>
                <w:szCs w:val="4"/>
                <w:color w:val="auto"/>
              </w:rPr>
            </w:pPr>
          </w:p>
        </w:tc>
        <w:tc>
          <w:tcPr>
            <w:tcW w:w="174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3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20" w:type="dxa"/>
            <w:vAlign w:val="bottom"/>
            <w:vMerge w:val="continue"/>
          </w:tcPr>
          <w:p>
            <w:pPr>
              <w:spacing w:after="0"/>
              <w:rPr>
                <w:sz w:val="17"/>
                <w:szCs w:val="17"/>
                <w:color w:val="auto"/>
              </w:rPr>
            </w:pPr>
          </w:p>
        </w:tc>
        <w:tc>
          <w:tcPr>
            <w:tcW w:w="6100" w:type="dxa"/>
            <w:vAlign w:val="bottom"/>
            <w:gridSpan w:val="21"/>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320" w:type="dxa"/>
            <w:vAlign w:val="bottom"/>
            <w:tcBorders>
              <w:bottom w:val="single" w:sz="8" w:color="0000FF"/>
            </w:tcBorders>
            <w:gridSpan w:val="3"/>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§28</w:t>
            </w:r>
          </w:p>
        </w:tc>
        <w:tc>
          <w:tcPr>
            <w:tcW w:w="4640" w:type="dxa"/>
            <w:vAlign w:val="bottom"/>
            <w:gridSpan w:val="13"/>
          </w:tcPr>
          <w:p>
            <w:pPr>
              <w:ind w:left="100"/>
              <w:spacing w:after="0"/>
              <w:rPr>
                <w:sz w:val="20"/>
                <w:szCs w:val="20"/>
                <w:color w:val="auto"/>
              </w:rPr>
            </w:pPr>
            <w:r>
              <w:rPr>
                <w:rFonts w:ascii="Times New Roman" w:cs="Times New Roman" w:eastAsia="Times New Roman" w:hAnsi="Times New Roman"/>
                <w:sz w:val="22"/>
                <w:szCs w:val="22"/>
                <w:color w:val="auto"/>
              </w:rPr>
              <w:t>CONSENTS, AMENDMENTS, WAIVERS, ETC</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158</w:t>
            </w: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6"/>
              </w:rPr>
              <w:t>157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§29</w:t>
            </w:r>
          </w:p>
        </w:tc>
        <w:tc>
          <w:tcPr>
            <w:tcW w:w="1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SEVERABILITY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161</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159</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3"/>
          </w:tcPr>
          <w:p>
            <w:pPr>
              <w:spacing w:after="0"/>
              <w:rPr>
                <w:sz w:val="24"/>
                <w:szCs w:val="24"/>
                <w:color w:val="auto"/>
              </w:rPr>
            </w:pPr>
          </w:p>
        </w:tc>
        <w:tc>
          <w:tcPr>
            <w:tcW w:w="3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§30</w:t>
            </w:r>
          </w:p>
        </w:tc>
        <w:tc>
          <w:tcPr>
            <w:tcW w:w="320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INTEREST RATE LIMITATION</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6"/>
              </w:rPr>
              <w:t>161</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160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3"/>
          </w:tcPr>
          <w:p>
            <w:pPr>
              <w:spacing w:after="0"/>
              <w:rPr>
                <w:sz w:val="24"/>
                <w:szCs w:val="24"/>
                <w:color w:val="auto"/>
              </w:rPr>
            </w:pPr>
          </w:p>
        </w:tc>
        <w:tc>
          <w:tcPr>
            <w:tcW w:w="3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§31</w:t>
            </w:r>
          </w:p>
        </w:tc>
        <w:tc>
          <w:tcPr>
            <w:tcW w:w="3560" w:type="dxa"/>
            <w:vAlign w:val="bottom"/>
            <w:gridSpan w:val="9"/>
          </w:tcPr>
          <w:p>
            <w:pPr>
              <w:ind w:left="100"/>
              <w:spacing w:after="0"/>
              <w:rPr>
                <w:sz w:val="20"/>
                <w:szCs w:val="20"/>
                <w:color w:val="auto"/>
              </w:rPr>
            </w:pPr>
            <w:r>
              <w:rPr>
                <w:rFonts w:ascii="Times New Roman" w:cs="Times New Roman" w:eastAsia="Times New Roman" w:hAnsi="Times New Roman"/>
                <w:sz w:val="22"/>
                <w:szCs w:val="22"/>
                <w:color w:val="auto"/>
              </w:rPr>
              <w:t>USA PATRIOT ACT, ETC. NOTICE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161</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160</w:t>
            </w:r>
          </w:p>
        </w:tc>
        <w:tc>
          <w:tcPr>
            <w:tcW w:w="920" w:type="dxa"/>
            <w:vAlign w:val="bottom"/>
            <w:gridSpan w:val="3"/>
          </w:tcPr>
          <w:p>
            <w:pPr>
              <w:spacing w:after="0"/>
              <w:rPr>
                <w:sz w:val="24"/>
                <w:szCs w:val="24"/>
                <w:color w:val="auto"/>
              </w:rPr>
            </w:pPr>
          </w:p>
        </w:tc>
        <w:tc>
          <w:tcPr>
            <w:tcW w:w="3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§32</w:t>
            </w:r>
          </w:p>
        </w:tc>
        <w:tc>
          <w:tcPr>
            <w:tcW w:w="5680" w:type="dxa"/>
            <w:vAlign w:val="bottom"/>
            <w:gridSpan w:val="18"/>
          </w:tcPr>
          <w:p>
            <w:pPr>
              <w:ind w:left="100"/>
              <w:spacing w:after="0"/>
              <w:rPr>
                <w:sz w:val="20"/>
                <w:szCs w:val="20"/>
                <w:color w:val="auto"/>
              </w:rPr>
            </w:pPr>
            <w:r>
              <w:rPr>
                <w:rFonts w:ascii="Times New Roman" w:cs="Times New Roman" w:eastAsia="Times New Roman" w:hAnsi="Times New Roman"/>
                <w:sz w:val="22"/>
                <w:szCs w:val="22"/>
                <w:color w:val="auto"/>
                <w:w w:val="99"/>
              </w:rPr>
              <w:t>SURVIVAL OF REPRESENTATIONS AND WARRANTIES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162</w:t>
            </w:r>
          </w:p>
        </w:tc>
        <w:tc>
          <w:tcPr>
            <w:tcW w:w="520" w:type="dxa"/>
            <w:vAlign w:val="bottom"/>
            <w:gridSpan w:val="4"/>
          </w:tcPr>
          <w:p>
            <w:pPr>
              <w:jc w:val="right"/>
              <w:ind w:right="92"/>
              <w:spacing w:after="0"/>
              <w:rPr>
                <w:sz w:val="20"/>
                <w:szCs w:val="20"/>
                <w:color w:val="auto"/>
              </w:rPr>
            </w:pPr>
            <w:r>
              <w:rPr>
                <w:rFonts w:ascii="Times New Roman" w:cs="Times New Roman" w:eastAsia="Times New Roman" w:hAnsi="Times New Roman"/>
                <w:sz w:val="22"/>
                <w:szCs w:val="22"/>
                <w:color w:val="0000FF"/>
                <w:w w:val="90"/>
              </w:rPr>
              <w:t>160</w:t>
            </w:r>
          </w:p>
        </w:tc>
        <w:tc>
          <w:tcPr>
            <w:tcW w:w="1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§33</w:t>
            </w:r>
          </w:p>
        </w:tc>
        <w:tc>
          <w:tcPr>
            <w:tcW w:w="270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JUDGMENT CURRENCY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162</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161</w:t>
            </w:r>
          </w:p>
        </w:tc>
        <w:tc>
          <w:tcPr>
            <w:tcW w:w="220" w:type="dxa"/>
            <w:vAlign w:val="bottom"/>
            <w:gridSpan w:val="2"/>
          </w:tcPr>
          <w:p>
            <w:pPr>
              <w:spacing w:after="0"/>
              <w:rPr>
                <w:sz w:val="24"/>
                <w:szCs w:val="24"/>
                <w:color w:val="auto"/>
              </w:rPr>
            </w:pPr>
          </w:p>
        </w:tc>
        <w:tc>
          <w:tcPr>
            <w:tcW w:w="1560" w:type="dxa"/>
            <w:vAlign w:val="bottom"/>
            <w:gridSpan w:val="6"/>
          </w:tcPr>
          <w:p>
            <w:pPr>
              <w:spacing w:after="0"/>
              <w:rPr>
                <w:sz w:val="24"/>
                <w:szCs w:val="24"/>
                <w:color w:val="auto"/>
              </w:rPr>
            </w:pPr>
          </w:p>
        </w:tc>
        <w:tc>
          <w:tcPr>
            <w:tcW w:w="340" w:type="dxa"/>
            <w:vAlign w:val="bottom"/>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§34</w:t>
            </w:r>
          </w:p>
        </w:tc>
        <w:tc>
          <w:tcPr>
            <w:tcW w:w="6100" w:type="dxa"/>
            <w:vAlign w:val="bottom"/>
            <w:gridSpan w:val="21"/>
          </w:tcPr>
          <w:p>
            <w:pPr>
              <w:ind w:left="100"/>
              <w:spacing w:after="0"/>
              <w:rPr>
                <w:sz w:val="20"/>
                <w:szCs w:val="20"/>
                <w:color w:val="auto"/>
              </w:rPr>
            </w:pPr>
            <w:r>
              <w:rPr>
                <w:rFonts w:ascii="Times New Roman" w:cs="Times New Roman" w:eastAsia="Times New Roman" w:hAnsi="Times New Roman"/>
                <w:sz w:val="22"/>
                <w:szCs w:val="22"/>
                <w:color w:val="auto"/>
                <w:w w:val="97"/>
              </w:rPr>
              <w:t>EXISTING CREDIT AGREEMENT AMENDED AND RESTATED</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rPr>
              <w:t>162</w:t>
            </w:r>
          </w:p>
        </w:tc>
        <w:tc>
          <w:tcPr>
            <w:tcW w:w="440" w:type="dxa"/>
            <w:vAlign w:val="bottom"/>
            <w:gridSpan w:val="4"/>
          </w:tcPr>
          <w:p>
            <w:pPr>
              <w:jc w:val="right"/>
              <w:ind w:right="120"/>
              <w:spacing w:after="0"/>
              <w:rPr>
                <w:sz w:val="20"/>
                <w:szCs w:val="20"/>
                <w:color w:val="auto"/>
              </w:rPr>
            </w:pPr>
            <w:r>
              <w:rPr>
                <w:rFonts w:ascii="Times New Roman" w:cs="Times New Roman" w:eastAsia="Times New Roman" w:hAnsi="Times New Roman"/>
                <w:sz w:val="22"/>
                <w:szCs w:val="22"/>
                <w:color w:val="0000FF"/>
                <w:w w:val="90"/>
              </w:rPr>
              <w:t>161</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§35</w:t>
            </w:r>
          </w:p>
        </w:tc>
        <w:tc>
          <w:tcPr>
            <w:tcW w:w="5120" w:type="dxa"/>
            <w:vAlign w:val="bottom"/>
            <w:gridSpan w:val="15"/>
          </w:tcPr>
          <w:p>
            <w:pPr>
              <w:ind w:left="100"/>
              <w:spacing w:after="0"/>
              <w:rPr>
                <w:sz w:val="20"/>
                <w:szCs w:val="20"/>
                <w:color w:val="auto"/>
              </w:rPr>
            </w:pPr>
            <w:r>
              <w:rPr>
                <w:rFonts w:ascii="Times New Roman" w:cs="Times New Roman" w:eastAsia="Times New Roman" w:hAnsi="Times New Roman"/>
                <w:sz w:val="22"/>
                <w:szCs w:val="22"/>
                <w:color w:val="auto"/>
              </w:rPr>
              <w:t>NO ADVISORY OR FIDUCIARY RESPONSIBILITY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6"/>
              </w:rPr>
              <w:t>163</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162</w:t>
            </w:r>
          </w:p>
        </w:tc>
        <w:tc>
          <w:tcPr>
            <w:tcW w:w="3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480" w:type="dxa"/>
            <w:vAlign w:val="bottom"/>
            <w:gridSpan w:val="30"/>
          </w:tcPr>
          <w:p>
            <w:pPr>
              <w:spacing w:after="0"/>
              <w:rPr>
                <w:sz w:val="20"/>
                <w:szCs w:val="20"/>
                <w:color w:val="auto"/>
              </w:rPr>
            </w:pPr>
            <w:r>
              <w:rPr>
                <w:rFonts w:ascii="Times New Roman" w:cs="Times New Roman" w:eastAsia="Times New Roman" w:hAnsi="Times New Roman"/>
                <w:sz w:val="22"/>
                <w:szCs w:val="22"/>
                <w:color w:val="auto"/>
                <w:w w:val="99"/>
              </w:rPr>
              <w:t>§36  ELECTRONIC EXECUTION; ELECTRONIC RECORDS; COUNTERPARTS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164</w:t>
            </w:r>
          </w:p>
        </w:tc>
        <w:tc>
          <w:tcPr>
            <w:tcW w:w="3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6"/>
              </w:rPr>
              <w:t>162</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§37</w:t>
            </w:r>
          </w:p>
        </w:tc>
        <w:tc>
          <w:tcPr>
            <w:tcW w:w="9460" w:type="dxa"/>
            <w:vAlign w:val="bottom"/>
            <w:gridSpan w:val="32"/>
          </w:tcPr>
          <w:p>
            <w:pPr>
              <w:ind w:left="100"/>
              <w:spacing w:after="0"/>
              <w:rPr>
                <w:sz w:val="20"/>
                <w:szCs w:val="20"/>
                <w:color w:val="auto"/>
              </w:rPr>
            </w:pPr>
            <w:r>
              <w:rPr>
                <w:rFonts w:ascii="Times New Roman" w:cs="Times New Roman" w:eastAsia="Times New Roman" w:hAnsi="Times New Roman"/>
                <w:sz w:val="22"/>
                <w:szCs w:val="22"/>
                <w:color w:val="auto"/>
              </w:rPr>
              <w:t>ACKNOWLEDGMENT AND CONSENT TO BAIL-IN OF AFFECTED FINANCIAL INSTITUTIONS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165</w:t>
            </w:r>
          </w:p>
        </w:tc>
        <w:tc>
          <w:tcPr>
            <w:tcW w:w="3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6"/>
              </w:rPr>
              <w:t>163</w:t>
            </w:r>
          </w:p>
        </w:tc>
        <w:tc>
          <w:tcPr>
            <w:tcW w:w="0" w:type="dxa"/>
            <w:vAlign w:val="bottom"/>
          </w:tcPr>
          <w:p>
            <w:pPr>
              <w:spacing w:after="0"/>
              <w:rPr>
                <w:sz w:val="1"/>
                <w:szCs w:val="1"/>
                <w:color w:val="auto"/>
              </w:rPr>
            </w:pPr>
          </w:p>
        </w:tc>
      </w:tr>
      <w:tr>
        <w:trPr>
          <w:trHeight w:val="480"/>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§38</w:t>
            </w:r>
          </w:p>
        </w:tc>
        <w:tc>
          <w:tcPr>
            <w:tcW w:w="6100" w:type="dxa"/>
            <w:vAlign w:val="bottom"/>
            <w:gridSpan w:val="21"/>
          </w:tcPr>
          <w:p>
            <w:pPr>
              <w:ind w:left="100"/>
              <w:spacing w:after="0"/>
              <w:rPr>
                <w:sz w:val="20"/>
                <w:szCs w:val="20"/>
                <w:color w:val="auto"/>
              </w:rPr>
            </w:pPr>
            <w:r>
              <w:rPr>
                <w:rFonts w:ascii="Times New Roman" w:cs="Times New Roman" w:eastAsia="Times New Roman" w:hAnsi="Times New Roman"/>
                <w:sz w:val="22"/>
                <w:szCs w:val="22"/>
                <w:color w:val="auto"/>
                <w:w w:val="99"/>
              </w:rPr>
              <w:t>ACKNOWLEDGMENT REGARDING ANY SUPPORTED QFCS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165</w:t>
            </w:r>
          </w:p>
        </w:tc>
        <w:tc>
          <w:tcPr>
            <w:tcW w:w="3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90"/>
              </w:rPr>
              <w:t>164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 to Ninth Amended and Restated Credit Agreement</w:t>
      </w:r>
    </w:p>
    <w:p>
      <w:pPr>
        <w:spacing w:after="0" w:line="220" w:lineRule="exact"/>
        <w:rPr>
          <w:sz w:val="20"/>
          <w:szCs w:val="20"/>
          <w:color w:val="auto"/>
        </w:rPr>
      </w:pPr>
    </w:p>
    <w:p>
      <w:pPr>
        <w:ind w:left="660" w:right="6800" w:hanging="4"/>
        <w:spacing w:after="0" w:line="261" w:lineRule="auto"/>
        <w:tabs>
          <w:tab w:leader="none" w:pos="10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Revolving Credit Note B Form of Loan Request</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  Forms of Compliance Certificate</w:t>
      </w:r>
    </w:p>
    <w:p>
      <w:pPr>
        <w:spacing w:after="0" w:line="3" w:lineRule="exact"/>
        <w:rPr>
          <w:rFonts w:ascii="Times New Roman" w:cs="Times New Roman" w:eastAsia="Times New Roman" w:hAnsi="Times New Roman"/>
          <w:sz w:val="22"/>
          <w:szCs w:val="22"/>
          <w:color w:val="auto"/>
        </w:rPr>
      </w:pPr>
    </w:p>
    <w:p>
      <w:pPr>
        <w:ind w:left="660" w:right="620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 Forms of Competitive Bid Documents E Form of Closing Certificate</w:t>
      </w:r>
    </w:p>
    <w:p>
      <w:pPr>
        <w:ind w:left="660" w:right="528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 Form of Assignment and Assumption Agreement G Certificate Regarding Leverage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  Forms of U.S. Tax Compliance Certificates</w:t>
      </w:r>
    </w:p>
    <w:p>
      <w:pPr>
        <w:spacing w:after="0" w:line="15" w:lineRule="exact"/>
        <w:rPr>
          <w:rFonts w:ascii="Times New Roman" w:cs="Times New Roman" w:eastAsia="Times New Roman" w:hAnsi="Times New Roman"/>
          <w:sz w:val="22"/>
          <w:szCs w:val="22"/>
          <w:color w:val="auto"/>
        </w:rPr>
      </w:pPr>
    </w:p>
    <w:p>
      <w:pPr>
        <w:ind w:left="660" w:right="536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Form of Sustainability Metric Annual Certificate J Form of Notice of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viii</w:t>
      </w:r>
    </w:p>
    <w:p>
      <w:pPr>
        <w:sectPr>
          <w:pgSz w:w="11900" w:h="16838" w:orient="portrait"/>
          <w:cols w:equalWidth="0" w:num="1">
            <w:col w:w="10540"/>
          </w:cols>
          <w:pgMar w:left="320" w:top="1398" w:right="10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u w:val="single" w:color="auto"/>
          <w:color w:val="auto"/>
        </w:rPr>
        <w:t>Schedules to Ninth Amended and Restated Credit Agreement</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Schedule 1</w:t>
            </w:r>
          </w:p>
        </w:tc>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Banks</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Schedule 2</w:t>
            </w:r>
          </w:p>
        </w:tc>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Existing Letters of Credit</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Schedule 3</w:t>
            </w:r>
          </w:p>
        </w:tc>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Existing Bid Rate Advances</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Schedule 4</w:t>
            </w:r>
          </w:p>
        </w:tc>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CBD Properties</w:t>
            </w:r>
          </w:p>
        </w:tc>
      </w:tr>
      <w:tr>
        <w:trPr>
          <w:trHeight w:val="230"/>
        </w:trPr>
        <w:tc>
          <w:tcPr>
            <w:tcW w:w="138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rPr>
              <w:t>Schedule 5.3</w:t>
            </w:r>
          </w:p>
        </w:tc>
        <w:tc>
          <w:tcPr>
            <w:tcW w:w="3360" w:type="dxa"/>
            <w:vAlign w:val="bottom"/>
            <w:tcBorders>
              <w:bottom w:val="single" w:sz="8" w:color="0000FF"/>
            </w:tcBorders>
          </w:tcPr>
          <w:p>
            <w:pPr>
              <w:ind w:left="160"/>
              <w:spacing w:after="0" w:line="230" w:lineRule="exact"/>
              <w:rPr>
                <w:sz w:val="20"/>
                <w:szCs w:val="20"/>
                <w:color w:val="auto"/>
              </w:rPr>
            </w:pPr>
            <w:r>
              <w:rPr>
                <w:rFonts w:ascii="Times New Roman" w:cs="Times New Roman" w:eastAsia="Times New Roman" w:hAnsi="Times New Roman"/>
                <w:sz w:val="22"/>
                <w:szCs w:val="22"/>
                <w:color w:val="0000FF"/>
                <w:w w:val="97"/>
              </w:rPr>
              <w:t>Day Basis for Alternative Currencies</w:t>
            </w:r>
          </w:p>
        </w:tc>
      </w:tr>
      <w:tr>
        <w:trPr>
          <w:trHeight w:val="263"/>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Schedule 7.7</w:t>
            </w:r>
          </w:p>
        </w:tc>
        <w:tc>
          <w:tcPr>
            <w:tcW w:w="33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Litigation</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Schedule 7.16</w:t>
            </w:r>
          </w:p>
        </w:tc>
        <w:tc>
          <w:tcPr>
            <w:tcW w:w="33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Employee Benefit Plans</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w w:val="97"/>
              </w:rPr>
              <w:t>Schedule 8.5(b)</w:t>
            </w:r>
          </w:p>
        </w:tc>
        <w:tc>
          <w:tcPr>
            <w:tcW w:w="3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Environmental Matters</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w w:val="98"/>
              </w:rPr>
              <w:t>Schedule 9.1(e)</w:t>
            </w:r>
          </w:p>
        </w:tc>
        <w:tc>
          <w:tcPr>
            <w:tcW w:w="33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BPI Liabilities</w:t>
            </w: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Schedule 9.3</w:t>
            </w:r>
          </w:p>
        </w:tc>
        <w:tc>
          <w:tcPr>
            <w:tcW w:w="33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Investments</w:t>
            </w: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Schedule 21</w:t>
            </w:r>
          </w:p>
        </w:tc>
        <w:tc>
          <w:tcPr>
            <w:tcW w:w="3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Addresses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22"/>
          <w:szCs w:val="22"/>
          <w:color w:val="auto"/>
        </w:rPr>
        <w:t>ix</w:t>
      </w:r>
    </w:p>
    <w:p>
      <w:pPr>
        <w:sectPr>
          <w:pgSz w:w="11900" w:h="16838" w:orient="portrait"/>
          <w:cols w:equalWidth="0" w:num="1">
            <w:col w:w="10139"/>
          </w:cols>
          <w:pgMar w:left="320" w:top="1422"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2"/>
          <w:szCs w:val="22"/>
          <w:b w:val="1"/>
          <w:bCs w:val="1"/>
          <w:color w:val="auto"/>
        </w:rPr>
        <w:t>NINTH AMENDED AND RESTATED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CREDIT AGREEMENT</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NINTH AMENDED AND RESTATED CREDIT AGREEMENT is made as of the 15th day of June, 2021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by and among BOSTON PROPERTIES LIMITED PARTNERSHIP, a Delaware limited partnership (“</w:t>
      </w:r>
      <w:r>
        <w:rPr>
          <w:rFonts w:ascii="Times New Roman" w:cs="Times New Roman" w:eastAsia="Times New Roman" w:hAnsi="Times New Roman"/>
          <w:sz w:val="22"/>
          <w:szCs w:val="22"/>
          <w:u w:val="single" w:color="auto"/>
          <w:color w:val="auto"/>
        </w:rPr>
        <w:t>BPLP</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having its principal place of business at 800 Boylston Street, Suite 1900, Boston, Massachusetts 02199; BANK OF AMERICA, N.A. (“</w:t>
      </w:r>
      <w:r>
        <w:rPr>
          <w:rFonts w:ascii="Times New Roman" w:cs="Times New Roman" w:eastAsia="Times New Roman" w:hAnsi="Times New Roman"/>
          <w:sz w:val="22"/>
          <w:szCs w:val="22"/>
          <w:u w:val="single" w:color="auto"/>
          <w:color w:val="auto"/>
        </w:rPr>
        <w:t>BOA</w:t>
      </w:r>
      <w:r>
        <w:rPr>
          <w:rFonts w:ascii="Times New Roman" w:cs="Times New Roman" w:eastAsia="Times New Roman" w:hAnsi="Times New Roman"/>
          <w:sz w:val="22"/>
          <w:szCs w:val="22"/>
          <w:color w:val="auto"/>
        </w:rPr>
        <w:t>”), JPMORGAN CHASE BANK, N.A. (“</w:t>
      </w:r>
      <w:r>
        <w:rPr>
          <w:rFonts w:ascii="Times New Roman" w:cs="Times New Roman" w:eastAsia="Times New Roman" w:hAnsi="Times New Roman"/>
          <w:sz w:val="22"/>
          <w:szCs w:val="22"/>
          <w:u w:val="single" w:color="auto"/>
          <w:color w:val="auto"/>
        </w:rPr>
        <w:t>JPChase</w:t>
      </w:r>
      <w:r>
        <w:rPr>
          <w:rFonts w:ascii="Times New Roman" w:cs="Times New Roman" w:eastAsia="Times New Roman" w:hAnsi="Times New Roman"/>
          <w:sz w:val="22"/>
          <w:szCs w:val="22"/>
          <w:color w:val="auto"/>
        </w:rPr>
        <w:t xml:space="preserve">”), and the other Banks (as such term is defined below) listed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or which may become parties hereto pursuant to the terms hereof; BOA, as Administrative Agent for itself and each other Bank; and BOA and JPChase, as Fronting Banks (as such term is defined below).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656"/>
        <w:spacing w:after="0" w:line="275" w:lineRule="auto"/>
        <w:tabs>
          <w:tab w:leader="none" w:pos="112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BOA, individually and as administrative agent, JPChase, individually and as syndication agent, and certain other financial institutions are parties to a certain Eighth Amended and Restated Revolving Credit Agreement dated as of April 24, 2017 (such Eighth Amended and Restated Revolving Credit Agreement, as amended,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ind w:firstLine="656"/>
        <w:spacing w:after="0" w:line="271" w:lineRule="auto"/>
        <w:tabs>
          <w:tab w:leader="none" w:pos="106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JPChase, BOA and the other lenders and agents under the Existing Credit Agreement desire to amend the Existing Credit Agreement in certain respects as set forth herein.</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09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primarily engaged in the business of owning, purchasing, developing, constructing, renovating and operating commercial real property in the United States.</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09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Boston Properties, Inc., a Delaware corporation (“</w:t>
      </w:r>
      <w:r>
        <w:rPr>
          <w:rFonts w:ascii="Times New Roman" w:cs="Times New Roman" w:eastAsia="Times New Roman" w:hAnsi="Times New Roman"/>
          <w:sz w:val="22"/>
          <w:szCs w:val="22"/>
          <w:u w:val="single" w:color="auto"/>
          <w:color w:val="auto"/>
        </w:rPr>
        <w:t>BPI</w:t>
      </w:r>
      <w:r>
        <w:rPr>
          <w:rFonts w:ascii="Times New Roman" w:cs="Times New Roman" w:eastAsia="Times New Roman" w:hAnsi="Times New Roman"/>
          <w:sz w:val="22"/>
          <w:szCs w:val="22"/>
          <w:color w:val="auto"/>
        </w:rPr>
        <w:t>”), is the sole general partner of BPLP, holds in excess of 88% of the common partnership interests in BPLP as of March 31, 2021, and has elected to be taxed as a REIT for income tax purposes.</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14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requested the Banks, and the Banks have agreed, to amend and restate the existing unsecured revolving credit facility for use by the Borrower pursuant to the terms and conditions hereof.</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the parties hereto agree that the Existing Credit Agreement shall be amended and restated in its entirety, effective as of the Effective Date, to read as follows:</w:t>
      </w:r>
    </w:p>
    <w:p>
      <w:pPr>
        <w:spacing w:after="0" w:line="167"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010000"/>
        </w:rPr>
        <w:t>§1</w:t>
      </w:r>
      <w:r>
        <w:rPr>
          <w:sz w:val="20"/>
          <w:szCs w:val="20"/>
          <w:color w:val="auto"/>
        </w:rPr>
        <w:tab/>
      </w:r>
      <w:r>
        <w:rPr>
          <w:rFonts w:ascii="Times New Roman" w:cs="Times New Roman" w:eastAsia="Times New Roman" w:hAnsi="Times New Roman"/>
          <w:sz w:val="21"/>
          <w:szCs w:val="21"/>
          <w:u w:val="single" w:color="auto"/>
          <w:color w:val="auto"/>
        </w:rPr>
        <w:t>DEFINITIONS AND RULES OF INTERPRETATION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§1.1 </w:t>
      </w:r>
      <w:r>
        <w:rPr>
          <w:rFonts w:ascii="Times New Roman" w:cs="Times New Roman" w:eastAsia="Times New Roman" w:hAnsi="Times New Roman"/>
          <w:sz w:val="22"/>
          <w:szCs w:val="22"/>
          <w:color w:val="000000"/>
        </w:rPr>
        <w:t>Definitions. The following capitalized terms shall have the meanings set forth in this §1 or elsewhere in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provisions of this Agreement referred to below: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Absolute Rate</w:t>
      </w:r>
      <w:r>
        <w:rPr>
          <w:rFonts w:ascii="Times New Roman" w:cs="Times New Roman" w:eastAsia="Times New Roman" w:hAnsi="Times New Roman"/>
          <w:sz w:val="22"/>
          <w:szCs w:val="22"/>
          <w:color w:val="auto"/>
        </w:rPr>
        <w:t>. A fixed rate, on a per annum basis, of interest expressed in multiples of 1/100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one basis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83" w:right="339"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22"/>
          <w:szCs w:val="22"/>
          <w:u w:val="single" w:color="auto"/>
          <w:color w:val="auto"/>
        </w:rPr>
        <w:t>Absolute Rate Loan</w:t>
      </w:r>
      <w:r>
        <w:rPr>
          <w:rFonts w:ascii="Times New Roman" w:cs="Times New Roman" w:eastAsia="Times New Roman" w:hAnsi="Times New Roman"/>
          <w:sz w:val="22"/>
          <w:szCs w:val="22"/>
          <w:color w:val="auto"/>
        </w:rPr>
        <w:t>. A Bid Rate Loan that bears interest at a rate determined with reference to an Absolute Rate.</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In each case, independent certified public accountants reasonably acceptable to the Required Banks. The Banks hereby acknowledge that the Accountants may include PricewaterhouseCoopers LLP and any other so-called “big-four” accounting firm.</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Accounts Payable</w:t>
      </w:r>
      <w:r>
        <w:rPr>
          <w:rFonts w:ascii="Times New Roman" w:cs="Times New Roman" w:eastAsia="Times New Roman" w:hAnsi="Times New Roman"/>
          <w:sz w:val="22"/>
          <w:szCs w:val="22"/>
          <w:color w:val="auto"/>
        </w:rPr>
        <w:t>. See definition of “Consolidated Total Indebtedness”.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Accounts Receivable</w:t>
      </w:r>
      <w:r>
        <w:rPr>
          <w:rFonts w:ascii="Times New Roman" w:cs="Times New Roman" w:eastAsia="Times New Roman" w:hAnsi="Times New Roman"/>
          <w:sz w:val="22"/>
          <w:szCs w:val="22"/>
          <w:color w:val="auto"/>
        </w:rPr>
        <w:t>. Collectively, without double-counting, each of the accounts receivable of the Borrower and its Subsidiaries which (i) arose in the ordinary course of business of the Borrower or such Subsidiary, (ii) would be classified under GAAP as a current asset on the balance sheet of the Borrower or such Subsidiary and is not more than 60 days past due under the original terms, and (iii) to the knowledge of the Borrower or such Subsidiary, is the valid and binding obligation of the account debtor.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Acts</w:t>
      </w:r>
      <w:r>
        <w:rPr>
          <w:rFonts w:ascii="Times New Roman" w:cs="Times New Roman" w:eastAsia="Times New Roman" w:hAnsi="Times New Roman"/>
          <w:sz w:val="22"/>
          <w:szCs w:val="22"/>
          <w:color w:val="auto"/>
        </w:rPr>
        <w:t>. See §31(a).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See §21.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(a) Any EEA Financial Institution or (b) any UK Financial Institution.</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With reference to any Person, (i) any director or executive officer of that Person, (ii) any other Person controlling, controlled by or under direct or indirect common control of that Person, (iii) any other Person directly or indirectly holding 10% or more of any class of the capital stock or other equity interests (including options, warrants, convertible securities and similar rights) of that Person and (iv) any other Person 10% or more of any class of whose capital stock or other equity interests (including options, warrants, convertible securities and similar rights) is held directly or indirectly by that Person. In no event shall the Agent or any Bank be deemed to be an Affiliate of the Borrower.</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BOA (or any of its designated branch offices or affiliates) in its capacity as administrative agent under any of the Loan Documents, or any successor administrative agent.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Agent’s Funding Office</w:t>
      </w:r>
      <w:r>
        <w:rPr>
          <w:rFonts w:ascii="Times New Roman" w:cs="Times New Roman" w:eastAsia="Times New Roman" w:hAnsi="Times New Roman"/>
          <w:sz w:val="22"/>
          <w:szCs w:val="22"/>
          <w:color w:val="auto"/>
        </w:rPr>
        <w:t>. With respect to any currency, the Agent’s address and, as appropriate, account as set forth on Schedule 21 with respect to such currency, or such other address or account with respect to such currency of which the Agent may from time to time notify the Borrower and the Banks.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Agreed Currency</w:t>
      </w:r>
      <w:r>
        <w:rPr>
          <w:rFonts w:ascii="Times New Roman" w:cs="Times New Roman" w:eastAsia="Times New Roman" w:hAnsi="Times New Roman"/>
          <w:sz w:val="22"/>
          <w:szCs w:val="22"/>
          <w:color w:val="auto"/>
        </w:rPr>
        <w:t>. Dollars or any Alternative Currency, as applicable.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This Ninth Amended and Restated Credit Agreement, including the Schedules and Exhibits hereto, as the same may be from time to time amended and in effect.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Agreement of Limited Partnership of BPLP</w:t>
      </w:r>
      <w:r>
        <w:rPr>
          <w:rFonts w:ascii="Times New Roman" w:cs="Times New Roman" w:eastAsia="Times New Roman" w:hAnsi="Times New Roman"/>
          <w:sz w:val="22"/>
          <w:szCs w:val="22"/>
          <w:color w:val="auto"/>
        </w:rPr>
        <w:t>. The Amended and Restated Agreement of Limited Partnership of BPLP, dated June 23, 1997, among BPI and the limited partners named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8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color w:val="auto"/>
        </w:rPr>
        <w:t>therein, as amended through the date hereof and as the same may be further amended from time to time as permitted by §8.21.</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Alternative Currency</w:t>
      </w:r>
      <w:r>
        <w:rPr>
          <w:rFonts w:ascii="Times New Roman" w:cs="Times New Roman" w:eastAsia="Times New Roman" w:hAnsi="Times New Roman"/>
          <w:sz w:val="22"/>
          <w:szCs w:val="22"/>
          <w:color w:val="auto"/>
        </w:rPr>
        <w:t xml:space="preserve">. Each of Euro, Sterling and Canadian Dollars, together with each other currency (other than Dollars) that is approved in accordance with §1.4;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each such Alternative Currency, such requested currency is an Eligible Currency.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Alternative Currency Daily Rate</w:t>
      </w:r>
      <w:r>
        <w:rPr>
          <w:rFonts w:ascii="Times New Roman" w:cs="Times New Roman" w:eastAsia="Times New Roman" w:hAnsi="Times New Roman"/>
          <w:sz w:val="22"/>
          <w:szCs w:val="22"/>
          <w:color w:val="auto"/>
        </w:rPr>
        <w:t>. For any day, with respect to any extension of credit hereunder:</w:t>
      </w:r>
    </w:p>
    <w:p>
      <w:pPr>
        <w:spacing w:after="0" w:line="220" w:lineRule="exact"/>
        <w:rPr>
          <w:sz w:val="20"/>
          <w:szCs w:val="20"/>
          <w:color w:val="auto"/>
        </w:rPr>
      </w:pPr>
    </w:p>
    <w:p>
      <w:pPr>
        <w:ind w:firstLine="1304"/>
        <w:spacing w:after="0" w:line="284" w:lineRule="auto"/>
        <w:tabs>
          <w:tab w:leader="none" w:pos="180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denominated in Sterling, the rate per annum equal to SONIA determined pursuant to the definition thereof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SONIA Adjustment; and</w:t>
      </w:r>
    </w:p>
    <w:p>
      <w:pPr>
        <w:spacing w:after="0" w:line="143"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777"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Agent and the relevant Banks pursuant to §1.4(a)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adjustment (if any) determined by the Agent and the relevant Banks pursuant to §1.4(a);</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if any Alternative Currency Daily Rate shall be less than zero, such rate shall be deemed zero for purposes of the Loan Documents. Any change in an Alternative Currency Daily Rate shall be effective from and including the date of such change without further notice.</w:t>
      </w:r>
    </w:p>
    <w:p>
      <w:pPr>
        <w:spacing w:after="0" w:line="16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u w:val="single" w:color="auto"/>
          <w:color w:val="auto"/>
        </w:rPr>
        <w:t>Alternative Currency Daily Rate Loan.</w:t>
      </w:r>
      <w:r>
        <w:rPr>
          <w:rFonts w:ascii="Times New Roman" w:cs="Times New Roman" w:eastAsia="Times New Roman" w:hAnsi="Times New Roman"/>
          <w:sz w:val="21"/>
          <w:szCs w:val="21"/>
          <w:color w:val="auto"/>
        </w:rPr>
        <w:t xml:space="preserve"> A Committed Loan that bears interest at a rate based on the definition of “Alternative Currency Daily Rate.” All Alternative Currency Daily Rate Loans must be denominated in an Alternative Currency.</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Alternative Currency Equivalent</w:t>
      </w:r>
      <w:r>
        <w:rPr>
          <w:rFonts w:ascii="Times New Roman" w:cs="Times New Roman" w:eastAsia="Times New Roman" w:hAnsi="Times New Roman"/>
          <w:sz w:val="22"/>
          <w:szCs w:val="22"/>
          <w:color w:val="auto"/>
        </w:rPr>
        <w:t xml:space="preserve">. At any time, with respect to any amount denominated in Dollars, the equivalent amount thereof in the applicable Alternative Currency as determined in good faith by the Agent or the applicable Fronting Bank,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no such rate is available, the “Alternative Currency Equivalent” shall be determined by the Agent or the applicable Fronting Bank, as the case may be, using any reasonable method of determination it deems appropriate in its sole discretion (and such determination shall be conclusive absent manifest error).</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Alternative Currency Committed Loan</w:t>
      </w:r>
      <w:r>
        <w:rPr>
          <w:rFonts w:ascii="Times New Roman" w:cs="Times New Roman" w:eastAsia="Times New Roman" w:hAnsi="Times New Roman"/>
          <w:sz w:val="22"/>
          <w:szCs w:val="22"/>
          <w:color w:val="auto"/>
        </w:rPr>
        <w:t>. An Alternative Currency Daily Rate Loan or an Alternative Currency Term Rate Loan, as applicable.</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Alternative Currency Loan</w:t>
      </w:r>
      <w:r>
        <w:rPr>
          <w:rFonts w:ascii="Times New Roman" w:cs="Times New Roman" w:eastAsia="Times New Roman" w:hAnsi="Times New Roman"/>
          <w:sz w:val="22"/>
          <w:szCs w:val="22"/>
          <w:color w:val="auto"/>
        </w:rPr>
        <w:t>. An Alternative Currency Daily Rate Loan, an Alternative Currency Term Rate Loan or a Bid Rate Loan denominated in an Alternative Currency,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87" w:right="339" w:bottom="1440" w:gutter="0" w:footer="0" w:header="0"/>
        </w:sectPr>
      </w:pPr>
    </w:p>
    <w:bookmarkStart w:id="132" w:name="page133"/>
    <w:bookmarkEnd w:id="132"/>
    <w:p>
      <w:pPr>
        <w:ind w:left="660"/>
        <w:spacing w:after="0"/>
        <w:rPr>
          <w:sz w:val="20"/>
          <w:szCs w:val="20"/>
          <w:color w:val="auto"/>
        </w:rPr>
      </w:pPr>
      <w:r>
        <w:rPr>
          <w:rFonts w:ascii="Times New Roman" w:cs="Times New Roman" w:eastAsia="Times New Roman" w:hAnsi="Times New Roman"/>
          <w:sz w:val="22"/>
          <w:szCs w:val="22"/>
          <w:u w:val="single" w:color="auto"/>
          <w:color w:val="auto"/>
        </w:rPr>
        <w:t>Alternative Currency Term Rate</w:t>
      </w:r>
      <w:r>
        <w:rPr>
          <w:rFonts w:ascii="Times New Roman" w:cs="Times New Roman" w:eastAsia="Times New Roman" w:hAnsi="Times New Roman"/>
          <w:sz w:val="22"/>
          <w:szCs w:val="22"/>
          <w:color w:val="auto"/>
        </w:rPr>
        <w:t>. For any Interest Period, with respect to any extension of credit hereunder:</w:t>
      </w:r>
    </w:p>
    <w:p>
      <w:pPr>
        <w:spacing w:after="0" w:line="233" w:lineRule="exact"/>
        <w:rPr>
          <w:sz w:val="20"/>
          <w:szCs w:val="20"/>
          <w:color w:val="auto"/>
        </w:rPr>
      </w:pPr>
    </w:p>
    <w:p>
      <w:pPr>
        <w:jc w:val="both"/>
        <w:ind w:left="660" w:firstLine="644"/>
        <w:spacing w:after="0" w:line="252" w:lineRule="auto"/>
        <w:tabs>
          <w:tab w:leader="none" w:pos="189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denominated in Euros, the rate per annum equal to the Euro Interbank Offered Rate (“</w:t>
      </w:r>
      <w:r>
        <w:rPr>
          <w:rFonts w:ascii="Times New Roman" w:cs="Times New Roman" w:eastAsia="Times New Roman" w:hAnsi="Times New Roman"/>
          <w:sz w:val="22"/>
          <w:szCs w:val="22"/>
          <w:u w:val="single" w:color="auto"/>
          <w:color w:val="auto"/>
        </w:rPr>
        <w:t>EURIBOR</w:t>
      </w:r>
      <w:r>
        <w:rPr>
          <w:rFonts w:ascii="Times New Roman" w:cs="Times New Roman" w:eastAsia="Times New Roman" w:hAnsi="Times New Roman"/>
          <w:sz w:val="22"/>
          <w:szCs w:val="22"/>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202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denominated in Canadian Dollars, the rate per annum equal to the </w:t>
      </w:r>
      <w:r>
        <w:rPr>
          <w:rFonts w:ascii="Times New Roman" w:cs="Times New Roman" w:eastAsia="Times New Roman" w:hAnsi="Times New Roman"/>
          <w:sz w:val="22"/>
          <w:szCs w:val="22"/>
          <w:color w:val="FF0000"/>
          <w:strike w:val="1"/>
        </w:rPr>
        <w:t>Canadian Dollar Offered 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CDOR</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0000FF"/>
        </w:rPr>
        <w:t>forward-looking term rate based on CORRA</w:t>
      </w:r>
      <w:r>
        <w:rPr>
          <w:rFonts w:ascii="Times New Roman" w:cs="Times New Roman" w:eastAsia="Times New Roman" w:hAnsi="Times New Roman"/>
          <w:sz w:val="22"/>
          <w:szCs w:val="22"/>
          <w:color w:val="000000"/>
        </w:rPr>
        <w:t>, as published on the applicable Reuters screen page (or such other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commercially available source providing such quotations as may be designated by the </w:t>
      </w:r>
      <w:r>
        <w:rPr>
          <w:rFonts w:ascii="Times New Roman" w:cs="Times New Roman" w:eastAsia="Times New Roman" w:hAnsi="Times New Roman"/>
          <w:sz w:val="22"/>
          <w:szCs w:val="22"/>
          <w:u w:val="single" w:color="auto"/>
          <w:color w:val="0000FF"/>
        </w:rPr>
        <w:t>Administrative</w:t>
      </w:r>
      <w:r>
        <w:rPr>
          <w:rFonts w:ascii="Times New Roman" w:cs="Times New Roman" w:eastAsia="Times New Roman" w:hAnsi="Times New Roman"/>
          <w:sz w:val="22"/>
          <w:szCs w:val="22"/>
          <w:color w:val="000000"/>
        </w:rPr>
        <w:t xml:space="preserve"> Agent from time to time) </w:t>
      </w:r>
      <w:r>
        <w:rPr>
          <w:rFonts w:ascii="Times New Roman" w:cs="Times New Roman" w:eastAsia="Times New Roman" w:hAnsi="Times New Roman"/>
          <w:sz w:val="22"/>
          <w:szCs w:val="22"/>
          <w:color w:val="0000FF"/>
        </w:rPr>
        <w:t>(in such case, “Term CORRA”)</w:t>
      </w:r>
      <w:r>
        <w:rPr>
          <w:rFonts w:ascii="Times New Roman" w:cs="Times New Roman" w:eastAsia="Times New Roman" w:hAnsi="Times New Roman"/>
          <w:sz w:val="22"/>
          <w:szCs w:val="22"/>
          <w:color w:val="000000"/>
        </w:rPr>
        <w:t xml:space="preserve"> on the Rate Determination Date with a term equivalent to </w:t>
      </w:r>
      <w:r>
        <w:rPr>
          <w:rFonts w:ascii="Times New Roman" w:cs="Times New Roman" w:eastAsia="Times New Roman" w:hAnsi="Times New Roman"/>
          <w:sz w:val="22"/>
          <w:szCs w:val="22"/>
          <w:color w:val="0000FF"/>
        </w:rPr>
        <w:t>such Interest Period plus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the CORRA Adjustment for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such Interest Period; and</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8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Agent and the relevant Banks pursuant to §1.4(a)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adjustment (if any) determined by the Agent and the relevant Banks pursuant to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-1001395</wp:posOffset>
            </wp:positionV>
            <wp:extent cx="17900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1790065" cy="825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-1001395</wp:posOffset>
            </wp:positionV>
            <wp:extent cx="14122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if any Alternative Currency Term Rate shall be less than zero, such rate shall be deemed zero for purposes of the Loan Documents.</w:t>
      </w:r>
    </w:p>
    <w:p>
      <w:pPr>
        <w:spacing w:after="0" w:line="15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u w:val="single" w:color="auto"/>
          <w:color w:val="auto"/>
        </w:rPr>
        <w:t>Alternative Currency Term Rate Loan</w:t>
      </w:r>
      <w:r>
        <w:rPr>
          <w:rFonts w:ascii="Times New Roman" w:cs="Times New Roman" w:eastAsia="Times New Roman" w:hAnsi="Times New Roman"/>
          <w:sz w:val="21"/>
          <w:szCs w:val="21"/>
          <w:color w:val="auto"/>
        </w:rPr>
        <w:t>. A Committed Loan that bears interest at a rate based on the definition of “Alternative Currency Term Rate.” All Alternative Currency Term Rate Loans must be denominated in an Alternative Currency.</w:t>
      </w:r>
    </w:p>
    <w:p>
      <w:pPr>
        <w:spacing w:after="0" w:line="12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Annualized Capital Expenditures</w:t>
      </w:r>
      <w:r>
        <w:rPr>
          <w:rFonts w:ascii="Times New Roman" w:cs="Times New Roman" w:eastAsia="Times New Roman" w:hAnsi="Times New Roman"/>
          <w:sz w:val="22"/>
          <w:szCs w:val="22"/>
          <w:color w:val="auto"/>
        </w:rPr>
        <w:t xml:space="preserve">. (i) With respect to any Real Estate Assets other than hotel properties, for any rolling four (4) calendar quarters, determined as of the last day of a calendar quarter, an amount equal to $.25 </w:t>
      </w:r>
      <w:r>
        <w:rPr>
          <w:rFonts w:ascii="Times New Roman" w:cs="Times New Roman" w:eastAsia="Times New Roman" w:hAnsi="Times New Roman"/>
          <w:sz w:val="22"/>
          <w:szCs w:val="22"/>
          <w:u w:val="single" w:color="auto"/>
          <w:color w:val="auto"/>
        </w:rPr>
        <w:t>multiplied</w:t>
      </w:r>
      <w:r>
        <w:rPr>
          <w:rFonts w:ascii="Times New Roman" w:cs="Times New Roman" w:eastAsia="Times New Roman" w:hAnsi="Times New Roman"/>
          <w:sz w:val="22"/>
          <w:szCs w:val="22"/>
          <w:color w:val="auto"/>
        </w:rPr>
        <w:t xml:space="preserve"> by the total number of square feet of the Real Estate Assets other than hotel properties, on the last day of such calendar quarter; (ii) with respect to the Boston Marriott Cambridge hotel in Cambridge, Massachusetts, for any rolling four (4) calendar quarters, determined as of the last day of a calendar quarter, an amount equal to six percent (6%) of gross revenues as determined in accordance with GAAP for such four (4) calendar quarters; and (iii) with respect to the hotel properties other than the Boston Marriott Cambridge hotel, for any rolling four (4) calendar quarters, determined as of the last day of a calendar quarter, an amount equal to the applicable percentage of gross revenues as determined in accordance with GAAP for such four (4) calendar quarters, which percentage shall be the percentage for each such hotel as is to be maintained on the books of the Borrower or in a separate reserve account for the replacement or repair of such hotel’s furniture, fixtures and equipment pursuant to (and in no event less than as required by) the applicable hotel management agreement or franchise agreement (which such agreement shall be in form and substance customary for a national hotel franchise).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86" w:right="339" w:bottom="1440" w:gutter="0" w:footer="0" w:header="0"/>
        </w:sectPr>
      </w:pPr>
    </w:p>
    <w:bookmarkStart w:id="133" w:name="page134"/>
    <w:bookmarkEnd w:id="133"/>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Applicable Authority</w:t>
      </w:r>
      <w:r>
        <w:rPr>
          <w:rFonts w:ascii="Times New Roman" w:cs="Times New Roman" w:eastAsia="Times New Roman" w:hAnsi="Times New Roman"/>
          <w:sz w:val="22"/>
          <w:szCs w:val="22"/>
          <w:color w:val="auto"/>
        </w:rPr>
        <w:t>. (a) With respect to SOFR, the SOFR Administrator or any Governmental Authority having jurisdiction over the Agent or the SOFR Administrator with respect to its publication of SOFR, in each case acting in such capacity, (b) with respect to Term SOFR, CME or any successor administrator of the Term SOFR Screen Rate or any Governmental Authority having jurisdiction over the Agent or such administrator with respect to its publication of Term SOFR and/or the Term SOFR Screen Rate, in each case acting in such capacity, and (c) with respect to any Alternative Currency (other than Canadian Dollars), the applicable administrator for the Relevant Rate for such Alternative Currency or any Governmental Authority having jurisdiction over the Agent or such administrator with respect to its publication of the applicable Relevant Rate, in each case acting in such capacity.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With respect to:</w:t>
      </w:r>
    </w:p>
    <w:p>
      <w:pPr>
        <w:spacing w:after="0" w:line="220" w:lineRule="exact"/>
        <w:rPr>
          <w:sz w:val="20"/>
          <w:szCs w:val="20"/>
          <w:color w:val="auto"/>
        </w:rPr>
      </w:pPr>
    </w:p>
    <w:p>
      <w:pPr>
        <w:jc w:val="both"/>
        <w:ind w:firstLine="1304"/>
        <w:spacing w:after="0" w:line="272" w:lineRule="auto"/>
        <w:tabs>
          <w:tab w:leader="none" w:pos="175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Revolving Credit Loans, the spread, expressed in basis points, over the Base Rate, Daily Simple SOFR, Term SOFR, the Alternative Currency Daily Rate or Alternative Currency Term Rate, as applicable, and used in calculating the interest rate applicable thereto, as applicable, which spread shall vary from time to time in relationship to variances in the Debt Ratings as set forth below. The applicable Debt Ratings and spreads for each Type of Revolving Loans are as set forth in the following table:</w:t>
      </w:r>
    </w:p>
    <w:p>
      <w:pPr>
        <w:spacing w:after="0" w:line="182"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2880" w:type="dxa"/>
            <w:vAlign w:val="bottom"/>
            <w:tcBorders>
              <w:top w:val="single" w:sz="8" w:color="auto"/>
              <w:left w:val="single" w:sz="8" w:color="auto"/>
              <w:right w:val="single" w:sz="8" w:color="auto"/>
            </w:tcBorders>
          </w:tcPr>
          <w:p>
            <w:pPr>
              <w:spacing w:after="0"/>
              <w:rPr>
                <w:sz w:val="18"/>
                <w:szCs w:val="18"/>
                <w:color w:val="auto"/>
              </w:rPr>
            </w:pPr>
          </w:p>
        </w:tc>
        <w:tc>
          <w:tcPr>
            <w:tcW w:w="2840" w:type="dxa"/>
            <w:vAlign w:val="bottom"/>
            <w:tcBorders>
              <w:top w:val="single" w:sz="8" w:color="auto"/>
              <w:right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spacing w:after="0"/>
              <w:rPr>
                <w:sz w:val="18"/>
                <w:szCs w:val="18"/>
                <w:color w:val="auto"/>
              </w:rPr>
            </w:pPr>
          </w:p>
        </w:tc>
        <w:tc>
          <w:tcPr>
            <w:tcW w:w="284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Spread (in bps) for Daily</w:t>
            </w:r>
          </w:p>
        </w:tc>
        <w:tc>
          <w:tcPr>
            <w:tcW w:w="0" w:type="dxa"/>
            <w:vAlign w:val="bottom"/>
          </w:tcPr>
          <w:p>
            <w:pPr>
              <w:spacing w:after="0"/>
              <w:rPr>
                <w:sz w:val="1"/>
                <w:szCs w:val="1"/>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SOFR Loans, Term SOFR</w:t>
            </w:r>
          </w:p>
        </w:tc>
        <w:tc>
          <w:tcPr>
            <w:tcW w:w="0" w:type="dxa"/>
            <w:vAlign w:val="bottom"/>
          </w:tcPr>
          <w:p>
            <w:pPr>
              <w:spacing w:after="0"/>
              <w:rPr>
                <w:sz w:val="1"/>
                <w:szCs w:val="1"/>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Spread (in bps) for</w:t>
            </w: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Loans, Alternative Currency</w:t>
            </w:r>
          </w:p>
        </w:tc>
        <w:tc>
          <w:tcPr>
            <w:tcW w:w="0" w:type="dxa"/>
            <w:vAlign w:val="bottom"/>
          </w:tcPr>
          <w:p>
            <w:pPr>
              <w:spacing w:after="0"/>
              <w:rPr>
                <w:sz w:val="1"/>
                <w:szCs w:val="1"/>
                <w:color w:val="auto"/>
              </w:rPr>
            </w:pPr>
          </w:p>
        </w:tc>
      </w:tr>
      <w:tr>
        <w:trPr>
          <w:trHeight w:val="216"/>
        </w:trPr>
        <w:tc>
          <w:tcPr>
            <w:tcW w:w="2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S&amp;P</w:t>
            </w:r>
          </w:p>
        </w:tc>
        <w:tc>
          <w:tcPr>
            <w:tcW w:w="2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Moody’s</w:t>
            </w:r>
          </w:p>
        </w:tc>
        <w:tc>
          <w:tcPr>
            <w:tcW w:w="2120" w:type="dxa"/>
            <w:vAlign w:val="bottom"/>
            <w:tcBorders>
              <w:right w:val="single" w:sz="8" w:color="auto"/>
            </w:tcBorders>
            <w:vMerge w:val="continue"/>
          </w:tcPr>
          <w:p>
            <w:pPr>
              <w:spacing w:after="0"/>
              <w:rPr>
                <w:sz w:val="18"/>
                <w:szCs w:val="18"/>
                <w:color w:val="auto"/>
              </w:rPr>
            </w:pP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Daily Rate Loans, Alternative</w:t>
            </w:r>
          </w:p>
        </w:tc>
        <w:tc>
          <w:tcPr>
            <w:tcW w:w="0" w:type="dxa"/>
            <w:vAlign w:val="bottom"/>
          </w:tcPr>
          <w:p>
            <w:pPr>
              <w:spacing w:after="0"/>
              <w:rPr>
                <w:sz w:val="1"/>
                <w:szCs w:val="1"/>
                <w:color w:val="auto"/>
              </w:rPr>
            </w:pPr>
          </w:p>
        </w:tc>
      </w:tr>
      <w:tr>
        <w:trPr>
          <w:trHeight w:val="283"/>
        </w:trPr>
        <w:tc>
          <w:tcPr>
            <w:tcW w:w="288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840" w:type="dxa"/>
            <w:vAlign w:val="bottom"/>
            <w:tcBorders>
              <w:bottom w:val="single" w:sz="8" w:color="auto"/>
              <w:right w:val="single" w:sz="8" w:color="auto"/>
            </w:tcBorders>
            <w:vMerge w:val="continue"/>
          </w:tcPr>
          <w:p>
            <w:pPr>
              <w:spacing w:after="0"/>
              <w:rPr>
                <w:sz w:val="24"/>
                <w:szCs w:val="24"/>
                <w:color w:val="auto"/>
              </w:rPr>
            </w:pPr>
          </w:p>
        </w:tc>
        <w:tc>
          <w:tcPr>
            <w:tcW w:w="2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Base Rate Loans</w:t>
            </w:r>
          </w:p>
        </w:tc>
        <w:tc>
          <w:tcPr>
            <w:tcW w:w="2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Currency Term Rate Loans</w:t>
            </w:r>
          </w:p>
        </w:tc>
        <w:tc>
          <w:tcPr>
            <w:tcW w:w="0" w:type="dxa"/>
            <w:vAlign w:val="bottom"/>
          </w:tcPr>
          <w:p>
            <w:pPr>
              <w:spacing w:after="0"/>
              <w:rPr>
                <w:sz w:val="1"/>
                <w:szCs w:val="1"/>
                <w:color w:val="auto"/>
              </w:rPr>
            </w:pPr>
          </w:p>
        </w:tc>
      </w:tr>
      <w:tr>
        <w:trPr>
          <w:trHeight w:val="264"/>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 or above</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A2 or above</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0.0</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70.0</w:t>
            </w:r>
          </w:p>
        </w:tc>
        <w:tc>
          <w:tcPr>
            <w:tcW w:w="0" w:type="dxa"/>
            <w:vAlign w:val="bottom"/>
          </w:tcPr>
          <w:p>
            <w:pPr>
              <w:spacing w:after="0"/>
              <w:rPr>
                <w:sz w:val="1"/>
                <w:szCs w:val="1"/>
                <w:color w:val="auto"/>
              </w:rPr>
            </w:pPr>
          </w:p>
        </w:tc>
      </w:tr>
      <w:tr>
        <w:trPr>
          <w:trHeight w:val="264"/>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A3</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0.0</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72.5</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BBB+</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Baa1</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0.0</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77.5</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BBB</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Baa2</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0.0</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85.0</w:t>
            </w:r>
          </w:p>
        </w:tc>
        <w:tc>
          <w:tcPr>
            <w:tcW w:w="0" w:type="dxa"/>
            <w:vAlign w:val="bottom"/>
          </w:tcPr>
          <w:p>
            <w:pPr>
              <w:spacing w:after="0"/>
              <w:rPr>
                <w:sz w:val="1"/>
                <w:szCs w:val="1"/>
                <w:color w:val="auto"/>
              </w:rPr>
            </w:pPr>
          </w:p>
        </w:tc>
      </w:tr>
      <w:tr>
        <w:trPr>
          <w:trHeight w:val="264"/>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BBB-</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Baa3</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5.0</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105.0</w:t>
            </w:r>
          </w:p>
        </w:tc>
        <w:tc>
          <w:tcPr>
            <w:tcW w:w="0" w:type="dxa"/>
            <w:vAlign w:val="bottom"/>
          </w:tcPr>
          <w:p>
            <w:pPr>
              <w:spacing w:after="0"/>
              <w:rPr>
                <w:sz w:val="1"/>
                <w:szCs w:val="1"/>
                <w:color w:val="auto"/>
              </w:rPr>
            </w:pPr>
          </w:p>
        </w:tc>
      </w:tr>
      <w:tr>
        <w:trPr>
          <w:trHeight w:val="317"/>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Below BBB-</w:t>
            </w:r>
          </w:p>
        </w:tc>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Below Baa3</w:t>
            </w:r>
          </w:p>
        </w:tc>
        <w:tc>
          <w:tcPr>
            <w:tcW w:w="212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(or not rated by Moody’s or</w:t>
            </w:r>
          </w:p>
        </w:tc>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(or not rated by Moody’s or</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40.0</w:t>
            </w: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140.0</w:t>
            </w:r>
          </w:p>
        </w:tc>
        <w:tc>
          <w:tcPr>
            <w:tcW w:w="0" w:type="dxa"/>
            <w:vAlign w:val="bottom"/>
          </w:tcPr>
          <w:p>
            <w:pPr>
              <w:spacing w:after="0"/>
              <w:rPr>
                <w:sz w:val="1"/>
                <w:szCs w:val="1"/>
                <w:color w:val="auto"/>
              </w:rPr>
            </w:pPr>
          </w:p>
        </w:tc>
      </w:tr>
      <w:tr>
        <w:trPr>
          <w:trHeight w:val="175"/>
        </w:trPr>
        <w:tc>
          <w:tcPr>
            <w:tcW w:w="2880" w:type="dxa"/>
            <w:vAlign w:val="bottom"/>
            <w:tcBorders>
              <w:left w:val="single" w:sz="8" w:color="auto"/>
              <w:right w:val="single" w:sz="8" w:color="auto"/>
            </w:tcBorders>
          </w:tcPr>
          <w:p>
            <w:pPr>
              <w:ind w:left="100"/>
              <w:spacing w:after="0" w:line="175" w:lineRule="exact"/>
              <w:rPr>
                <w:sz w:val="20"/>
                <w:szCs w:val="20"/>
                <w:color w:val="auto"/>
              </w:rPr>
            </w:pPr>
            <w:r>
              <w:rPr>
                <w:rFonts w:ascii="Times New Roman" w:cs="Times New Roman" w:eastAsia="Times New Roman" w:hAnsi="Times New Roman"/>
                <w:sz w:val="19"/>
                <w:szCs w:val="19"/>
                <w:color w:val="auto"/>
              </w:rPr>
              <w:t>S&amp;P and at least one other</w:t>
            </w:r>
          </w:p>
        </w:tc>
        <w:tc>
          <w:tcPr>
            <w:tcW w:w="2840" w:type="dxa"/>
            <w:vAlign w:val="bottom"/>
            <w:tcBorders>
              <w:right w:val="single" w:sz="8" w:color="auto"/>
            </w:tcBorders>
          </w:tcPr>
          <w:p>
            <w:pPr>
              <w:ind w:left="60"/>
              <w:spacing w:after="0" w:line="175" w:lineRule="exact"/>
              <w:rPr>
                <w:sz w:val="20"/>
                <w:szCs w:val="20"/>
                <w:color w:val="auto"/>
              </w:rPr>
            </w:pPr>
            <w:r>
              <w:rPr>
                <w:rFonts w:ascii="Times New Roman" w:cs="Times New Roman" w:eastAsia="Times New Roman" w:hAnsi="Times New Roman"/>
                <w:sz w:val="19"/>
                <w:szCs w:val="19"/>
                <w:color w:val="auto"/>
              </w:rPr>
              <w:t>S&amp;P and at least one other</w:t>
            </w:r>
          </w:p>
        </w:tc>
        <w:tc>
          <w:tcPr>
            <w:tcW w:w="212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Rating Agency)</w:t>
            </w:r>
          </w:p>
        </w:tc>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Rating Agency)</w:t>
            </w:r>
          </w:p>
        </w:tc>
        <w:tc>
          <w:tcPr>
            <w:tcW w:w="212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880" w:type="dxa"/>
            <w:vAlign w:val="bottom"/>
            <w:tcBorders>
              <w:left w:val="single" w:sz="8" w:color="auto"/>
              <w:bottom w:val="single" w:sz="8" w:color="auto"/>
              <w:right w:val="single" w:sz="8" w:color="auto"/>
            </w:tcBorders>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In the event only one of S&amp;P or Moody’s is one of the two Rating Agencies as required hereunder at the time of reference, the Debt Rating from the other Rating Agency for purposes of establishing the spread for any Revolving Loan shall be the rating level utilized by such other Rating Agency which corresponds to the comparable rating levels set forth in the table above. In the event the Debt Ratings from the Rating Agencies are not equivalent, the Applicable Margin will be determined (i) based on the higher of the two Debt Ratings if the lower Debt Rating is no more than one level lower than the higher Debt Rating, and (ii) based on the level that is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86" w:right="339" w:bottom="1440" w:gutter="0" w:footer="0" w:header="0"/>
        </w:sectPr>
      </w:pPr>
    </w:p>
    <w:bookmarkStart w:id="134" w:name="page135"/>
    <w:bookmarkEnd w:id="134"/>
    <w:p>
      <w:pPr>
        <w:jc w:val="both"/>
        <w:spacing w:after="0" w:line="250" w:lineRule="auto"/>
        <w:rPr>
          <w:sz w:val="20"/>
          <w:szCs w:val="20"/>
          <w:color w:val="auto"/>
        </w:rPr>
      </w:pPr>
      <w:r>
        <w:rPr>
          <w:rFonts w:ascii="Times New Roman" w:cs="Times New Roman" w:eastAsia="Times New Roman" w:hAnsi="Times New Roman"/>
          <w:sz w:val="22"/>
          <w:szCs w:val="22"/>
          <w:color w:val="auto"/>
        </w:rPr>
        <w:t>rating level higher than the lower Debt Rating if the lower Debt Rating is more than one level lower than the higher Debt Rating. Adjustments in the Applicable Margin based upon a change in a Debt Rating level shall be effective on the first day following the change in such Debt Rating.</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Notwithstanding the foregoing, commencing with the fiscal year ending December 31, 2021, if the Borrower delivers a Sustainability Metric Annual Certificate to the Administrative Agent, certifying that the Sustainability Metric as of December 31 of the most recently ended fiscal year (the “</w:t>
      </w:r>
      <w:r>
        <w:rPr>
          <w:rFonts w:ascii="Times New Roman" w:cs="Times New Roman" w:eastAsia="Times New Roman" w:hAnsi="Times New Roman"/>
          <w:sz w:val="21"/>
          <w:szCs w:val="21"/>
          <w:u w:val="single" w:color="auto"/>
          <w:color w:val="auto"/>
        </w:rPr>
        <w:t>Specified Test Year</w:t>
      </w:r>
      <w:r>
        <w:rPr>
          <w:rFonts w:ascii="Times New Roman" w:cs="Times New Roman" w:eastAsia="Times New Roman" w:hAnsi="Times New Roman"/>
          <w:sz w:val="21"/>
          <w:szCs w:val="21"/>
          <w:color w:val="auto"/>
        </w:rPr>
        <w:t>”) was no less than the Sustainability Metric Election Threshold and electing that the Applicable Margin instead be based on the table set forth below (the “</w:t>
      </w:r>
      <w:r>
        <w:rPr>
          <w:rFonts w:ascii="Times New Roman" w:cs="Times New Roman" w:eastAsia="Times New Roman" w:hAnsi="Times New Roman"/>
          <w:sz w:val="21"/>
          <w:szCs w:val="21"/>
          <w:u w:val="single" w:color="auto"/>
          <w:color w:val="auto"/>
        </w:rPr>
        <w:t>Sustainability Metric Pricing Grid</w:t>
      </w:r>
      <w:r>
        <w:rPr>
          <w:rFonts w:ascii="Times New Roman" w:cs="Times New Roman" w:eastAsia="Times New Roman" w:hAnsi="Times New Roman"/>
          <w:sz w:val="21"/>
          <w:szCs w:val="21"/>
          <w:color w:val="auto"/>
        </w:rPr>
        <w:t xml:space="preserve">”), then the Applicable Margin with respect to the Revolving Credit Loans shall be based on the Sustainability Metric Pricing Grid for the period commencing five (5) Business Days following the date such Sustainability Metric Annual Certificate is delivered to the Agent until the earliest of (i) five (5) Business Days following the date on which a Sustainability Metric Annual Certificate is delivered for the fiscal year ending immediately after such Specified Test Year, indicating that the Borrower does not elect to apply the Sustainability Metric Pricing Grid or that the Sustainability Metric for the fiscal year ending immediately after such Specified Test Year was less than the Sustainability Metric Election Threshold, (ii) five (5) Business Days following the date the Borrower is required to have delivered a Compliance Certificate pursuant to §8.4(c) relating to the financial statements for the fiscal year ending immediately after such Specified Test Year with respect to the fiscal year ending immediately after such Specified Test Year if the Borrower has not delivered a Sustainability Metric Annual Certificate certifying that the Sustainability Metric as of December 31 of the fiscal year ending immediately after such Specified Test Year was no less than the Sustainability Metric Election Threshold and (iii) five (5) Business Days following the delivery of a Compliance Certificate pursuant to §8.4(c) relating to the financial statements for the fiscal year ending immediately after such Specified Test Year if the Borrower has not delivered a Sustainability Metric Annual Certificate certifying that the Sustainability Metric as of December 31 of the fiscal year ending immediately after such Specified Test Year was no less than the Sustainability Metric Election Threshold;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 w:lineRule="exact"/>
        <w:rPr>
          <w:sz w:val="20"/>
          <w:szCs w:val="20"/>
          <w:color w:val="auto"/>
        </w:rPr>
      </w:pPr>
    </w:p>
    <w:p>
      <w:pPr>
        <w:jc w:val="both"/>
        <w:ind w:firstLine="8"/>
        <w:spacing w:after="0" w:line="247" w:lineRule="auto"/>
        <w:tabs>
          <w:tab w:leader="none" w:pos="30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Sustainability Metric for any fiscal year is less than the Sustainability Metric Election Threshold, the Borrower shall not be restricted from making any subsequent election to apply the Sustainability Metric Pricing Grid pursuant to this paragraph if the Sustainability Metric for the fiscal year most recently ended prior to such election is no less than the Sustainability Metric Election Threshold, and (y) a Sustainability Metric Annual Certificate electing to apply the Sustainability Metric Pricing Grid pursuant to this paragraph may be delivered at any time by the Borrower so long as the Sustainability Metric for the fiscal year most recently ended prior to such election is no less than the Sustainability Metric Election Threshold. If, as a result of (A) the agreement by the Borrower, the Agent and the Revolving Credit Banks that the Sustainability Metric for any fiscal year as reported on any Sustainability Metric Annual Certificate was inaccurate or (B) the Borrower, the Agent or the Revolving Credit Banks becoming aware of any material inaccuracy in the Sustainability Metric for any fiscal year as reported on any Sustainability Metric Annual Certificate (and, in the case of the Agent or the Revolving Credit Banks becoming aware thereof, written notice thereof has been delivered to the Borrower setting forth in reasonable detail the basis for such determination) and, in each case, the Borrower made an election to apply the Sustainability Metric Pricing Grid pursuant to such Sustainability Metric Annual Certificate and a proper calculation of the Sustainability Metric for such fiscal year would not have resulted in any adjustment to the Applicable Margin pursuant to the Sustainability Metric Pricing Grid for the relevant period covered by such election, then the Borrower shall immediately and retroactively be obligated to pay to the Agent for the account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73" w:right="339" w:bottom="1440" w:gutter="0" w:footer="0" w:header="0"/>
        </w:sectPr>
      </w:pPr>
    </w:p>
    <w:bookmarkStart w:id="135" w:name="page136"/>
    <w:bookmarkEnd w:id="135"/>
    <w:p>
      <w:pPr>
        <w:jc w:val="both"/>
        <w:spacing w:after="0" w:line="238" w:lineRule="auto"/>
        <w:rPr>
          <w:sz w:val="20"/>
          <w:szCs w:val="20"/>
          <w:color w:val="auto"/>
        </w:rPr>
      </w:pPr>
      <w:r>
        <w:rPr>
          <w:rFonts w:ascii="Times New Roman" w:cs="Times New Roman" w:eastAsia="Times New Roman" w:hAnsi="Times New Roman"/>
          <w:sz w:val="22"/>
          <w:szCs w:val="22"/>
          <w:color w:val="auto"/>
        </w:rPr>
        <w:t>the applicable Revolving Credit Banks or Fronting Banks, as the case may be, promptly (and in any event, within five (5) Business Days) following written demand by the Agent (including such any demand made at the direction of the Required Banks), (or, after the occurrence of an actual or deemed entry of an order for relief with respect to the Borrower under the Bankruptcy Code of the United States, immediately, automatically and without further action by the Agent, any Revolving Credit Banks or any Fronting Bank), an amount equal to the excess of the amount of interest and fees that should have been paid for such period (or relevant portion thereof then elapsed in respect of which payments of interest and/or fees were previously made) over the amount of interest and fees actually paid for such period (or relevant portion thereof). Notwithstanding anything to the contrary herein, unless such amounts shall be due upon the occurrence of an actual or deemed entry of an order for relief with respect to the Borrower under the Bankruptcy Code of the United States, (i) any additional amounts required to be paid pursuant to the immediately preceding sentence shall not be due and payable until a written demand is made for such payment by the Agent, (ii) any nonpayment of such additional amounts prior to such demand for payment by Agent shall not constitute a Default (whether retroactively or otherwise), and (iii) none of such additional amounts shall be deemed overdue prior to such a demand or shall accrue interest at the Default Rate prior to such a demand.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Sustainability Metric Pricing Grid</w:t>
      </w:r>
    </w:p>
    <w:p>
      <w:pPr>
        <w:spacing w:after="0" w:line="254"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2880" w:type="dxa"/>
            <w:vAlign w:val="bottom"/>
            <w:tcBorders>
              <w:top w:val="single" w:sz="8" w:color="auto"/>
              <w:left w:val="single" w:sz="8" w:color="auto"/>
              <w:right w:val="single" w:sz="8" w:color="auto"/>
            </w:tcBorders>
          </w:tcPr>
          <w:p>
            <w:pPr>
              <w:spacing w:after="0"/>
              <w:rPr>
                <w:sz w:val="18"/>
                <w:szCs w:val="18"/>
                <w:color w:val="auto"/>
              </w:rPr>
            </w:pPr>
          </w:p>
        </w:tc>
        <w:tc>
          <w:tcPr>
            <w:tcW w:w="2840" w:type="dxa"/>
            <w:vAlign w:val="bottom"/>
            <w:tcBorders>
              <w:top w:val="single" w:sz="8" w:color="auto"/>
              <w:right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spacing w:after="0"/>
              <w:rPr>
                <w:sz w:val="18"/>
                <w:szCs w:val="18"/>
                <w:color w:val="auto"/>
              </w:rPr>
            </w:pPr>
          </w:p>
        </w:tc>
        <w:tc>
          <w:tcPr>
            <w:tcW w:w="284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Spread (in bps) for Daily</w:t>
            </w:r>
          </w:p>
        </w:tc>
        <w:tc>
          <w:tcPr>
            <w:tcW w:w="0" w:type="dxa"/>
            <w:vAlign w:val="bottom"/>
          </w:tcPr>
          <w:p>
            <w:pPr>
              <w:spacing w:after="0"/>
              <w:rPr>
                <w:sz w:val="1"/>
                <w:szCs w:val="1"/>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SOFR Loans, Term SOFR</w:t>
            </w:r>
          </w:p>
        </w:tc>
        <w:tc>
          <w:tcPr>
            <w:tcW w:w="0" w:type="dxa"/>
            <w:vAlign w:val="bottom"/>
          </w:tcPr>
          <w:p>
            <w:pPr>
              <w:spacing w:after="0"/>
              <w:rPr>
                <w:sz w:val="1"/>
                <w:szCs w:val="1"/>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Spread (in bps) for</w:t>
            </w: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Loans, Alternative Currency</w:t>
            </w:r>
          </w:p>
        </w:tc>
        <w:tc>
          <w:tcPr>
            <w:tcW w:w="0" w:type="dxa"/>
            <w:vAlign w:val="bottom"/>
          </w:tcPr>
          <w:p>
            <w:pPr>
              <w:spacing w:after="0"/>
              <w:rPr>
                <w:sz w:val="1"/>
                <w:szCs w:val="1"/>
                <w:color w:val="auto"/>
              </w:rPr>
            </w:pPr>
          </w:p>
        </w:tc>
      </w:tr>
      <w:tr>
        <w:trPr>
          <w:trHeight w:val="216"/>
        </w:trPr>
        <w:tc>
          <w:tcPr>
            <w:tcW w:w="2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S&amp;P</w:t>
            </w:r>
          </w:p>
        </w:tc>
        <w:tc>
          <w:tcPr>
            <w:tcW w:w="2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Moody’s</w:t>
            </w:r>
          </w:p>
        </w:tc>
        <w:tc>
          <w:tcPr>
            <w:tcW w:w="2120" w:type="dxa"/>
            <w:vAlign w:val="bottom"/>
            <w:tcBorders>
              <w:right w:val="single" w:sz="8" w:color="auto"/>
            </w:tcBorders>
            <w:vMerge w:val="continue"/>
          </w:tcPr>
          <w:p>
            <w:pPr>
              <w:spacing w:after="0"/>
              <w:rPr>
                <w:sz w:val="18"/>
                <w:szCs w:val="18"/>
                <w:color w:val="auto"/>
              </w:rPr>
            </w:pPr>
          </w:p>
        </w:tc>
        <w:tc>
          <w:tcPr>
            <w:tcW w:w="28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Daily Rate Loans, Alternative</w:t>
            </w:r>
          </w:p>
        </w:tc>
        <w:tc>
          <w:tcPr>
            <w:tcW w:w="0" w:type="dxa"/>
            <w:vAlign w:val="bottom"/>
          </w:tcPr>
          <w:p>
            <w:pPr>
              <w:spacing w:after="0"/>
              <w:rPr>
                <w:sz w:val="1"/>
                <w:szCs w:val="1"/>
                <w:color w:val="auto"/>
              </w:rPr>
            </w:pPr>
          </w:p>
        </w:tc>
      </w:tr>
      <w:tr>
        <w:trPr>
          <w:trHeight w:val="283"/>
        </w:trPr>
        <w:tc>
          <w:tcPr>
            <w:tcW w:w="288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840" w:type="dxa"/>
            <w:vAlign w:val="bottom"/>
            <w:tcBorders>
              <w:bottom w:val="single" w:sz="8" w:color="auto"/>
              <w:right w:val="single" w:sz="8" w:color="auto"/>
            </w:tcBorders>
            <w:vMerge w:val="continue"/>
          </w:tcPr>
          <w:p>
            <w:pPr>
              <w:spacing w:after="0"/>
              <w:rPr>
                <w:sz w:val="24"/>
                <w:szCs w:val="24"/>
                <w:color w:val="auto"/>
              </w:rPr>
            </w:pPr>
          </w:p>
        </w:tc>
        <w:tc>
          <w:tcPr>
            <w:tcW w:w="2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Base Rate Loans</w:t>
            </w:r>
          </w:p>
        </w:tc>
        <w:tc>
          <w:tcPr>
            <w:tcW w:w="2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Currency Term Rate Loans</w:t>
            </w:r>
          </w:p>
        </w:tc>
        <w:tc>
          <w:tcPr>
            <w:tcW w:w="0" w:type="dxa"/>
            <w:vAlign w:val="bottom"/>
          </w:tcPr>
          <w:p>
            <w:pPr>
              <w:spacing w:after="0"/>
              <w:rPr>
                <w:sz w:val="1"/>
                <w:szCs w:val="1"/>
                <w:color w:val="auto"/>
              </w:rPr>
            </w:pPr>
          </w:p>
        </w:tc>
      </w:tr>
      <w:tr>
        <w:trPr>
          <w:trHeight w:val="264"/>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 or above</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A2 or above</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0.0</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69.0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A3</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0.0</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71.5</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BBB+</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Baa1</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0.0</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76.5</w:t>
            </w:r>
          </w:p>
        </w:tc>
        <w:tc>
          <w:tcPr>
            <w:tcW w:w="0" w:type="dxa"/>
            <w:vAlign w:val="bottom"/>
          </w:tcPr>
          <w:p>
            <w:pPr>
              <w:spacing w:after="0"/>
              <w:rPr>
                <w:sz w:val="1"/>
                <w:szCs w:val="1"/>
                <w:color w:val="auto"/>
              </w:rPr>
            </w:pPr>
          </w:p>
        </w:tc>
      </w:tr>
      <w:tr>
        <w:trPr>
          <w:trHeight w:val="264"/>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BBB</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Baa2</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0.0</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84.0</w:t>
            </w:r>
          </w:p>
        </w:tc>
        <w:tc>
          <w:tcPr>
            <w:tcW w:w="0" w:type="dxa"/>
            <w:vAlign w:val="bottom"/>
          </w:tcPr>
          <w:p>
            <w:pPr>
              <w:spacing w:after="0"/>
              <w:rPr>
                <w:sz w:val="1"/>
                <w:szCs w:val="1"/>
                <w:color w:val="auto"/>
              </w:rPr>
            </w:pPr>
          </w:p>
        </w:tc>
      </w:tr>
      <w:tr>
        <w:trPr>
          <w:trHeight w:val="263"/>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BBB-</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Baa3</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4.0</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104.0</w:t>
            </w:r>
          </w:p>
        </w:tc>
        <w:tc>
          <w:tcPr>
            <w:tcW w:w="0" w:type="dxa"/>
            <w:vAlign w:val="bottom"/>
          </w:tcPr>
          <w:p>
            <w:pPr>
              <w:spacing w:after="0"/>
              <w:rPr>
                <w:sz w:val="1"/>
                <w:szCs w:val="1"/>
                <w:color w:val="auto"/>
              </w:rPr>
            </w:pPr>
          </w:p>
        </w:tc>
      </w:tr>
      <w:tr>
        <w:trPr>
          <w:trHeight w:val="317"/>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Below BBB-</w:t>
            </w:r>
          </w:p>
        </w:tc>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Below Baa3</w:t>
            </w:r>
          </w:p>
        </w:tc>
        <w:tc>
          <w:tcPr>
            <w:tcW w:w="212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(or not rated by Moody’s or</w:t>
            </w:r>
          </w:p>
        </w:tc>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(or not rated by Moody’s or</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39.0</w:t>
            </w: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139.0</w:t>
            </w:r>
          </w:p>
        </w:tc>
        <w:tc>
          <w:tcPr>
            <w:tcW w:w="0" w:type="dxa"/>
            <w:vAlign w:val="bottom"/>
          </w:tcPr>
          <w:p>
            <w:pPr>
              <w:spacing w:after="0"/>
              <w:rPr>
                <w:sz w:val="1"/>
                <w:szCs w:val="1"/>
                <w:color w:val="auto"/>
              </w:rPr>
            </w:pPr>
          </w:p>
        </w:tc>
      </w:tr>
      <w:tr>
        <w:trPr>
          <w:trHeight w:val="175"/>
        </w:trPr>
        <w:tc>
          <w:tcPr>
            <w:tcW w:w="2880" w:type="dxa"/>
            <w:vAlign w:val="bottom"/>
            <w:tcBorders>
              <w:left w:val="single" w:sz="8" w:color="auto"/>
              <w:right w:val="single" w:sz="8" w:color="auto"/>
            </w:tcBorders>
          </w:tcPr>
          <w:p>
            <w:pPr>
              <w:ind w:left="100"/>
              <w:spacing w:after="0" w:line="175" w:lineRule="exact"/>
              <w:rPr>
                <w:sz w:val="20"/>
                <w:szCs w:val="20"/>
                <w:color w:val="auto"/>
              </w:rPr>
            </w:pPr>
            <w:r>
              <w:rPr>
                <w:rFonts w:ascii="Times New Roman" w:cs="Times New Roman" w:eastAsia="Times New Roman" w:hAnsi="Times New Roman"/>
                <w:sz w:val="19"/>
                <w:szCs w:val="19"/>
                <w:color w:val="auto"/>
              </w:rPr>
              <w:t>S&amp;P and at least one other</w:t>
            </w:r>
          </w:p>
        </w:tc>
        <w:tc>
          <w:tcPr>
            <w:tcW w:w="2840" w:type="dxa"/>
            <w:vAlign w:val="bottom"/>
            <w:tcBorders>
              <w:right w:val="single" w:sz="8" w:color="auto"/>
            </w:tcBorders>
          </w:tcPr>
          <w:p>
            <w:pPr>
              <w:ind w:left="60"/>
              <w:spacing w:after="0" w:line="175" w:lineRule="exact"/>
              <w:rPr>
                <w:sz w:val="20"/>
                <w:szCs w:val="20"/>
                <w:color w:val="auto"/>
              </w:rPr>
            </w:pPr>
            <w:r>
              <w:rPr>
                <w:rFonts w:ascii="Times New Roman" w:cs="Times New Roman" w:eastAsia="Times New Roman" w:hAnsi="Times New Roman"/>
                <w:sz w:val="19"/>
                <w:szCs w:val="19"/>
                <w:color w:val="auto"/>
              </w:rPr>
              <w:t>S&amp;P and at least one other</w:t>
            </w:r>
          </w:p>
        </w:tc>
        <w:tc>
          <w:tcPr>
            <w:tcW w:w="212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Rating Agency)</w:t>
            </w:r>
          </w:p>
        </w:tc>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Rating Agency)</w:t>
            </w:r>
          </w:p>
        </w:tc>
        <w:tc>
          <w:tcPr>
            <w:tcW w:w="212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880" w:type="dxa"/>
            <w:vAlign w:val="bottom"/>
            <w:tcBorders>
              <w:left w:val="single" w:sz="8" w:color="auto"/>
              <w:bottom w:val="single" w:sz="8" w:color="auto"/>
              <w:right w:val="single" w:sz="8" w:color="auto"/>
            </w:tcBorders>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656"/>
        <w:spacing w:after="0" w:line="256" w:lineRule="auto"/>
        <w:tabs>
          <w:tab w:leader="none" w:pos="1156"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Incremental Term Loans under any Incremental Term Loan Facility, the spread, expressed in basis points, over the interest rate applicable to, and used in calculating the interest rate applicable to, Incremental Term Loans under such Incremental Term Loan Facility as agreed by the Borrower, the Administrative Agent and the Banks in the Incremental Term Loan Facility Documents with respect to such Incremental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7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The Borrower shall notify the Agent in writing of any change in the Debt Rating as and when such change occurs.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Applicable Letter of Credit Percentage</w:t>
      </w:r>
      <w:r>
        <w:rPr>
          <w:rFonts w:ascii="Times New Roman" w:cs="Times New Roman" w:eastAsia="Times New Roman" w:hAnsi="Times New Roman"/>
          <w:sz w:val="22"/>
          <w:szCs w:val="22"/>
          <w:color w:val="auto"/>
        </w:rPr>
        <w:t>. With respect to any Letter of Credit, a per annum percentage equal to the Applicable Margin in effect with respect to Revolving Credit Loans that are Daily SOFR Loans at the applicable date of determination.</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Applicable Time</w:t>
      </w:r>
      <w:r>
        <w:rPr>
          <w:rFonts w:ascii="Times New Roman" w:cs="Times New Roman" w:eastAsia="Times New Roman" w:hAnsi="Times New Roman"/>
          <w:sz w:val="22"/>
          <w:szCs w:val="22"/>
          <w:color w:val="auto"/>
        </w:rPr>
        <w:t>. With respect to any borrowings and payments in any Alternative Currency, the local time in the place of settlement for such Alternative Currency as may be determined by the Agent or the applicable Fronting Bank(s), as the case may be, to be necessary for timely settlement on the relevant date in accordance with normal banking procedures in the place of payment.</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Approved Condominium Property</w:t>
      </w:r>
      <w:r>
        <w:rPr>
          <w:rFonts w:ascii="Times New Roman" w:cs="Times New Roman" w:eastAsia="Times New Roman" w:hAnsi="Times New Roman"/>
          <w:sz w:val="22"/>
          <w:szCs w:val="22"/>
          <w:color w:val="auto"/>
        </w:rPr>
        <w:t>. A Real Estate Asset which is a condominium unit and (i) in which members of the BP Group own 100% of the interests (including 100% of the unit owner’s voting rights) in the unit or (ii) in which members of the BP Group own not less than 95% of the interests and possess voting control over the unit owner (including control over the management, activities and policies of the unit owner) and (1) which is located in (x) a building that is listed in the National Register of Historic Places, as such registry is maintained by the United States National Park Service (or any similar Governmental Authority listing) or (y) a federal, state or local historic district and is located in a building that is certified as historically significant, each as recognized by the United States Department of the Interior and (2) as to which members of the BP Group have obtained or intend to obtain so-called “historic tax credits”; including in all events and without limitation, the Real Estate Asset commonly known and referred to as “Atlantic Wharf” so long as it continues to satisfy the conditions of clause (ii) of this definition.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Arrangers</w:t>
      </w:r>
      <w:r>
        <w:rPr>
          <w:rFonts w:ascii="Times New Roman" w:cs="Times New Roman" w:eastAsia="Times New Roman" w:hAnsi="Times New Roman"/>
          <w:sz w:val="22"/>
          <w:szCs w:val="22"/>
          <w:color w:val="auto"/>
        </w:rPr>
        <w:t>. BofA Securities, Inc., and JPChase, each in its capacity as joint lead arranger and joint bookrunner.</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An assignment and assumption entered into by a Bank and an Eligible Assignee (with the consent of any party whose consent is required by §20.1), and accepted by the Agent and, provided no Event of Default then exists and is continuing, the Borrower, in substantially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or any other form (including electronic documentation generated by use of an electronic platform) approved by the Agent.</w:t>
      </w:r>
    </w:p>
    <w:p>
      <w:pPr>
        <w:spacing w:after="0" w:line="16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Authorized Officer</w:t>
      </w:r>
      <w:r>
        <w:rPr>
          <w:rFonts w:ascii="Times New Roman" w:cs="Times New Roman" w:eastAsia="Times New Roman" w:hAnsi="Times New Roman"/>
          <w:sz w:val="22"/>
          <w:szCs w:val="22"/>
          <w:color w:val="auto"/>
        </w:rPr>
        <w:t xml:space="preserve">. For the Borrower and BPI, the person holding the position of Chief Financial Officer, Treasurer, Vice President-Finance, Senior Vice President-Finance, Executive Vice President, Senior Executive Vice President, Chief Operating Officer, Chief Executive Officer, President or Chairman (including Executive Chairman, Vice Chairman and any comparable office, but excluding the honorary title of Chairman Emeritus) of BPI (in the case of the Borrower, as general partner of the Borrower), as certified to the Agent by a currently valid incumbency certificate on file with the Agent at the time of the submission of a document to be signed by an Authorized Officer as required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solely for purposes of the delivery of incumbency certificates pursuant to §12.4, the Secretary or any Assistant Secretary of BPI, for itself and as general partner of the Borrower, and (ii) solely for purposes of notices given pursuant to §§2 and 3, any other officer or employee of BPI, as general partner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86" w:right="339" w:bottom="1440" w:gutter="0" w:footer="0" w:header="0"/>
        </w:sectPr>
      </w:pPr>
    </w:p>
    <w:bookmarkStart w:id="137" w:name="page138"/>
    <w:bookmarkEnd w:id="137"/>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so designated by any of the foregoing officers in a notice to the Agent or any other officer or employee of BPI, as general partner of the Borrower, designated in or pursuant to an agreement between the Borrower and the Agent, shall also be Authorized Officers. Any document delivered hereunder that is signed by an Authorized Officer of the Borrower or BPI shall be conclusively presumed to have been authorized by all necessary corporate, partnership and/or other action on the part of the Borrower and/or BPI and such Authorized Officer shall be conclusively presumed to have acted on behalf of the Borrower or BPI, or both,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such Authorized Officer have any personal liability under this Agreement and/or any other Loan Document.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Auto-Extension Letter of Credit</w:t>
      </w:r>
      <w:r>
        <w:rPr>
          <w:rFonts w:ascii="Times New Roman" w:cs="Times New Roman" w:eastAsia="Times New Roman" w:hAnsi="Times New Roman"/>
          <w:sz w:val="22"/>
          <w:szCs w:val="22"/>
          <w:color w:val="auto"/>
        </w:rPr>
        <w:t>. See §3.1.1(d).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xml:space="preserve"> As of any date of determination and with respect to the then-current Canadian Benchmark, as applicable,</w:t>
      </w:r>
    </w:p>
    <w:p>
      <w:pPr>
        <w:spacing w:after="0" w:line="41" w:lineRule="exact"/>
        <w:rPr>
          <w:sz w:val="20"/>
          <w:szCs w:val="20"/>
          <w:color w:val="auto"/>
        </w:rPr>
      </w:pPr>
    </w:p>
    <w:p>
      <w:pPr>
        <w:jc w:val="both"/>
        <w:ind w:firstLine="8"/>
        <w:spacing w:after="0" w:line="251" w:lineRule="auto"/>
        <w:tabs>
          <w:tab w:leader="none" w:pos="31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then-current Canadian Benchmark is a term rate, any tenor for such Canadian Benchmark that is or may be used for determining the length of an Interest Period or (b) otherwise, any payment period for interest calculated with reference to such Canadian Benchmark, as applicable, pursuant to this Agreement as of such date.</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The exercise of any Write-Down and Conversion Powers by the applicable Resolution Authority in respect of any liability of an Affected Financial Institution.</w:t>
      </w:r>
    </w:p>
    <w:p>
      <w:pPr>
        <w:spacing w:after="0" w:line="14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Bank Parties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Bank Recipient Parties</w:t>
      </w:r>
      <w:r>
        <w:rPr>
          <w:rFonts w:ascii="Times New Roman" w:cs="Times New Roman" w:eastAsia="Times New Roman" w:hAnsi="Times New Roman"/>
          <w:sz w:val="22"/>
          <w:szCs w:val="22"/>
          <w:color w:val="auto"/>
        </w:rPr>
        <w:t>. Collectively, the Banks and the Fronting Bank.</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u w:val="single" w:color="auto"/>
          <w:color w:val="auto"/>
        </w:rPr>
        <w:t>Banks</w:t>
      </w:r>
      <w:r>
        <w:rPr>
          <w:rFonts w:ascii="Times New Roman" w:cs="Times New Roman" w:eastAsia="Times New Roman" w:hAnsi="Times New Roman"/>
          <w:sz w:val="21"/>
          <w:szCs w:val="21"/>
          <w:color w:val="auto"/>
        </w:rPr>
        <w:t xml:space="preserve">. Collectively, BOA, JPChase and the other lending institutions listed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hereto and any other banks which may provide additional commitments and become parties to this Agreement, and any other Person who becomes an assignee of any rights of a Bank pursuant to §20 or a Person who acquires all or substantially all of the stock or assets of a Bank.</w:t>
      </w:r>
    </w:p>
    <w:p>
      <w:pPr>
        <w:spacing w:after="0" w:line="15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For any day a fluctuating rate of interest per annum equal to the highest of (a) the Federal Funds Rate plus 1/2 of 1%, (b) the rate of interest in effect for such day as publicly announced from time to time by BOA as its “prime rate,” (c) Term SOFR plus 1.00% and (d) 1.00%. The “prime rate” is a rate set by BOA based upon various factors including BOA’s costs and desired return, general economic conditions and other factors, and is used as a reference point for pricing some loans, which may be priced at, above, or below such announced rate. Any change in such prime rate announced by BOA shall take effect at the opening of business on the day specified in the public announcement of such change. If the Base Rate is being used as an alternate rate of interest pursuant to §5.4, then the Base Rate shall be the greatest of clauses (a), (b) and (d) above and shall be determined without reference to clause (c)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273" w:right="339" w:bottom="1440" w:gutter="0" w:footer="0" w:header="0"/>
        </w:sectPr>
      </w:pPr>
    </w:p>
    <w:bookmarkStart w:id="138" w:name="page139"/>
    <w:bookmarkEnd w:id="138"/>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A Committed Loan that bears interest based on the Base Rate. All Base Rate Loans shall be denominated in Dollars.</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A certification regarding beneficial ownership required by the Beneficial Ownership Regulation.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See 31 C.F.R. § 1010.230.</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Bid Rate Advance</w:t>
      </w:r>
      <w:r>
        <w:rPr>
          <w:rFonts w:ascii="Times New Roman" w:cs="Times New Roman" w:eastAsia="Times New Roman" w:hAnsi="Times New Roman"/>
          <w:sz w:val="22"/>
          <w:szCs w:val="22"/>
          <w:color w:val="auto"/>
        </w:rPr>
        <w:t>. A borrowing consisting of simultaneous Bid Rate Loans of the same Type to the Borrower from each of the Banks whose offer to make a Bid Rate Loan as part of such borrowing has been accepted by the Borrower under the applicable auction bidding procedure described in §2.9.</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Bid Rate Advance Borrowing Notice</w:t>
      </w:r>
      <w:r>
        <w:rPr>
          <w:rFonts w:ascii="Times New Roman" w:cs="Times New Roman" w:eastAsia="Times New Roman" w:hAnsi="Times New Roman"/>
          <w:sz w:val="22"/>
          <w:szCs w:val="22"/>
          <w:color w:val="auto"/>
        </w:rPr>
        <w:t>. See §2.9(b).</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Bid Rate Loan</w:t>
      </w:r>
      <w:r>
        <w:rPr>
          <w:rFonts w:ascii="Times New Roman" w:cs="Times New Roman" w:eastAsia="Times New Roman" w:hAnsi="Times New Roman"/>
          <w:sz w:val="22"/>
          <w:szCs w:val="22"/>
          <w:color w:val="auto"/>
        </w:rPr>
        <w:t>. A loan by a Bank to the Borrower as part of a Bid Rate Advance resulting from the applicable auction bidding procedure described in §2.9.</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Bid Rate Maximum Amount</w:t>
      </w:r>
      <w:r>
        <w:rPr>
          <w:rFonts w:ascii="Times New Roman" w:cs="Times New Roman" w:eastAsia="Times New Roman" w:hAnsi="Times New Roman"/>
          <w:sz w:val="22"/>
          <w:szCs w:val="22"/>
          <w:color w:val="auto"/>
        </w:rPr>
        <w:t>. At any particular time of reference, an amount equal to sixty-five percent (65%) of the Total Revolving Credit Commitment then in effect.</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Bid Rate Notes</w:t>
      </w:r>
      <w:r>
        <w:rPr>
          <w:rFonts w:ascii="Times New Roman" w:cs="Times New Roman" w:eastAsia="Times New Roman" w:hAnsi="Times New Roman"/>
          <w:sz w:val="22"/>
          <w:szCs w:val="22"/>
          <w:color w:val="auto"/>
        </w:rPr>
        <w:t xml:space="preserve">. Collectively, the separate promissory notes of the Borrower in favor of each Bank that has requested a promissory note pursuant to §2.9 evidencing Bid Rate Loans made by such Bank,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dated as of the date such Bid Rate Loans are made, and completed with appropriate insertions, as each of such notes may be amended and/or restated from time to time in accordance with the terms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BOA</w:t>
      </w:r>
      <w:r>
        <w:rPr>
          <w:rFonts w:ascii="Times New Roman" w:cs="Times New Roman" w:eastAsia="Times New Roman" w:hAnsi="Times New Roman"/>
          <w:sz w:val="22"/>
          <w:szCs w:val="22"/>
          <w:color w:val="auto"/>
        </w:rPr>
        <w:t>. See the preamble hereto.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See the preamble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Borrower Information</w:t>
      </w:r>
      <w:r>
        <w:rPr>
          <w:rFonts w:ascii="Times New Roman" w:cs="Times New Roman" w:eastAsia="Times New Roman" w:hAnsi="Times New Roman"/>
          <w:sz w:val="22"/>
          <w:szCs w:val="22"/>
          <w:color w:val="auto"/>
        </w:rPr>
        <w:t>. See §8.10(f).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See §8.10(e).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Boundary Property</w:t>
      </w:r>
      <w:r>
        <w:rPr>
          <w:rFonts w:ascii="Times New Roman" w:cs="Times New Roman" w:eastAsia="Times New Roman" w:hAnsi="Times New Roman"/>
          <w:sz w:val="22"/>
          <w:szCs w:val="22"/>
          <w:color w:val="auto"/>
        </w:rPr>
        <w:t>. Any building that is under the Borrower’s operational control. For purposes of this definition, operational control means that the Borrower or any of its Controlled Subsidiaries maintains, provides service to, and/or has the authority to implement operating policies with respect to energy usage, water usage, and/or waste disposal for the building. Development and major redevelopment projects are excluded until they are operational; assets of unconsolidated entities are also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286" w:right="339" w:bottom="1440" w:gutter="0" w:footer="0" w:header="0"/>
        </w:sectPr>
      </w:pPr>
    </w:p>
    <w:bookmarkStart w:id="139" w:name="page140"/>
    <w:bookmarkEnd w:id="139"/>
    <w:p>
      <w:pPr>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BP Group</w:t>
      </w:r>
      <w:r>
        <w:rPr>
          <w:rFonts w:ascii="Times New Roman" w:cs="Times New Roman" w:eastAsia="Times New Roman" w:hAnsi="Times New Roman"/>
          <w:sz w:val="22"/>
          <w:szCs w:val="22"/>
          <w:color w:val="auto"/>
        </w:rPr>
        <w:t>. Collectively, (i) BPLP, (ii) BPI, (iii) the respective Subsidiaries of BPLP and BPI and (iv) the Partially-Owned Entities.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BPI</w:t>
      </w:r>
      <w:r>
        <w:rPr>
          <w:rFonts w:ascii="Times New Roman" w:cs="Times New Roman" w:eastAsia="Times New Roman" w:hAnsi="Times New Roman"/>
          <w:sz w:val="22"/>
          <w:szCs w:val="22"/>
          <w:color w:val="auto"/>
        </w:rPr>
        <w:t>. Boston Properties, Inc., a Delaware corporation and the sole general partner of the Borrower.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BPLP</w:t>
      </w:r>
      <w:r>
        <w:rPr>
          <w:rFonts w:ascii="Times New Roman" w:cs="Times New Roman" w:eastAsia="Times New Roman" w:hAnsi="Times New Roman"/>
          <w:sz w:val="22"/>
          <w:szCs w:val="22"/>
          <w:color w:val="auto"/>
        </w:rPr>
        <w:t>. See the preamble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Breakage Costs</w:t>
      </w:r>
      <w:r>
        <w:rPr>
          <w:rFonts w:ascii="Times New Roman" w:cs="Times New Roman" w:eastAsia="Times New Roman" w:hAnsi="Times New Roman"/>
          <w:sz w:val="22"/>
          <w:szCs w:val="22"/>
          <w:color w:val="auto"/>
        </w:rPr>
        <w:t>. Any and all losses, costs and expenses incurred by any Bank as a result of:</w:t>
      </w:r>
    </w:p>
    <w:p>
      <w:pPr>
        <w:spacing w:after="0" w:line="220" w:lineRule="exact"/>
        <w:rPr>
          <w:sz w:val="20"/>
          <w:szCs w:val="20"/>
          <w:color w:val="auto"/>
        </w:rPr>
      </w:pPr>
    </w:p>
    <w:p>
      <w:pPr>
        <w:jc w:val="both"/>
        <w:ind w:firstLine="656"/>
        <w:spacing w:after="0" w:line="263" w:lineRule="auto"/>
        <w:tabs>
          <w:tab w:leader="none" w:pos="117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continuation, conversion, payment or prepayment of any Loan other than a Base Rate Loan or an Alternative Currency Daily Rate Loan on a day other than the last day of the Interest Period for such Loan (whether voluntary, mandatory, automatic, by reason of acceleration, or otherwise);</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8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(for a reason other than the failure of such Bank to make a Loan) to prepay, borrow, continue or convert any Loan other than a Base Rate Loan or an Alternative Currency Daily Rate Loan on the date or in the amount notified by the Borrower;</w:t>
      </w:r>
    </w:p>
    <w:p>
      <w:pPr>
        <w:spacing w:after="0" w:line="172" w:lineRule="exact"/>
        <w:rPr>
          <w:rFonts w:ascii="Times New Roman" w:cs="Times New Roman" w:eastAsia="Times New Roman" w:hAnsi="Times New Roman"/>
          <w:sz w:val="22"/>
          <w:szCs w:val="22"/>
          <w:color w:val="auto"/>
        </w:rPr>
      </w:pPr>
    </w:p>
    <w:p>
      <w:pPr>
        <w:ind w:firstLine="656"/>
        <w:spacing w:after="0" w:line="284" w:lineRule="auto"/>
        <w:tabs>
          <w:tab w:leader="none" w:pos="117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to make payment of any Loan or drawing under any Letter of Credit (or interest due thereon) denominated in an Alternative Currency on its scheduled due date or any payment thereof in a different currency; or</w:t>
      </w:r>
    </w:p>
    <w:p>
      <w:pPr>
        <w:spacing w:after="0" w:line="143" w:lineRule="exact"/>
        <w:rPr>
          <w:rFonts w:ascii="Times New Roman" w:cs="Times New Roman" w:eastAsia="Times New Roman" w:hAnsi="Times New Roman"/>
          <w:sz w:val="22"/>
          <w:szCs w:val="22"/>
          <w:color w:val="auto"/>
        </w:rPr>
      </w:pPr>
    </w:p>
    <w:p>
      <w:pPr>
        <w:ind w:right="20" w:firstLine="656"/>
        <w:spacing w:after="0" w:line="271" w:lineRule="auto"/>
        <w:tabs>
          <w:tab w:leader="none" w:pos="115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of a Term Rate Loan on a day other than the last day of the Interest Period therefor as a result of a request by the Borrower pursuant to §5.8 or §28;</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including, without limitation, (x) in connection with item (c) above, any foreign exchange losses or (y) any loss or expense arising from the liquidation or reemployment of funds obtained by such Bank to maintain such Loan or from fees payable to terminate the deposits from which such funds were obtained or from the performance of any foreign exchange contract.</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purposes of calculating Breakage Costs, each Bank shall be deemed to have funded each Term Rate Loan made by it by a matching deposit or other borrowing in the applicable interbank market for such currency for a comparable amount and for a comparable period, whether or not such Term Rate Loan was in fact so funded.</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Buildings</w:t>
      </w:r>
      <w:r>
        <w:rPr>
          <w:rFonts w:ascii="Times New Roman" w:cs="Times New Roman" w:eastAsia="Times New Roman" w:hAnsi="Times New Roman"/>
          <w:sz w:val="22"/>
          <w:szCs w:val="22"/>
          <w:color w:val="auto"/>
        </w:rPr>
        <w:t>. Individually and collectively, the buildings, structures and improvements now or hereafter located on the Real Estate Assets.</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Any day other than a Saturday, Sunday or other day on which commercial banks are authorized to close under the Laws of, or are in fact closed in, the state where the Agent’s Funding Office is located;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86" w:right="339" w:bottom="1440" w:gutter="0" w:footer="0" w:header="0"/>
        </w:sectPr>
      </w:pPr>
    </w:p>
    <w:bookmarkStart w:id="140" w:name="page141"/>
    <w:bookmarkEnd w:id="140"/>
    <w:p>
      <w:pPr>
        <w:jc w:val="both"/>
        <w:ind w:firstLine="656"/>
        <w:spacing w:after="0" w:line="263" w:lineRule="auto"/>
        <w:tabs>
          <w:tab w:leader="none" w:pos="121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interest rate settings as to a Loan denominated in Euro, any fundings, disbursements, settlements and payments in Euro in respect of any such Loan, or any other dealings in Euro to be carried out pursuant to this Agreement in respect of any such Loan, means a Business Day that is also a TARGET Day;</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interest rate settings as to a Loan denominated in Sterling, means a day other than a day banks are closed for general business in London because such day is a Saturday, Sunday or a legal holiday under the laws of the United Kingdom;</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interest rate settings as to a Loan denominated in a currency other than Dollars, Euro or Sterling, means any such day on which dealings in deposits in the relevant currency are conducted by and between banks in the applicable interbank market for such currency; and</w:t>
      </w:r>
    </w:p>
    <w:p>
      <w:pPr>
        <w:spacing w:after="0" w:line="172" w:lineRule="exact"/>
        <w:rPr>
          <w:rFonts w:ascii="Times New Roman" w:cs="Times New Roman" w:eastAsia="Times New Roman" w:hAnsi="Times New Roman"/>
          <w:sz w:val="22"/>
          <w:szCs w:val="22"/>
          <w:color w:val="auto"/>
        </w:rPr>
      </w:pPr>
    </w:p>
    <w:p>
      <w:pPr>
        <w:jc w:val="both"/>
        <w:ind w:firstLine="656"/>
        <w:spacing w:after="0" w:line="253" w:lineRule="auto"/>
        <w:tabs>
          <w:tab w:leader="none" w:pos="124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fundings, disbursements, settlements and payments in a currency other than Euro or Dollars in respect of a Loan denominated in a currency other than Euro or Dollars, or any other dealings in any currency other than Euro or Dollars to be carried out pursuant to this Agreement in respect of any such Loan (other than any interest rate settings), means any such day on which banks are open for foreign exchange business in the principal financial center of the country of such currency.</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Canadian Benchmark</w:t>
      </w:r>
      <w:r>
        <w:rPr>
          <w:rFonts w:ascii="Times New Roman" w:cs="Times New Roman" w:eastAsia="Times New Roman" w:hAnsi="Times New Roman"/>
          <w:sz w:val="22"/>
          <w:szCs w:val="22"/>
          <w:color w:val="auto"/>
        </w:rPr>
        <w:t xml:space="preserve">. Initially, </w:t>
      </w:r>
      <w:r>
        <w:rPr>
          <w:rFonts w:ascii="Times New Roman" w:cs="Times New Roman" w:eastAsia="Times New Roman" w:hAnsi="Times New Roman"/>
          <w:sz w:val="22"/>
          <w:szCs w:val="22"/>
          <w:color w:val="FF0000"/>
          <w:strike w:val="1"/>
        </w:rPr>
        <w:t>CDOR</w:t>
      </w:r>
      <w:r>
        <w:rPr>
          <w:rFonts w:ascii="Times New Roman" w:cs="Times New Roman" w:eastAsia="Times New Roman" w:hAnsi="Times New Roman"/>
          <w:sz w:val="22"/>
          <w:szCs w:val="22"/>
          <w:u w:val="single" w:color="auto"/>
          <w:color w:val="0000FF"/>
        </w:rPr>
        <w:t>Term CORRA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replacement of the Canadian Benchmark has occurred pursuant to §5.4(c), then “Canadian Benchmark” means the applicable Canadian Benchmark Replacement to the extent that such Canadian Benchmark Replacement has replaced such prior benchmark rate. Any reference to “Canadian Benchmark” shall include, as applicable, the published component used in the calculation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Canadian Benchmark Replacement</w:t>
      </w:r>
      <w:r>
        <w:rPr>
          <w:rFonts w:ascii="Times New Roman" w:cs="Times New Roman" w:eastAsia="Times New Roman" w:hAnsi="Times New Roman"/>
          <w:sz w:val="22"/>
          <w:szCs w:val="22"/>
          <w:color w:val="auto"/>
        </w:rPr>
        <w:t>. For any Available Tenor</w:t>
      </w:r>
      <w:r>
        <w:rPr>
          <w:rFonts w:ascii="Times New Roman" w:cs="Times New Roman" w:eastAsia="Times New Roman" w:hAnsi="Times New Roman"/>
          <w:sz w:val="22"/>
          <w:szCs w:val="22"/>
          <w:color w:val="FF0000"/>
          <w:strike w:val="1"/>
        </w:rPr>
        <w:t>:</w:t>
      </w:r>
    </w:p>
    <w:p>
      <w:pPr>
        <w:spacing w:after="0" w:line="220" w:lineRule="exact"/>
        <w:rPr>
          <w:sz w:val="20"/>
          <w:szCs w:val="20"/>
          <w:color w:val="auto"/>
        </w:rPr>
      </w:pPr>
    </w:p>
    <w:p>
      <w:pPr>
        <w:ind w:left="1800" w:hanging="496"/>
        <w:spacing w:after="0"/>
        <w:tabs>
          <w:tab w:leader="none" w:pos="1800" w:val="left"/>
        </w:tabs>
        <w:numPr>
          <w:ilvl w:val="0"/>
          <w:numId w:val="93"/>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 xml:space="preserve">For purposes of </w:t>
      </w:r>
      <w:r>
        <w:rPr>
          <w:rFonts w:ascii="Times New Roman" w:cs="Times New Roman" w:eastAsia="Times New Roman" w:hAnsi="Times New Roman"/>
          <w:sz w:val="21"/>
          <w:szCs w:val="21"/>
          <w:u w:val="single" w:color="auto"/>
          <w:color w:val="FF0000"/>
          <w:strike w:val="1"/>
        </w:rPr>
        <w:t>§5.4(c)(i)</w:t>
      </w:r>
      <w:r>
        <w:rPr>
          <w:rFonts w:ascii="Times New Roman" w:cs="Times New Roman" w:eastAsia="Times New Roman" w:hAnsi="Times New Roman"/>
          <w:sz w:val="21"/>
          <w:szCs w:val="21"/>
          <w:color w:val="FF0000"/>
          <w:strike w:val="1"/>
        </w:rPr>
        <w:t>, the first alternative set forth below that can be determined by the Administrative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Agent:</w:t>
      </w:r>
    </w:p>
    <w:p>
      <w:pPr>
        <w:spacing w:after="0" w:line="196" w:lineRule="exact"/>
        <w:rPr>
          <w:sz w:val="20"/>
          <w:szCs w:val="20"/>
          <w:color w:val="auto"/>
        </w:rPr>
      </w:pPr>
    </w:p>
    <w:p>
      <w:pPr>
        <w:ind w:left="1300" w:right="20" w:firstLine="652"/>
        <w:spacing w:after="0" w:line="284" w:lineRule="auto"/>
        <w:tabs>
          <w:tab w:leader="none" w:pos="2401" w:val="left"/>
        </w:tabs>
        <w:numPr>
          <w:ilvl w:val="1"/>
          <w:numId w:val="94"/>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the sum of: (i) Term CORRA and (ii) 0.29547% (29.547 basis points) for an Available Tenor of one-month’s duration, and 0.32138% (32.138 basis points) for an Available Tenor of three-months’ duration, or</w:t>
      </w:r>
    </w:p>
    <w:p>
      <w:pPr>
        <w:spacing w:after="0" w:line="143" w:lineRule="exact"/>
        <w:rPr>
          <w:rFonts w:ascii="Times New Roman" w:cs="Times New Roman" w:eastAsia="Times New Roman" w:hAnsi="Times New Roman"/>
          <w:sz w:val="22"/>
          <w:szCs w:val="22"/>
          <w:color w:val="FF0000"/>
          <w:strike w:val="1"/>
        </w:rPr>
      </w:pPr>
    </w:p>
    <w:p>
      <w:pPr>
        <w:jc w:val="both"/>
        <w:ind w:left="1300" w:firstLine="652"/>
        <w:spacing w:after="0" w:line="257" w:lineRule="auto"/>
        <w:tabs>
          <w:tab w:leader="none" w:pos="2448" w:val="left"/>
        </w:tabs>
        <w:numPr>
          <w:ilvl w:val="1"/>
          <w:numId w:val="94"/>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the sum of: (i) Daily Compounded CORRA and (ii) 0.29547% (29.547 basis points) for an Available Tenor of one-month’s duration, and 0.32138% (32.138 basis points) for an Available Tenor of three-months’ duration; and</w:t>
      </w:r>
    </w:p>
    <w:p>
      <w:pPr>
        <w:spacing w:after="0" w:line="172" w:lineRule="exact"/>
        <w:rPr>
          <w:rFonts w:ascii="Times New Roman" w:cs="Times New Roman" w:eastAsia="Times New Roman" w:hAnsi="Times New Roman"/>
          <w:sz w:val="22"/>
          <w:szCs w:val="22"/>
          <w:color w:val="FF0000"/>
          <w:strike w:val="1"/>
        </w:rPr>
      </w:pPr>
    </w:p>
    <w:p>
      <w:pPr>
        <w:jc w:val="both"/>
        <w:ind w:firstLine="656"/>
        <w:spacing w:after="0" w:line="253" w:lineRule="auto"/>
        <w:tabs>
          <w:tab w:leader="none" w:pos="1216" w:val="left"/>
        </w:tabs>
        <w:numPr>
          <w:ilvl w:val="0"/>
          <w:numId w:val="95"/>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For purposes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FF0000"/>
          <w:strike w:val="1"/>
        </w:rPr>
        <w:t>§5.4(c)(ii)</w:t>
      </w:r>
      <w:r>
        <w:rPr>
          <w:rFonts w:ascii="Times New Roman" w:cs="Times New Roman" w:eastAsia="Times New Roman" w:hAnsi="Times New Roman"/>
          <w:sz w:val="22"/>
          <w:szCs w:val="22"/>
          <w:color w:val="000000"/>
        </w:rPr>
        <w:t>, the sum of (i) the alternate benchmark rate and (ii) an adjustment (which may be 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positive or negative value or zero), in each case, that has been selected by the Administrative Agent and the Borrower as the replacement for such Available Tenor of such Canadian Benchmark giving due consideration to any evolving or then-prevailing market convention, including any applicable recommendations made by the Relevant Governmental Body, for Canadian Dollar-denominated syndicated credit facilities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86" w:right="339" w:bottom="1440" w:gutter="0" w:footer="0" w:header="0"/>
        </w:sectPr>
      </w:pPr>
    </w:p>
    <w:bookmarkStart w:id="141" w:name="page142"/>
    <w:bookmarkEnd w:id="141"/>
    <w:p>
      <w:pPr>
        <w:jc w:val="both"/>
        <w:spacing w:after="0" w:line="25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Canadian Benchmark Replacement as </w:t>
      </w:r>
      <w:r>
        <w:rPr>
          <w:rFonts w:ascii="Times New Roman" w:cs="Times New Roman" w:eastAsia="Times New Roman" w:hAnsi="Times New Roman"/>
          <w:sz w:val="22"/>
          <w:szCs w:val="22"/>
          <w:u w:val="single" w:color="auto"/>
          <w:color w:val="0000FF"/>
        </w:rPr>
        <w:t>so</w:t>
      </w:r>
      <w:r>
        <w:rPr>
          <w:rFonts w:ascii="Times New Roman" w:cs="Times New Roman" w:eastAsia="Times New Roman" w:hAnsi="Times New Roman"/>
          <w:sz w:val="22"/>
          <w:szCs w:val="22"/>
          <w:color w:val="auto"/>
        </w:rPr>
        <w:t xml:space="preserve"> determined </w:t>
      </w:r>
      <w:r>
        <w:rPr>
          <w:rFonts w:ascii="Times New Roman" w:cs="Times New Roman" w:eastAsia="Times New Roman" w:hAnsi="Times New Roman"/>
          <w:sz w:val="22"/>
          <w:szCs w:val="22"/>
          <w:color w:val="FF0000"/>
          <w:strike w:val="1"/>
        </w:rPr>
        <w:t>pursuant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above</w:t>
      </w:r>
      <w:r>
        <w:rPr>
          <w:rFonts w:ascii="Times New Roman" w:cs="Times New Roman" w:eastAsia="Times New Roman" w:hAnsi="Times New Roman"/>
          <w:sz w:val="22"/>
          <w:szCs w:val="22"/>
          <w:color w:val="auto"/>
        </w:rPr>
        <w:t xml:space="preserve"> would be less than zero, the Canadian Benchmark Replacement will be deemed to be zero for the purposes of this Agreement and the other Loan Documents. Any Canadian Benchmark Replacement shall be applied in a manner consistent with market practice;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to the extent such market practice is not administratively feasible for the Administrative Agent, such Canadian Benchmark Replacement shall be applied in a manner as otherwise reasonably determined by the Administrative Agent.</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u w:val="single" w:color="auto"/>
          <w:color w:val="auto"/>
        </w:rPr>
        <w:t>Canadian Benchmark Replacement Conforming Changes</w:t>
      </w:r>
      <w:r>
        <w:rPr>
          <w:rFonts w:ascii="Times New Roman" w:cs="Times New Roman" w:eastAsia="Times New Roman" w:hAnsi="Times New Roman"/>
          <w:sz w:val="21"/>
          <w:szCs w:val="21"/>
          <w:color w:val="auto"/>
        </w:rPr>
        <w:t xml:space="preserve">. With respect to </w:t>
      </w:r>
      <w:r>
        <w:rPr>
          <w:rFonts w:ascii="Times New Roman" w:cs="Times New Roman" w:eastAsia="Times New Roman" w:hAnsi="Times New Roman"/>
          <w:sz w:val="21"/>
          <w:szCs w:val="21"/>
          <w:u w:val="single" w:color="auto"/>
          <w:color w:val="0000FF"/>
        </w:rPr>
        <w:t>CORRA, Term CORRA or</w:t>
      </w:r>
      <w:r>
        <w:rPr>
          <w:rFonts w:ascii="Times New Roman" w:cs="Times New Roman" w:eastAsia="Times New Roman" w:hAnsi="Times New Roman"/>
          <w:sz w:val="21"/>
          <w:szCs w:val="21"/>
          <w:color w:val="auto"/>
        </w:rPr>
        <w:t xml:space="preserve"> any Canadian Benchmark Replacement, </w:t>
      </w:r>
      <w:r>
        <w:rPr>
          <w:rFonts w:ascii="Times New Roman" w:cs="Times New Roman" w:eastAsia="Times New Roman" w:hAnsi="Times New Roman"/>
          <w:sz w:val="21"/>
          <w:szCs w:val="21"/>
          <w:color w:val="FF0000"/>
          <w:strike w:val="1"/>
        </w:rPr>
        <w:t>means</w:t>
      </w:r>
      <w:r>
        <w:rPr>
          <w:rFonts w:ascii="Times New Roman" w:cs="Times New Roman" w:eastAsia="Times New Roman" w:hAnsi="Times New Roman"/>
          <w:sz w:val="21"/>
          <w:szCs w:val="21"/>
          <w:color w:val="auto"/>
        </w:rPr>
        <w:t xml:space="preserve"> any technical, administrative or operational changes (including changes to the definition of “Business Day”, the definition of “Interest Period”, the definition of “Alternative Currency Daily Rate”, the definition of “Alternative Currency Term Rate”, timing and frequency of determining rates and making payments of interest, timing of borrowing requests or prepayment, conversion or continuation notices, the applicability and length of lookback periods, </w:t>
      </w:r>
      <w:r>
        <w:rPr>
          <w:rFonts w:ascii="Times New Roman" w:cs="Times New Roman" w:eastAsia="Times New Roman" w:hAnsi="Times New Roman"/>
          <w:sz w:val="21"/>
          <w:szCs w:val="21"/>
          <w:u w:val="single" w:color="auto"/>
          <w:color w:val="0000FF"/>
        </w:rPr>
        <w:t>the day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basis for calculating interest for an Alternative Currency listed on Schedule 5.3,</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the applicability of breakage provisions, and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other technical, administrative or operational matters) that the Administrative Agent decides may be appropriate to reflect the adoption and implementation of such Canadian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Canadian Benchmark Replacement exists, in such other manner of administration as the Administrative Agent decides, in consultation with the Borrower (provided that no Default or Event of Default exists)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00"/>
        </w:rPr>
        <w:t xml:space="preserve"> is reasonably necessary in connection with the administration of this Agreement and the other Loan Documents).</w:t>
      </w:r>
    </w:p>
    <w:p>
      <w:pPr>
        <w:spacing w:after="0" w:line="17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Canadian Benchmark Transition Event</w:t>
      </w:r>
      <w:r>
        <w:rPr>
          <w:rFonts w:ascii="Times New Roman" w:cs="Times New Roman" w:eastAsia="Times New Roman" w:hAnsi="Times New Roman"/>
          <w:sz w:val="22"/>
          <w:szCs w:val="22"/>
          <w:color w:val="auto"/>
        </w:rPr>
        <w:t xml:space="preserve">. With respect to any then-current Canadian Benchmark </w:t>
      </w:r>
      <w:r>
        <w:rPr>
          <w:rFonts w:ascii="Times New Roman" w:cs="Times New Roman" w:eastAsia="Times New Roman" w:hAnsi="Times New Roman"/>
          <w:sz w:val="22"/>
          <w:szCs w:val="22"/>
          <w:color w:val="FF0000"/>
        </w:rPr>
        <w:t>other than CDOR</w:t>
      </w:r>
      <w:r>
        <w:rPr>
          <w:rFonts w:ascii="Times New Roman" w:cs="Times New Roman" w:eastAsia="Times New Roman" w:hAnsi="Times New Roman"/>
          <w:sz w:val="22"/>
          <w:szCs w:val="22"/>
          <w:color w:val="auto"/>
        </w:rPr>
        <w:t xml:space="preserve">, means the occurrence of a public statement or publication of information by or on behalf of the administrator of the then-current Canadian Benchmark, the regulatory supervisor for the administrator of such Canadian Benchmark, any Governmental Authority with jurisdiction over such administrator for such Canadian Benchmark, or the Bank of Canada, announcing or stating that (a) such administrator has ceased or will cease on a specified date to provide all Available Tenors of such Canadian Benchmark,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Canadian Benchmark or (b) all Available Tenors of such Canadian Benchmark are or will no longer be representative of the underlying market and economic reality that such Canadian Benchmark is intended to measure and that representativeness will not be restored.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-1398905</wp:posOffset>
            </wp:positionV>
            <wp:extent cx="10274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Canadian Dollars</w:t>
      </w:r>
      <w:r>
        <w:rPr>
          <w:rFonts w:ascii="Times New Roman" w:cs="Times New Roman" w:eastAsia="Times New Roman" w:hAnsi="Times New Roman"/>
          <w:sz w:val="22"/>
          <w:szCs w:val="22"/>
          <w:color w:val="auto"/>
        </w:rPr>
        <w:t>. The lawful currency of Canada.</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Any expenditure for any item that would be treated or defined as a capital expenditure under GAAP or the Code.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Capitalization Rate</w:t>
      </w:r>
      <w:r>
        <w:rPr>
          <w:rFonts w:ascii="Times New Roman" w:cs="Times New Roman" w:eastAsia="Times New Roman" w:hAnsi="Times New Roman"/>
          <w:sz w:val="22"/>
          <w:szCs w:val="22"/>
          <w:color w:val="auto"/>
        </w:rPr>
        <w:t>. The Capitalization Rate shall be 6.00% for all Real Estate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86" w:right="339" w:bottom="1440" w:gutter="0" w:footer="0" w:header="0"/>
        </w:sectPr>
      </w:pPr>
    </w:p>
    <w:bookmarkStart w:id="142" w:name="page143"/>
    <w:bookmarkEnd w:id="142"/>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Capitalized Leases</w:t>
      </w:r>
      <w:r>
        <w:rPr>
          <w:rFonts w:ascii="Times New Roman" w:cs="Times New Roman" w:eastAsia="Times New Roman" w:hAnsi="Times New Roman"/>
          <w:sz w:val="22"/>
          <w:szCs w:val="22"/>
          <w:color w:val="auto"/>
        </w:rPr>
        <w:t>. Leases under which the Borrower or any of its Subsidiaries or any Partially-Owned Entity is the lessee or obligor, the discounted future rental obligations under which are required to be capitalized on the balance sheet of the lessee or obligor in accordance with GAAP.</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To pledge and deposit with or deliver to the Agent, for the benefit of one or more of the Fronting Banks or the Banks, as collateral for Letter of Credit Obligations or obligations of the Banks to fund participations in respect of Letter of Credit Obligations, cash or deposit account balances or, if the Agent and such Fronting Bank(s) shall agree in their reasonable discretion, other credit support, in each case pursuant to documentation in form and substance reasonably satisfactory to the Agent and the Fronting Bank(s). “Cash Collateral” shall have a meaning correlative to the foregoing and shall include the proceeds of such cash collateral and other credit support.</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CBD Properties</w:t>
      </w:r>
      <w:r>
        <w:rPr>
          <w:rFonts w:ascii="Times New Roman" w:cs="Times New Roman" w:eastAsia="Times New Roman" w:hAnsi="Times New Roman"/>
          <w:sz w:val="22"/>
          <w:szCs w:val="22"/>
          <w:color w:val="auto"/>
        </w:rPr>
        <w:t>. Each of the Real Estate Assets listed on Schedule 4 and each other Real Estate Asset which is designated by the Agent and the Borrower as a CBD Property from time to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FF0000"/>
          <w:strike w:val="1"/>
        </w:rPr>
        <w:t>CDOR</w:t>
      </w:r>
      <w:r>
        <w:rPr>
          <w:rFonts w:ascii="Times New Roman" w:cs="Times New Roman" w:eastAsia="Times New Roman" w:hAnsi="Times New Roman"/>
          <w:sz w:val="20"/>
          <w:szCs w:val="20"/>
          <w:color w:val="FF0000"/>
          <w:strike w:val="1"/>
        </w:rPr>
        <w:t>. See definition of Alternative Currency Term Rate.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FF0000"/>
          <w:strike w:val="1"/>
        </w:rPr>
        <w:t>CDOR Cessation Date</w:t>
      </w:r>
      <w:r>
        <w:rPr>
          <w:rFonts w:ascii="Times New Roman" w:cs="Times New Roman" w:eastAsia="Times New Roman" w:hAnsi="Times New Roman"/>
          <w:sz w:val="20"/>
          <w:szCs w:val="20"/>
          <w:color w:val="FF0000"/>
          <w:strike w:val="1"/>
        </w:rPr>
        <w:t>. See §5.4(c).</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See §7.18.</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xml:space="preserve">. The occurrence, after the date of this Agreement, of any of the following: (a) the adoption or taking effect of any law, rule, regulation or treaty by any Governmental Authority, (b) any change in any law, rule, regulation (including, without limitation, Regulation D of the Board of Governors of the Federal Reserve System)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if applicable, foreign regulatory authorities, in each case pursuant to Basel III, shall in each case be deemed to be a “Change in Law”, regardless of the date enacted, adopted or issued.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The Effective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CME</w:t>
      </w:r>
      <w:r>
        <w:rPr>
          <w:rFonts w:ascii="Times New Roman" w:cs="Times New Roman" w:eastAsia="Times New Roman" w:hAnsi="Times New Roman"/>
          <w:sz w:val="22"/>
          <w:szCs w:val="22"/>
          <w:color w:val="auto"/>
        </w:rPr>
        <w:t>. CME Group Benchmark Administration Limited.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Internal Revenue Code of 1986, as amended and in effect from time to time.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With respect to each Bank, its Revolving Credit Commitment or commitment to participate in an Incremental Term Loan Facility,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86" w:right="339" w:bottom="1440" w:gutter="0" w:footer="0" w:header="0"/>
        </w:sectPr>
      </w:pPr>
    </w:p>
    <w:bookmarkStart w:id="143" w:name="page144"/>
    <w:bookmarkEnd w:id="143"/>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Commitment Percentage</w:t>
      </w:r>
      <w:r>
        <w:rPr>
          <w:rFonts w:ascii="Times New Roman" w:cs="Times New Roman" w:eastAsia="Times New Roman" w:hAnsi="Times New Roman"/>
          <w:sz w:val="22"/>
          <w:szCs w:val="22"/>
          <w:color w:val="auto"/>
        </w:rPr>
        <w:t xml:space="preserve">. (a) With respect to each Revolving Credit Bank (in such capacity), the percentage set forth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as such Bank’s percentage of the Total Revolving Credit Commitment, as such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may be amended from time to time in accordance with the terms of this Agreement, and (b) with respect to each Term Bank (in such capacity) in respect of any Incremental Term Loan Facility, the percentage set forth in the Incremental Term Loan Facility Documents with respect to such Incremental Term Loan Facility as such Bank’s percentage of such Incremental Term Loan Facility, in each case, as such percentage may be adjusted from time to time in accordance with the terms of this Agreement.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Committed Loan</w:t>
      </w:r>
      <w:r>
        <w:rPr>
          <w:rFonts w:ascii="Times New Roman" w:cs="Times New Roman" w:eastAsia="Times New Roman" w:hAnsi="Times New Roman"/>
          <w:sz w:val="22"/>
          <w:szCs w:val="22"/>
          <w:color w:val="auto"/>
        </w:rPr>
        <w:t>. A Revolving Credit Loan or an Incremental Term Loan, as the context may require.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Communication</w:t>
      </w:r>
      <w:r>
        <w:rPr>
          <w:rFonts w:ascii="Times New Roman" w:cs="Times New Roman" w:eastAsia="Times New Roman" w:hAnsi="Times New Roman"/>
          <w:sz w:val="22"/>
          <w:szCs w:val="22"/>
          <w:color w:val="auto"/>
        </w:rPr>
        <w:t>. This Agreement, any Loan Document and any document, amendment, approval, consent, information, notice, certificate, request, statement, disclosure or authorization related to any Loan Document.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Competitive Bid</w:t>
      </w:r>
      <w:r>
        <w:rPr>
          <w:rFonts w:ascii="Times New Roman" w:cs="Times New Roman" w:eastAsia="Times New Roman" w:hAnsi="Times New Roman"/>
          <w:sz w:val="22"/>
          <w:szCs w:val="22"/>
          <w:color w:val="auto"/>
        </w:rPr>
        <w:t xml:space="preserve">. A written offer by a Bank to make one or more Bid Rate Loans, substantially in the form of </w:t>
      </w: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 duly completed and signed by such Bank.</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Completed Loan Request</w:t>
      </w:r>
      <w:r>
        <w:rPr>
          <w:rFonts w:ascii="Times New Roman" w:cs="Times New Roman" w:eastAsia="Times New Roman" w:hAnsi="Times New Roman"/>
          <w:sz w:val="22"/>
          <w:szCs w:val="22"/>
          <w:color w:val="auto"/>
        </w:rPr>
        <w:t xml:space="preserve">. A notice of (a) a request for a Revolving Credit Loan, (b) a request for an Incremental Term Loan, (c) a conversion of Loans from one Type to another, or (d) a continuation of Term Rate Committed Loans, pursuant to §2.5, which shall be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or such other form as may be approved by the Agent (including any form on an electronic platform or electronic transmission system as shall be approved by the Agent), appropriately completed and signed by an Authorized Officer.</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As required in this Agreement the respective Compliance Certificates in the forms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xml:space="preserve">. With respect to the use, administration of or any conventions associated with any of SOFR, Daily Simple SOFR, Term SOFR, any Alternative Currency Daily Rate, any Alternative Currency Term Rate, any Relevant Rate or any proposed Successor Rate for an Agreed Currency (other than Canadian Dollars), as applicable, any conforming changes to the definitions related thereto, including “Base Rate”, “Daily Simple SOFR”, “SOFR”, “Term SOFR”, “Term SOFR Screen Rate”, “SONIA”, “EURIBOR”,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w:t>
      </w:r>
      <w:r>
        <w:rPr>
          <w:rFonts w:ascii="Times New Roman" w:cs="Times New Roman" w:eastAsia="Times New Roman" w:hAnsi="Times New Roman"/>
          <w:sz w:val="22"/>
          <w:szCs w:val="22"/>
          <w:color w:val="0000FF"/>
        </w:rPr>
        <w:t>and the day basis for calculating interest for an Agreed Currency listed on Schedule 5.3</w:t>
      </w:r>
      <w:r>
        <w:rPr>
          <w:rFonts w:ascii="Times New Roman" w:cs="Times New Roman" w:eastAsia="Times New Roman" w:hAnsi="Times New Roman"/>
          <w:sz w:val="22"/>
          <w:szCs w:val="22"/>
          <w:color w:val="auto"/>
        </w:rPr>
        <w:t>)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in consultation with the Borrower (provided that no Default or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2152650</wp:posOffset>
            </wp:positionH>
            <wp:positionV relativeFrom="paragraph">
              <wp:posOffset>-1019175</wp:posOffset>
            </wp:positionV>
            <wp:extent cx="49326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4932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86"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exists), is reasonably necessary in connection with the administration of this Agreement and any other Loan Document).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Other Connection Taxes that are imposed on or measured by net income (however denominated) or that are franchise Taxes or branch profits Taxes.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Consolidated or consolidated</w:t>
      </w:r>
      <w:r>
        <w:rPr>
          <w:rFonts w:ascii="Times New Roman" w:cs="Times New Roman" w:eastAsia="Times New Roman" w:hAnsi="Times New Roman"/>
          <w:sz w:val="22"/>
          <w:szCs w:val="22"/>
          <w:color w:val="auto"/>
        </w:rPr>
        <w:t>. With reference to any term defined herein, shall mean that term as applied to the accounts of the Borrower and its Subsidiaries, or BPI and its Subsidiaries (as the case may be), consolidated in accordance with GAAP in accordance with the terms of this Agreement.</w:t>
      </w:r>
    </w:p>
    <w:p>
      <w:pPr>
        <w:spacing w:after="0" w:line="1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u w:val="single" w:color="auto"/>
          <w:color w:val="auto"/>
        </w:rPr>
        <w:t>Consolidated EBITDA</w:t>
      </w:r>
      <w:r>
        <w:rPr>
          <w:rFonts w:ascii="Times New Roman" w:cs="Times New Roman" w:eastAsia="Times New Roman" w:hAnsi="Times New Roman"/>
          <w:sz w:val="21"/>
          <w:szCs w:val="21"/>
          <w:color w:val="auto"/>
        </w:rPr>
        <w:t xml:space="preserve">. In relation to the Borrower and its Subsidiaries for any fiscal quarter, an amount equal to, without double-counting, (u) the consolidated net income or loss of the Borrower and its Subsidiaries determined in accordance with GAAP (before non-controlling interests and excluding adjustments for FASB ASC 805 “business combinations” and, except as set forth in the last sentence of this definition, the adjustment for so-called “straight-line rent accounting”) for such quarter, </w:t>
      </w:r>
      <w:r>
        <w:rPr>
          <w:rFonts w:ascii="Times New Roman" w:cs="Times New Roman" w:eastAsia="Times New Roman" w:hAnsi="Times New Roman"/>
          <w:sz w:val="21"/>
          <w:szCs w:val="21"/>
          <w:u w:val="single" w:color="auto"/>
          <w:color w:val="auto"/>
        </w:rPr>
        <w:t>plus</w:t>
      </w:r>
    </w:p>
    <w:p>
      <w:pPr>
        <w:spacing w:after="0" w:line="4" w:lineRule="exact"/>
        <w:rPr>
          <w:sz w:val="20"/>
          <w:szCs w:val="20"/>
          <w:color w:val="auto"/>
        </w:rPr>
      </w:pPr>
    </w:p>
    <w:p>
      <w:pPr>
        <w:jc w:val="both"/>
        <w:ind w:firstLine="8"/>
        <w:spacing w:after="0" w:line="245" w:lineRule="auto"/>
        <w:tabs>
          <w:tab w:leader="none" w:pos="32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to the extent deducted in computing such consolidated net income or loss for such quarter: (i) Consolidated Total Interest Expense for such quarter, (ii) real estate depreciation, amortization and extraordinary or non-recurring items for such quarter, and (iii) other non-cash charges for such quarter,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(w) (i) all gains (or plus all losses) attributable to the sale or other disposition of assets or debt restructurings in such quarter and (ii) solely for purposes of calculating Consolidated Total Adjusted Asset Value, all interest income of the Borrower and its Subsidiaries received in connection with any Mortgages, </w:t>
      </w:r>
      <w:r>
        <w:rPr>
          <w:rFonts w:ascii="Times New Roman" w:cs="Times New Roman" w:eastAsia="Times New Roman" w:hAnsi="Times New Roman"/>
          <w:sz w:val="22"/>
          <w:szCs w:val="22"/>
          <w:u w:val="single" w:color="auto"/>
          <w:color w:val="auto"/>
        </w:rPr>
        <w:t>plus</w:t>
      </w:r>
    </w:p>
    <w:p>
      <w:pPr>
        <w:spacing w:after="0" w:line="4" w:lineRule="exact"/>
        <w:rPr>
          <w:rFonts w:ascii="Times New Roman" w:cs="Times New Roman" w:eastAsia="Times New Roman" w:hAnsi="Times New Roman"/>
          <w:sz w:val="22"/>
          <w:szCs w:val="22"/>
          <w:color w:val="auto"/>
        </w:rPr>
      </w:pPr>
    </w:p>
    <w:p>
      <w:pPr>
        <w:jc w:val="both"/>
        <w:ind w:firstLine="8"/>
        <w:spacing w:after="0" w:line="245" w:lineRule="auto"/>
        <w:tabs>
          <w:tab w:leader="none" w:pos="3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double-counting, the Borrower’s or any Subsidiary’s pro rata share of the net income or loss of Partially-Owned Entities for such quarter, based on the direct or indirect percentage ownership interest of the Borrower in such Partially-Owned Entity (or such other percentage determined by the Borrower reasonably and in good faith, based upon an arm’s length agreement among the applicable parties),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(y) without double-counting and to the extent deducted in computing clause (x) for such quarter, the Borrower’s or any Subsidiary’s pro rata share of the type of items referenced in clause (v) above that are attributable to Partially-Owned Entities for such quarter, based on the direct or indirect percentage ownership interest of the Borrower in such Partially-Owned Entity (or such other percentage determined by the Borrower reasonably and in good faith, based on an arm’s length agreement among the applicable parties),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(z) without double-counting, the Borrower’s or any Subsidiary’s pro rata share of the types of items referenced in clause (w) above that are attributable to Partially-Owned Entities for such quarter, based on the direct or indirect percentage ownership interest of the Borrower in such Partially-Owned Entity (or such other percentage determined by the Borrower reasonably and in good faith, based on an arm’s length agreement among the applicable parties). In determining Consolidated EBITDA (i) solely for purposes of calculating Fair Market Value of Real Estate Assets and Consolidated Total Adjusted Asset Value, any and all income of the Borrower and its Subsidiaries received from any Real Estate Asset that is included in such calculations at its cost basis value shall be excluded and (ii) solely for purposes of calculating the covenants set forth in §§10.3 and 10.6, all profits and losses (net of all applicable taxes) resulting from the sales of individual residential condominium units will be included in such determination. Notwithstanding the foregoing, solely for purposes of calculating the ratio set forth in §2.4(f) and the covenants set forth in §§10.1, 10.2 and 10.4 for such period, in calculating the Fair Market Value of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86" w:right="339" w:bottom="1440" w:gutter="0" w:footer="0" w:header="0"/>
        </w:sectPr>
      </w:pPr>
    </w:p>
    <w:bookmarkStart w:id="145" w:name="page146"/>
    <w:bookmarkEnd w:id="145"/>
    <w:p>
      <w:pPr>
        <w:jc w:val="both"/>
        <w:spacing w:after="0" w:line="253" w:lineRule="auto"/>
        <w:rPr>
          <w:sz w:val="20"/>
          <w:szCs w:val="20"/>
          <w:color w:val="auto"/>
        </w:rPr>
      </w:pPr>
      <w:r>
        <w:rPr>
          <w:rFonts w:ascii="Times New Roman" w:cs="Times New Roman" w:eastAsia="Times New Roman" w:hAnsi="Times New Roman"/>
          <w:sz w:val="22"/>
          <w:szCs w:val="22"/>
          <w:color w:val="auto"/>
        </w:rPr>
        <w:t>Assets used to calculate Consolidated Total Adjusted Asset Value or Consolidated Unencumbered Asset Value, as applicable, (A) one-time, non-recurring acquisition costs and other one-time, non-recurring costs as determined in good faith by the Borrower (and including, without limitation, prepayment penalties with respect to Indebtedness), will be added back to Consolidated EBITDA, and (B) the value of rents under Leases included in Consolidated EBITDA shall be adjusted for the impact of “straight-line rent accounting”.</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Consolidated Fixed Charges</w:t>
      </w:r>
      <w:r>
        <w:rPr>
          <w:rFonts w:ascii="Times New Roman" w:cs="Times New Roman" w:eastAsia="Times New Roman" w:hAnsi="Times New Roman"/>
          <w:sz w:val="22"/>
          <w:szCs w:val="22"/>
          <w:color w:val="auto"/>
        </w:rPr>
        <w:t>. For any fiscal quarter, an amount equal to (i) Consolidated Total Interest Expense for such quarter plus (ii) the aggregate amount of scheduled principal payments of Indebtedness (excluding optional prepayments, balloon payments at maturity and any mid-term balloon payments of principal with respect to Indebtedness otherwise requiring equal periodic amortization payments of principal and interest over the term of such Indebtedness (and any balloon payments at maturity with respect to such Indebtedness)) required to be made during such quarter by the Borrower and its Subsidiaries on a Consolidated basis plus (iii) the aggregate amount of capitalized interest required in accordance with GAAP to be paid or accrued during such quarter by the Borrower and its Subsidiaries, plus (iv) Annualized Capital Expenditures applicable to such quarter divided by 4, plus (v) the regularly scheduled and recurring periodic dividends and distributions, if any, paid or required to be paid during such quarter on the Preferred Equity of the Borrower, BPI or any of their respective Subsidiaries, plus (vi) without double counting, the Borrower’s direct and indirect share of the foregoing items attributable to each Partially-Owned Entity in such fiscal quarter, based on the percentage of Consolidated EBITDA for such fiscal quarter that is attributable to Partially-Owned Entities.</w:t>
      </w:r>
    </w:p>
    <w:p>
      <w:pPr>
        <w:spacing w:after="0" w:line="19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Consolidated Total Adjusted Asset Value</w:t>
      </w:r>
      <w:r>
        <w:rPr>
          <w:rFonts w:ascii="Times New Roman" w:cs="Times New Roman" w:eastAsia="Times New Roman" w:hAnsi="Times New Roman"/>
          <w:sz w:val="22"/>
          <w:szCs w:val="22"/>
          <w:color w:val="auto"/>
        </w:rPr>
        <w:t xml:space="preserve">. As of any date of determination and without double counting, an amount equal to the sum of (i) the Fair Market Value of Real Estate Assets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100% of the value of Unrestricted Cash and Cash Equivalents on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100% of the Development Costs incurred and paid to date by the Borrower with respect to any Real Estate Assets which are Real Estate Assets Under Development on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(iv) prepaid expenses and escrowed cash funds owned by the Borrower such as deposits made by the Borrower under sales agreements,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(v) with respect to each Mortgage and/or Mezzanine Loan, the lesser of (y) the aggregate amount of principal under such Mortgage and/or Mezzanine Loan that will be due and payable to the Borrower or its Subsidiaries (to the extent of the Borrower’s direct or indirect interest therein) and (z) the purchase price paid by the Borrower or one of its Subsidiaries to acquire such Mortgage and/or Mezzanine Loan,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(vi) Accounts Receivable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(vii) 100% of the value (determined on the so-called mark-to-market basis) of the Marketable Securities owned by the Borrower or its Subsidiaries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Marketable Securities must not be subject to any lock-up or other transfer restrictions,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(viii) the book value of land owned by the Borrower, as evidenced by the Borrower’s balance sheet delivered to the Agent,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(ix) Eligible Cash 1031 Proceeds on such date. Notwithstanding the foregoing, at any time at which the value determined pursuant to clause (v) of the preceding sentence equals or exceeds 10% of the total Fair Market Value of Real Estate Assets at such time, then upon the occurrence of an event of default under any Mortgage, the portion of the value of such defaulted Mortgage which is in excess of 10% of the total Fair Market Value of Real Estate Assets at such time (“</w:t>
      </w:r>
      <w:r>
        <w:rPr>
          <w:rFonts w:ascii="Times New Roman" w:cs="Times New Roman" w:eastAsia="Times New Roman" w:hAnsi="Times New Roman"/>
          <w:sz w:val="22"/>
          <w:szCs w:val="22"/>
          <w:u w:val="single" w:color="auto"/>
          <w:color w:val="auto"/>
        </w:rPr>
        <w:t>Excess Value</w:t>
      </w:r>
      <w:r>
        <w:rPr>
          <w:rFonts w:ascii="Times New Roman" w:cs="Times New Roman" w:eastAsia="Times New Roman" w:hAnsi="Times New Roman"/>
          <w:sz w:val="22"/>
          <w:szCs w:val="22"/>
          <w:color w:val="auto"/>
        </w:rPr>
        <w:t>”) shall be reduced to seventy-five percent (75%) of the Excess Value as determined in this subparagraph (v) until the earlier to occur of (a) the event of default under the Mortgage is cured in a commercially reasonable manner and (b)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286" w:right="339" w:bottom="1440" w:gutter="0" w:footer="0" w:header="0"/>
        </w:sectPr>
      </w:pPr>
    </w:p>
    <w:bookmarkStart w:id="146" w:name="page147"/>
    <w:bookmarkEnd w:id="146"/>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hundred eighty (180) days after the occurrence of the event of default; thereafter, if the event of default under the defaulted Mortgage has not been cured in a commercially reasonable manner, the portion of the value of the defaulted Mortgage which is in excess of 10% of the total Fair Market Value of Real Estate Assets at such time shall be reduced to fifty percent (50%) of the Excess Value as determined as set forth above until the earlier to occur of (a) the event of default under the Mortgage is cured in a commercially reasonable manner and (b) eighteen (18) months after the occurrence of the event of default; thereafter, if the event of default under the defaulted Mortgage has not been cured in a commercially reasonable manner, the portion of the value of the defaulted Mortgage which is in excess of 10% of the total Fair Market Value of Real Estate Assets at such time shall be reduced to zero. Further notwithstanding the foregoing, the calculation of Consolidated Total Adjusted Asset Value shall include (without double counting) Investments by the Borrower or any of its Subsidiaries in preferred equity, each as valued at its book value determined in accordance with GAAP. However, (1) no more than 35% of the Consolidated Total Adjusted Asset Value may be in respect of Investments in Persons that are Unconsolidated Affiliates (calculated in the manner set forth in the definition of Fair Market Value of Real Estate Assets, except as set forth in the proviso below) with any excess above such 35% limitation being excluded from determinations of Consolidated Total Adjusted Asset Value) and (2) no more than 35% of the Consolidated Total Adjusted Asset Value in the aggregate may be in respect of Investments of the types described in §§9.3(f), (k) and (l) with any excess above such 35% limitation being excluded from determinations of Consolidated Total Adjusted Asset Value;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Fair Market Value of Real Estate Assets (as used to determine the value of Investments in Unconsolidated Affiliates and Subsidiaries (other than Wholly-owned Subsidiaries) and/or Partially-Owned Entities, and as used to calculate Consolidated Total Adjusted Asset Value), shall be adjusted to include only the Borrower’s pro rata share of Consolidated EBITDA (or cost basis, as applicable) attributable to any Unconsolidated Affiliate or Subsidiary (that is not a Wholly-owned Subsidiary) and/or Partially-Owned Entity based on the Borrower’s direct or indirect percentage ownership interest in such Subsidiary and/or Partially-Owned Entity (or such other amount to which the Borrower is directly or indirectly entitled based on an arm’s length agreement) instead of 100% of such Consolidated EBITDA (or cost basis, as applicable). Solely for purposes of determining Consolidated Total Adjusted Asset Value as of any date and notwithstanding anything to the contrary contained herein, the Fair Market Value of Real Estate Assets with respect to any individual Real Estate Asset included in such determination shall not be less than zero ($0).</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1"/>
          <w:szCs w:val="21"/>
          <w:u w:val="single" w:color="auto"/>
          <w:color w:val="auto"/>
        </w:rPr>
        <w:t>Consolidated Total Indebtedness</w:t>
      </w:r>
      <w:r>
        <w:rPr>
          <w:rFonts w:ascii="Times New Roman" w:cs="Times New Roman" w:eastAsia="Times New Roman" w:hAnsi="Times New Roman"/>
          <w:sz w:val="21"/>
          <w:szCs w:val="21"/>
          <w:color w:val="auto"/>
        </w:rPr>
        <w:t xml:space="preserve">. As of any date of determination, Consolidated Total Indebtedness means for the Borrower and its Subsidiaries, the sum of (without double-counting) but subject to the limitations set forth below, (i) all Accounts Payable on such date, (ii) all Indebtedness outstanding on such date, (iii) all Letters of Credit outstanding on such date, in each case whether Recourse, Without Recourse or contingent, (iv) solely for purposes of calculations of the covenants set forth in §§10.1 and 10.2 as of such date, without double counting, the Borrower’s direct or indirect share of the foregoing items attributable to each Partially-Owned Entity, based on the percentage of Consolidated Total Adjusted Asset Value as of such date that is attributable to Real Estate Assets owned by Partially-Owned Entities and (v) solely for purposes of calculations of the covenant set forth in §10.4 as of such date, without double counting, the Borrower’s direct or indirect share of the foregoing items attributable to each Partially-Owned Entity, based on the percentage of Consolidated Unencumbered Asset Value as of such date that is attributable to Real Estate Assets owned by Partially-Owned Entitles;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86" w:right="339" w:bottom="1440" w:gutter="0" w:footer="0" w:header="0"/>
        </w:sectPr>
      </w:pPr>
    </w:p>
    <w:bookmarkStart w:id="147" w:name="page148"/>
    <w:bookmarkEnd w:id="147"/>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amounts not drawn under the Facilities or any other Indebtedness on such date shall not be included in calculating Consolidated Total Indebtedness;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(without double-counting), (x) the Borrower’s direct or indirect share of each of the following (in the case of Partially-Owned Entities, attributable to each Partially-Owned Entity) shall be included in Consolidated Total Indebtedness: (a) all amounts of guarantees, indemnities for borrowed money, stop-loss agreements and the like provided by the Borrower or any of its Subsidiaries or any Partially-Owned Entity, in each case in connection with and guarantying repayment of amounts outstanding under any other Indebtedness; (b) all amounts for which a letter of credit has been issued for the account of the Borrower or any of its Subsidiaries or any Partially-Owned Entity; (c) all amounts of bonds posted by the Borrower or any of its Subsidiaries or any Partially-Owned Entity guaranteeing performance or payment obligations; and</w:t>
      </w:r>
    </w:p>
    <w:p>
      <w:pPr>
        <w:spacing w:after="0" w:line="4" w:lineRule="exact"/>
        <w:rPr>
          <w:sz w:val="20"/>
          <w:szCs w:val="20"/>
          <w:color w:val="auto"/>
        </w:rPr>
      </w:pPr>
    </w:p>
    <w:p>
      <w:pPr>
        <w:jc w:val="both"/>
        <w:ind w:firstLine="8"/>
        <w:spacing w:after="0" w:line="226" w:lineRule="auto"/>
        <w:tabs>
          <w:tab w:leader="none" w:pos="32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of the Borrower or any of its Subsidiaries or any Partially-Owned Entity as partners, members or the like for liabilities (whether such liabilities are Recourse, Without Recourse or contingent obligations of the applicable partnership or other Person) of partnerships or other Persons in which any of them have an equity interest, which liabilities are for borrowed money or any of the matters listed in clauses (a), (b) or (c), and (y) each of the following shall be excluded from Consolidated Total Indebtedness: (a) defeased Indebtedness of the Borrower and its Subsidiaries and any Partially-Owned Entity; and (b) Indebtedness of the Borrower and its Subsidiaries and Partially-Owned Entities secured by Unrestricted Cash and Cash Equivalents (it being agreed that, for this purpose, a lien on such Unrestricted Cash or Cash Equivalents in favor of the Person holding such Indebtedness shall not be deemed a “Lien” for purposes of the definition of Unrestricted Cash and Cash Equivalents). Notwithstanding the foregoing (without double counting), with respect to any Partially-Owned Entity, (1) to the extent that the Borrower or any Subsidiary or such Partially-Owned Entity is providing a completion guaranty in connection with a construction loan entered into by a Partially-Owned Entity, Consolidated Total Indebtedness shall only include the Borrower’s or such Subsidiary’s pro rata liability under the Indebtedness relating to such completion guaranty (or, if greater, but without double-counting, the Borrower’s or such Subsidiary’s liability under such completion guaranty (it being agreed that to the extent that the liability of the Borrower or its Subsidiaries under such completion guaranty would not constitute a liability (contingent or otherwise) under GAAP, such liability will not be included in Consolidated Total Indebtedness)) and (2) in connection with the liabilities described in clauses (x)(a) and (x)(d) above, the Borrower shall be required to include in Consolidated Total Indebtedness the portion of the liabilities of such Partially-Owned Entity which are attributable to the Borrower’s or such Subsidiary’s percentage equity interest in such Partially-Owned Entity or such other amount (if greater) of such liabilities for which the Borrower or its Subsidiaries are, or have agreed to be, liable by way of guaranty, indemnity for borrowed money, stop-loss agreement or the like (excluding liability under completion guaranties, which shall be included as and to the extent set forth in clause (x) of this sentence)), it being agreed that Indebtedness of a Partially-Owned Entity shall not be excluded from Consolidated Total Indebtedness by virtue of the liability of such Partially-Owned Entity being Without Recourse. For purposes hereof, (i) the value of Accounts Payable shall be determined in accordance with GAAP, (ii) the amount of borrowed money shall equal the sum of (1) the amount of borrowed money as determined in accordance with GAAP plus (2) the amount of those contingent liabilities for borrowed money set forth in subsections (a) through (d) above, but shall exclude any adjustment for so called “straight line interest accounting” or the “constant yield to maturity method” required under GAAP or adjustments under FASB ASC 805, and (iii) in no event shall tenant security deposits be included in the calculation of Consolidated Total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73" w:right="339" w:bottom="1440" w:gutter="0" w:footer="0" w:header="0"/>
        </w:sectPr>
      </w:pPr>
    </w:p>
    <w:bookmarkStart w:id="148" w:name="page149"/>
    <w:bookmarkEnd w:id="148"/>
    <w:p>
      <w:pPr>
        <w:jc w:val="both"/>
        <w:ind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Consolidated Total Interest Expense</w:t>
      </w:r>
      <w:r>
        <w:rPr>
          <w:rFonts w:ascii="Times New Roman" w:cs="Times New Roman" w:eastAsia="Times New Roman" w:hAnsi="Times New Roman"/>
          <w:sz w:val="22"/>
          <w:szCs w:val="22"/>
          <w:color w:val="auto"/>
        </w:rPr>
        <w:t>. For any fiscal quarter, (x) the aggregate amount of interest required in accordance with GAAP to be paid or accrued (but excluding interest funded from the proceeds of any loan), without double-counting, by the Borrower and its Subsidiaries during such quarter on: (i) all Indebtedness of the Borrower and its Subsidiaries (including the Loans and including original issue discount and amortization of prepaid interest, if any), (ii) all amounts available for borrowing, or for drawing under letters of credit, if any, issued for the account of the Borrower or any of its Subsidiaries, but only if such interest was or is required to be reflected as an item of expense, and (iii) all commitment fees, agency fees, facility fees, balance deficiency fees and similar fees and expenses in connection with the borrowing of money, but excluding non-cash interest required to be recognized under FASB ASC 470-20 “debt with conversion and other options” and FASB ASC 805, plus (y) (1) solely for purposes of determining Consolidated EBITDA and Consolidated Fixed Charges for such quarter, without double counting, the Borrower’s direct or indirect share of the foregoing items attributable to each Partially-Owned Entity, based on the percentage of Consolidated EBITDA for such fiscal quarter that is attributable to such Partially-Owned Entities and (2) solely for purposes of determining Consolidated Unencumbered Interest Expense for such quarter, without double counting, the Borrower’s direct or indirect share of the foregoing items attributable to each Partially-Owned Entity, based on the percentage of Consolidated Unencumbered NOI for such quarter that is attributable to Real Estate Assets owned by such Partially-Owned Entity.</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1"/>
          <w:szCs w:val="21"/>
          <w:u w:val="single" w:color="auto"/>
          <w:color w:val="auto"/>
        </w:rPr>
        <w:t>Consolidated Unencumbered Asset Value</w:t>
      </w:r>
      <w:r>
        <w:rPr>
          <w:rFonts w:ascii="Times New Roman" w:cs="Times New Roman" w:eastAsia="Times New Roman" w:hAnsi="Times New Roman"/>
          <w:sz w:val="21"/>
          <w:szCs w:val="21"/>
          <w:color w:val="auto"/>
        </w:rPr>
        <w:t>. The sum of (i) the Fair Market Value of Real Estate Assets as it relates to Unencumbered Assets owned by the Borrower, any of its Subsidiaries or any Partially-Owned Entity, plus (ii) Unrestricted Cash and Cash Equivalents, plus (iii) Eligible Cash 1031 Proceeds, plus (iv) Marketable Securities (meeting the rating requirement for this definition set forth in the definition of Marketable Securities), plus (v) as valued by their respective book values determined in accordance with GAAP so long as the same are not encumbered by Liens other than Permitted Liens, unimproved land, construction-in-progress and Mortgage and Mezzanine Loan receivables owned by the Borrower or any of its Subsidiaries, with</w:t>
      </w:r>
    </w:p>
    <w:p>
      <w:pPr>
        <w:spacing w:after="0" w:line="1" w:lineRule="exact"/>
        <w:rPr>
          <w:sz w:val="20"/>
          <w:szCs w:val="20"/>
          <w:color w:val="auto"/>
        </w:rPr>
      </w:pPr>
    </w:p>
    <w:p>
      <w:pPr>
        <w:jc w:val="both"/>
        <w:ind w:firstLine="8"/>
        <w:spacing w:after="0" w:line="235" w:lineRule="auto"/>
        <w:tabs>
          <w:tab w:leader="none" w:pos="37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Unencumbered Asset Value being adjusted to include, without double counting, Investments by the Borrower or any of its Subsidiaries in preferred equity, as valued by their respective book values determined in accordance with GAAP. However, the sum of the items included in clauses (v) and (vi) above may not exceed 15% of Consolidated Unencumbered Asset Value and, in any event, no more than 20% of Consolidated Unencumbered Asset Value may come from assets owned by Subsidiaries and/or Partially-Owned Entities which are not Wholly-owned Subsidiaries. Further, no Unencumbered Asset owned by an entity other than the Borrower shall be included in the calculation of Consolidated Unencumbered Asset Value if such entity is an obligor or guarantor in respect of any Indebtedness, whether secured or unsecured. Solely for purposes of determining Consolidated Unencumbered Asset Value as of any date and notwithstanding anything to the contrary contained herein, the Fair Market Value of Real Estate Assets with respect to any individual Unencumbered Asset included in such determination shall not be less than zero ($0).</w:t>
      </w:r>
    </w:p>
    <w:p>
      <w:pPr>
        <w:spacing w:after="0" w:line="2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used in this definition, at any time of determination, the term “Partially-Owned Entity” shall refer to a Partially-Owned Entity wherein the Borrower or a Wholly-owned Subsidiary has control, in such Partially-Owned Entity’s constituent documents, to cause or prevent sales, refinancings or other dispositions of such entity’s Real Estate Assets or to trigger “buy/sale” rights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273" w:right="339" w:bottom="1440" w:gutter="0" w:footer="0" w:header="0"/>
        </w:sectPr>
      </w:pPr>
    </w:p>
    <w:bookmarkStart w:id="149" w:name="page150"/>
    <w:bookmarkEnd w:id="149"/>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Consolidated Unencumbered Interest Expense</w:t>
      </w:r>
      <w:r>
        <w:rPr>
          <w:rFonts w:ascii="Times New Roman" w:cs="Times New Roman" w:eastAsia="Times New Roman" w:hAnsi="Times New Roman"/>
          <w:sz w:val="22"/>
          <w:szCs w:val="22"/>
          <w:color w:val="auto"/>
        </w:rPr>
        <w:t>. That portion of Consolidated Total Interest Expense attributable to Unsecured Consolidated Total Indebtedness.</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Consolidated Unencumbered NOI</w:t>
      </w:r>
      <w:r>
        <w:rPr>
          <w:rFonts w:ascii="Times New Roman" w:cs="Times New Roman" w:eastAsia="Times New Roman" w:hAnsi="Times New Roman"/>
          <w:sz w:val="22"/>
          <w:szCs w:val="22"/>
          <w:color w:val="auto"/>
        </w:rPr>
        <w:t>. The sum of (i) that portion of Net Operating Income derived from Unencumbered Assets less Annualized Capital Expenditures attributable to such Unencumbered Assets and (ii) interest payments received from Mortgages and Mezzanine Loans which are not encumbered by Liens in respect of borrowed money.</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Conversion Request</w:t>
      </w:r>
      <w:r>
        <w:rPr>
          <w:rFonts w:ascii="Times New Roman" w:cs="Times New Roman" w:eastAsia="Times New Roman" w:hAnsi="Times New Roman"/>
          <w:sz w:val="22"/>
          <w:szCs w:val="22"/>
          <w:color w:val="auto"/>
        </w:rPr>
        <w:t>. A Completed Loan Request given by the Borrower to the Agent of its election to convert or continue a Loan in accordance with §2.5.</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CORRA</w:t>
      </w:r>
      <w:r>
        <w:rPr>
          <w:rFonts w:ascii="Times New Roman" w:cs="Times New Roman" w:eastAsia="Times New Roman" w:hAnsi="Times New Roman"/>
          <w:sz w:val="22"/>
          <w:szCs w:val="22"/>
          <w:color w:val="auto"/>
        </w:rPr>
        <w:t>. The Canadian Overnight Repo Rate Average administered and published by the Bank of Canada (or any successor administrator).</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FF0000"/>
          <w:strike w:val="1"/>
        </w:rPr>
        <w:t>Daily Compounded CORRA</w:t>
      </w:r>
      <w:r>
        <w:rPr>
          <w:rFonts w:ascii="Times New Roman" w:cs="Times New Roman" w:eastAsia="Times New Roman" w:hAnsi="Times New Roman"/>
          <w:sz w:val="22"/>
          <w:szCs w:val="22"/>
          <w:color w:val="FF0000"/>
          <w:strike w:val="1"/>
        </w:rPr>
        <w:t>. For any day, CORRA with interest accruing on a compounded daily basis, with the</w:t>
      </w:r>
      <w:r>
        <w:rPr>
          <w:rFonts w:ascii="Times New Roman" w:cs="Times New Roman" w:eastAsia="Times New Roman" w:hAnsi="Times New Roman"/>
          <w:sz w:val="22"/>
          <w:szCs w:val="22"/>
          <w:u w:val="single" w:color="auto"/>
          <w:color w:val="FF0000"/>
          <w:strike w:val="1"/>
        </w:rPr>
        <w:t xml:space="preserve"> </w:t>
      </w:r>
      <w:r>
        <w:rPr>
          <w:rFonts w:ascii="Times New Roman" w:cs="Times New Roman" w:eastAsia="Times New Roman" w:hAnsi="Times New Roman"/>
          <w:sz w:val="22"/>
          <w:szCs w:val="22"/>
          <w:color w:val="FF0000"/>
          <w:strike w:val="1"/>
        </w:rPr>
        <w:t>methodology and conventions for this rate being established by the Administrative Agent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0000FF"/>
        </w:rPr>
        <w:t>CORRA Adjustment. A rate equal to 0.29547% (29.547 basis points) per annum for an Interest Period of one-month’s duration and 0.32138% (32.138 basis points) per annum for an Interest Period of three-months’ duration</w:t>
      </w:r>
      <w:r>
        <w:rPr>
          <w:rFonts w:ascii="Times New Roman" w:cs="Times New Roman" w:eastAsia="Times New Roman" w:hAnsi="Times New Roman"/>
          <w:sz w:val="22"/>
          <w:szCs w:val="22"/>
          <w:color w:val="000000"/>
        </w:rPr>
        <w:t>.</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The rate per annum equal to SOFR determined for any day pursuant to the definition thereof plus the SOFR Adjustment. Any change in Daily Simple SOFR shall be effective from and including the date of such change without further notice. If the rate as so determined would be less than zero, such rate shall be deemed to be zero for purposes of the Loan Documents.</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Daily SOFR Loan</w:t>
      </w:r>
      <w:r>
        <w:rPr>
          <w:rFonts w:ascii="Times New Roman" w:cs="Times New Roman" w:eastAsia="Times New Roman" w:hAnsi="Times New Roman"/>
          <w:sz w:val="22"/>
          <w:szCs w:val="22"/>
          <w:color w:val="auto"/>
        </w:rPr>
        <w:t>. A Committed Loan that bears interest at a rate based on Daily Simple SOFR. All Daily SOFR Loans must be denominated in Dollars.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Debt Rating</w:t>
      </w:r>
      <w:r>
        <w:rPr>
          <w:rFonts w:ascii="Times New Roman" w:cs="Times New Roman" w:eastAsia="Times New Roman" w:hAnsi="Times New Roman"/>
          <w:sz w:val="22"/>
          <w:szCs w:val="22"/>
          <w:color w:val="auto"/>
        </w:rPr>
        <w:t>. The credit rating(s) assigned by the Rating Agencies to BPLP’s non-credit enhanced, senior, long-term unsecured debt.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When used with reference to this Agreement or any other Loan Document, an event or condition specified in §14.1 that, but for the requirement that time elapse or notice be given, or both, would constitute an Event of Default.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See §5.10.</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Delinquent Bank</w:t>
      </w:r>
      <w:r>
        <w:rPr>
          <w:rFonts w:ascii="Times New Roman" w:cs="Times New Roman" w:eastAsia="Times New Roman" w:hAnsi="Times New Roman"/>
          <w:sz w:val="22"/>
          <w:szCs w:val="22"/>
          <w:color w:val="auto"/>
        </w:rPr>
        <w:t>. Subject to §5.12.2, any Bank that (a) has failed to (i) fund all or any portion of its Loans within two Business Days of the date such Loans were required to be funded hereunder unless such Bank notifies the Agent and the Borrower in writing that such failure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286" w:right="339" w:bottom="1440" w:gutter="0" w:footer="0" w:header="0"/>
        </w:sectPr>
      </w:pPr>
    </w:p>
    <w:bookmarkStart w:id="150" w:name="page151"/>
    <w:bookmarkEnd w:id="150"/>
    <w:p>
      <w:pPr>
        <w:jc w:val="both"/>
        <w:spacing w:after="0" w:line="247" w:lineRule="auto"/>
        <w:rPr>
          <w:sz w:val="20"/>
          <w:szCs w:val="20"/>
          <w:color w:val="auto"/>
        </w:rPr>
      </w:pPr>
      <w:r>
        <w:rPr>
          <w:rFonts w:ascii="Times New Roman" w:cs="Times New Roman" w:eastAsia="Times New Roman" w:hAnsi="Times New Roman"/>
          <w:sz w:val="22"/>
          <w:szCs w:val="22"/>
          <w:color w:val="auto"/>
        </w:rPr>
        <w:t>result of such Bank’s good faith determination that one or more conditions precedent to funding (each of which conditions precedent, together with any applicable default, shall be specifically identified in such writing) has not been satisfied, or (ii) pay to the Agent, any Fronting Bank or any other Bank any other amount required to be paid by it hereunder (including in respect of its participation in Letters of Credit) within two Business Days of the date when due, (b) has notified the Borrower, the Agent or any Fronting Bank in writing that it does not intend to comply with its funding obligations hereunder, or has made a public statement to that effect (unless such writing or public statement (x) has been delivered to the Borrower, the Agent and, if applicable, the Fronting Banks, and (y) relates solely to such Bank’s obligation to fund a Loan hereunder and states that such position is based on such Bank’s determination that a condition precedent to funding (which condition precedent, together with any applicable default, shall be specifically identified in such writing or public statement and shall be accompanied by reasonably detailed documented evidence supporting such determination) cannot be satisfied), (c) has failed, within three Business Days after written request by the Agent or the Borrower, to confirm in writing to the Agent and the Borrower that it will comply with its prospective funding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Bank shall cease to be a Delinquent Bank pursuant to this clause (c) upon receipt of such written confirmation by the Agent and the Borrower), or (d) has, or has a direct or indirect parent company that has, (i) become the subject of a proceeding under any Debtor Relief Laws,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Bank shall not be a Delinquent Bank solely by virtue of the ownership or acquisition of any equity interest in that Bank or any direct or indirect parent company thereof by a Governmental Authority so long as such ownership interest does not result in or provide such Bank with immunity from the jurisdiction of courts within the United States or from the enforcement of judgments or writs of attachment on its assets or permit such Bank (or such Governmental Authority) to reject, repudiate, disavow or disaffirm any contracts or agreements made with such Bank. Any determination by the Agent that a Bank is a Delinquent Bank under any one or more of clauses (a) through (d) above, and of the effective date of such status, shall be conclusive and binding absent manifest error, and such Bank shall be deemed to be a Delinquent Bank (subject to §5.12.2) as of the date established therefor by the Agent in a written notice of such determination, which shall be delivered by the Agent to the Borrower, each Fronting Bank and each other Bank promptly following such determination.</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Designated Jurisdiction</w:t>
      </w:r>
      <w:r>
        <w:rPr>
          <w:rFonts w:ascii="Times New Roman" w:cs="Times New Roman" w:eastAsia="Times New Roman" w:hAnsi="Times New Roman"/>
          <w:sz w:val="22"/>
          <w:szCs w:val="22"/>
          <w:color w:val="auto"/>
        </w:rPr>
        <w:t>. Any country, region or territory to the extent that such country, region or territory itself, or the government of any such country, region or territory, is the subject of any Sanction.</w:t>
      </w:r>
    </w:p>
    <w:p>
      <w:pPr>
        <w:spacing w:after="0" w:line="17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u w:val="single" w:color="auto"/>
          <w:color w:val="auto"/>
        </w:rPr>
        <w:t>Development Costs</w:t>
      </w:r>
      <w:r>
        <w:rPr>
          <w:rFonts w:ascii="Times New Roman" w:cs="Times New Roman" w:eastAsia="Times New Roman" w:hAnsi="Times New Roman"/>
          <w:sz w:val="21"/>
          <w:szCs w:val="21"/>
          <w:color w:val="auto"/>
        </w:rPr>
        <w:t xml:space="preserve">. Construction, development and/or acquisition costs relating to a Real Estate Asset Under Development,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Real Estate Assets Under Development owned by any Partially-Owned Entity, the Development Costs of such Real Estate Asset Under Development shall only be the Borrower’s pro-rata share of the Development Costs of such Real Estate Asset Under Development (based on the greater of (x) the Borrower’s percentage equity interest in such Partially-Owned Entity or (y) the Borrower’s obligation to provide funds to such Partially-Owned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286" w:right="339" w:bottom="1440" w:gutter="0" w:footer="0" w:header="0"/>
        </w:sectPr>
      </w:pPr>
    </w:p>
    <w:bookmarkStart w:id="151" w:name="page152"/>
    <w:bookmarkEnd w:id="151"/>
    <w:p>
      <w:pPr>
        <w:ind w:left="660"/>
        <w:spacing w:after="0"/>
        <w:rPr>
          <w:sz w:val="20"/>
          <w:szCs w:val="20"/>
          <w:color w:val="auto"/>
        </w:rPr>
      </w:pP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With respect to:</w:t>
      </w:r>
    </w:p>
    <w:p>
      <w:pPr>
        <w:spacing w:after="0" w:line="233" w:lineRule="exact"/>
        <w:rPr>
          <w:sz w:val="20"/>
          <w:szCs w:val="20"/>
          <w:color w:val="auto"/>
        </w:rPr>
      </w:pPr>
    </w:p>
    <w:p>
      <w:pPr>
        <w:ind w:left="1300" w:firstLine="652"/>
        <w:spacing w:after="0" w:line="271" w:lineRule="auto"/>
        <w:tabs>
          <w:tab w:leader="none" w:pos="237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any distribution of cash or other cash equivalent, directly or indirectly, to the partners of the Borrower; or any other distribution on or in respect of any partnership interests of the Borrower; and</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44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BPI, the declaration or payment of any dividend on or in respect of any shares of any class of capital stock of BPI, other than dividends payable solely in shares of common stock by BPI; the purchase, redemption, or other retirement of any shares of any class of capital stock of BPI, directly or indirectly through a Subsidiary of BPI or otherwise; the return of capital by BPI to its shareholders as such; or any other distribution on or in respect of any shares of any class of capital stock of BPI.</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Dividing Person</w:t>
      </w:r>
      <w:r>
        <w:rPr>
          <w:rFonts w:ascii="Times New Roman" w:cs="Times New Roman" w:eastAsia="Times New Roman" w:hAnsi="Times New Roman"/>
          <w:sz w:val="22"/>
          <w:szCs w:val="22"/>
          <w:color w:val="auto"/>
        </w:rPr>
        <w:t>. See definition of “Division.”</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Division</w:t>
      </w:r>
      <w:r>
        <w:rPr>
          <w:rFonts w:ascii="Times New Roman" w:cs="Times New Roman" w:eastAsia="Times New Roman" w:hAnsi="Times New Roman"/>
          <w:sz w:val="22"/>
          <w:szCs w:val="22"/>
          <w:color w:val="auto"/>
        </w:rPr>
        <w:t>. The division of the assets, liabilities and/or obligations of a Person (the “</w:t>
      </w:r>
      <w:r>
        <w:rPr>
          <w:rFonts w:ascii="Times New Roman" w:cs="Times New Roman" w:eastAsia="Times New Roman" w:hAnsi="Times New Roman"/>
          <w:sz w:val="22"/>
          <w:szCs w:val="22"/>
          <w:u w:val="single" w:color="auto"/>
          <w:color w:val="auto"/>
        </w:rPr>
        <w:t>Dividing Person</w:t>
      </w:r>
      <w:r>
        <w:rPr>
          <w:rFonts w:ascii="Times New Roman" w:cs="Times New Roman" w:eastAsia="Times New Roman" w:hAnsi="Times New Roman"/>
          <w:sz w:val="22"/>
          <w:szCs w:val="22"/>
          <w:color w:val="auto"/>
        </w:rPr>
        <w:t>”) among two or more Persons (whether pursuant to a “plan of division” or similar arrangement), which may or may not include the Dividing Person and pursuant to which the Dividing Person may or may not survive.</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Division Successor</w:t>
      </w:r>
      <w:r>
        <w:rPr>
          <w:rFonts w:ascii="Times New Roman" w:cs="Times New Roman" w:eastAsia="Times New Roman" w:hAnsi="Times New Roman"/>
          <w:sz w:val="22"/>
          <w:szCs w:val="22"/>
          <w:color w:val="auto"/>
        </w:rPr>
        <w:t>.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Dollars or $</w:t>
      </w:r>
      <w:r>
        <w:rPr>
          <w:rFonts w:ascii="Times New Roman" w:cs="Times New Roman" w:eastAsia="Times New Roman" w:hAnsi="Times New Roman"/>
          <w:sz w:val="22"/>
          <w:szCs w:val="22"/>
          <w:color w:val="auto"/>
        </w:rPr>
        <w:t>. Lawful currency of the United States of America.</w:t>
      </w:r>
    </w:p>
    <w:p>
      <w:pPr>
        <w:spacing w:after="0" w:line="22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Agent or the applicable Fronting Bank, as applicable) by the applicable Bloomberg source (or such other publicly available source for displaying exchange rates) on the date that is two (2) Business Days immediately preceding the date of determination (or if such service ceases to be available or ceases to provide such rate of exchange, the equivalent of such amount in Dollars as determined in good faith by the Agent or applicable Fronting Bank, as applicable using any method of determination it deems appropriate in its sole discretion) and (c) if such amount is denominated in any other currency, the equivalent of such amount in Dollars as determined in good faith by the Agent or the applicable Fronting Bank, as applicable, using any method of determination it deems appropriate in its sole discretion. Any determination by the Agent or the applicable Fronting Bank pursuant to clauses (b) or (c) above shall be conclusive absent manifest error.</w:t>
      </w:r>
    </w:p>
    <w:p>
      <w:pPr>
        <w:spacing w:after="0" w:line="20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Drawdown Date</w:t>
      </w:r>
      <w:r>
        <w:rPr>
          <w:rFonts w:ascii="Times New Roman" w:cs="Times New Roman" w:eastAsia="Times New Roman" w:hAnsi="Times New Roman"/>
          <w:sz w:val="22"/>
          <w:szCs w:val="22"/>
          <w:color w:val="auto"/>
        </w:rPr>
        <w:t xml:space="preserve">. The date on which (i) any Loan is made or is to be made or (ii) any Committed Loan is converted or continued in accordance with §2.5;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each case, that such date is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286" w:right="339" w:bottom="1440" w:gutter="0" w:footer="0" w:header="0"/>
        </w:sectPr>
      </w:pPr>
    </w:p>
    <w:bookmarkStart w:id="152" w:name="page153"/>
    <w:bookmarkEnd w:id="152"/>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Any (a) credit institution or investment firm established in any EEA Member Country which is subject to the supervision of an EEA Resolution Authority, (b) entity established in an EEA Member Country which is a parent of an institution described in clause (a) of this definition, or (c) financial institution established in an EEA Member Country which is a Subsidiary of an institution described in clauses (a) or (b) of this definition and is subject to consolidated supervision with its parent.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Any of the member states of the European Union, Iceland, Liechtenstein, and Norway.</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Electronic Copy</w:t>
      </w:r>
      <w:r>
        <w:rPr>
          <w:rFonts w:ascii="Times New Roman" w:cs="Times New Roman" w:eastAsia="Times New Roman" w:hAnsi="Times New Roman"/>
          <w:sz w:val="22"/>
          <w:szCs w:val="22"/>
          <w:color w:val="auto"/>
        </w:rPr>
        <w:t>. See §36.</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Electronic Record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See 15 USC §7006.</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Any of (a) a commercial bank (or similar financial institution) organized under the laws of the United States, or any State thereof or the District of Columbia, and having total assets in excess of $5,000,000,000; and (b) a commercial bank (or similar financial institution) organized under the laws of any other country (including the central bank of such country) which is a member of the Organization for Economic Cooperation and Development (the “</w:t>
      </w:r>
      <w:r>
        <w:rPr>
          <w:rFonts w:ascii="Times New Roman" w:cs="Times New Roman" w:eastAsia="Times New Roman" w:hAnsi="Times New Roman"/>
          <w:sz w:val="22"/>
          <w:szCs w:val="22"/>
          <w:u w:val="single" w:color="auto"/>
          <w:color w:val="auto"/>
        </w:rPr>
        <w:t>OECD</w:t>
      </w:r>
      <w:r>
        <w:rPr>
          <w:rFonts w:ascii="Times New Roman" w:cs="Times New Roman" w:eastAsia="Times New Roman" w:hAnsi="Times New Roman"/>
          <w:sz w:val="22"/>
          <w:szCs w:val="22"/>
          <w:color w:val="auto"/>
        </w:rPr>
        <w:t xml:space="preserve">”), or a political subdivision of any such country, and having total assets in excess of $5,000,000,000,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bank (or similar financial institution) is acting through a branch or agency located in the United States of America which, as of the effective date of any applicable assignment, maintains both (i) an investment grade rating (i.e., BBB-/Baa3 or better ) by both S&amp;P and Moody’s of its non-credit-enhanced senior unsecured long-term debt and (ii) an investment grade rating from both S&amp;P and Moody’s of its non-credit-enhanced senior unsecured short-term debt.</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Eligible Cash 1031 Proceeds</w:t>
      </w:r>
      <w:r>
        <w:rPr>
          <w:rFonts w:ascii="Times New Roman" w:cs="Times New Roman" w:eastAsia="Times New Roman" w:hAnsi="Times New Roman"/>
          <w:sz w:val="22"/>
          <w:szCs w:val="22"/>
          <w:color w:val="auto"/>
        </w:rPr>
        <w:t>. The cash proceeds held by (or on behalf of) a “qualified intermediary” from the sale of a Real Estate Asset, which proceeds are intended to be used by the qualified intermediary to acquire one or more “replacement properties” that are of “like-kind” to such Real Estate Asset in an exchange that qualifies as a tax-free exchange under Section 1031 of the Code, and no portion of which proceeds BPI, the Borrower or any of their respective Subsidiaries has the right to receive, pledge, borrow or otherwise obtain the benefits of until such time as provided under the applicable “exchange agreement” (as such terms in quotations are defined in the Treasury Regulations Section 1.1031(k) - 1(g)(4) (the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or until such exchange is terminated. Upon the cash proceeds no longer being held by the qualified intermediary pursuant to the Regulations or otherwise qualifying under the Regulations for like-kind exchange treatment, such proceeds shall cease being Eligible Cash 1031 Proceeds.</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u w:val="single" w:color="auto"/>
          <w:color w:val="auto"/>
        </w:rPr>
        <w:t>Eligible Currency</w:t>
      </w:r>
      <w:r>
        <w:rPr>
          <w:rFonts w:ascii="Times New Roman" w:cs="Times New Roman" w:eastAsia="Times New Roman" w:hAnsi="Times New Roman"/>
          <w:sz w:val="21"/>
          <w:szCs w:val="21"/>
          <w:color w:val="auto"/>
        </w:rPr>
        <w:t>. Any lawful currency other than Dollars that is readily available, freely transferable and convertible into Dollars in the international interbank market available to the Banks in such market and as to which a Dollar Equivalent may be readily calculated. If, after the designation by the Banks or any Fronting Bank, as the case may be, of any currency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287" w:right="339" w:bottom="1440" w:gutter="0" w:footer="0" w:header="0"/>
        </w:sectPr>
      </w:pPr>
    </w:p>
    <w:bookmarkStart w:id="153" w:name="page154"/>
    <w:bookmarkEnd w:id="153"/>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Alternative Currency, any change in currency controls or exchange regulations or any change in the national or international financial, political or economic conditions are imposed in the country in which such currency is issued, results in, in the reasonable opinion of the Administrative Agent (in the case of any Loans denominated, or to be denominated, in an Alternative Currency) or any such Fronting Bank (in the case of any Letter of Credit denominated, or to be denominated, in an Alternative Currency), (a) such currency no longer being readily available, freely transferable and convertible into Dollars, (b) a Dollar Equivalent no longer being readily calculable with respect to such currency, (c) the provision of such currency being impracticable for the Banks or any such Fronting Bank, as applicable, or (d) such currency no longer being a currency in which the Required Banks are willing to make such Loans or such Fronting Bank is willing to issue such Letters of Credit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Disqualifying Event</w:t>
      </w:r>
      <w:r>
        <w:rPr>
          <w:rFonts w:ascii="Times New Roman" w:cs="Times New Roman" w:eastAsia="Times New Roman" w:hAnsi="Times New Roman"/>
          <w:sz w:val="22"/>
          <w:szCs w:val="22"/>
          <w:color w:val="auto"/>
        </w:rPr>
        <w:t>”), then the Administrative Agent shall promptly notify the Banks and the Borrower, and such country’s currency shall no longer be an Alternative Currency until such time as the Disqualifying Event(s) no longer exist(s). Within five (5) Business Days after receipt of such notice from the Administrative Agent, the Borrower shall repay all Loans in such currency to which the Disqualifying Event applies or convert such Loans into the Dollar Equivalent of Loans in Dollars, subject to the other terms contained herein.</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Any employee benefit plan within the meaning of §3(3) of ERISA (including a Pension Plan), maintained or contributed to by the Borrower or BPI, as the case may be, or any ERISA Affiliate of either of them.</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See §7.18(a).</w:t>
      </w:r>
    </w:p>
    <w:p>
      <w:pPr>
        <w:spacing w:after="0" w:line="22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u w:val="single" w:color="auto"/>
          <w:color w:val="auto"/>
        </w:rPr>
        <w:t>Environmental Liability</w:t>
      </w:r>
      <w:r>
        <w:rPr>
          <w:rFonts w:ascii="Times New Roman" w:cs="Times New Roman" w:eastAsia="Times New Roman" w:hAnsi="Times New Roman"/>
          <w:sz w:val="21"/>
          <w:szCs w:val="21"/>
          <w:color w:val="auto"/>
        </w:rPr>
        <w:t>. Any liability, contingent or otherwise (including any liability for damages, costs of environmental remediation, fines, penalties or indemnities), of the Borrower or any member of the BP Group or their respective Subsidiaries directly or indirectly resulting from or based upon (a) violation of any Environmental Law, (b) the generation, use, handling, transportation, storage, treatment or disposal of any Hazardous Substances, (c) exposure to any Hazardous Substances,</w:t>
      </w:r>
    </w:p>
    <w:p>
      <w:pPr>
        <w:spacing w:after="0" w:line="1" w:lineRule="exact"/>
        <w:rPr>
          <w:sz w:val="20"/>
          <w:szCs w:val="20"/>
          <w:color w:val="auto"/>
        </w:rPr>
      </w:pPr>
    </w:p>
    <w:p>
      <w:pPr>
        <w:ind w:firstLine="8"/>
        <w:spacing w:after="0" w:line="248" w:lineRule="auto"/>
        <w:tabs>
          <w:tab w:leader="none" w:pos="32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or threatened release of any Hazardous Substances into the environment or (e) any contract, agreement or other consensual arrangement pursuant to which liability is assumed or imposed with respect to any of the foregoing.</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Environmental Reports</w:t>
      </w:r>
      <w:r>
        <w:rPr>
          <w:rFonts w:ascii="Times New Roman" w:cs="Times New Roman" w:eastAsia="Times New Roman" w:hAnsi="Times New Roman"/>
          <w:sz w:val="22"/>
          <w:szCs w:val="22"/>
          <w:color w:val="auto"/>
        </w:rPr>
        <w:t>. See §7.18</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Employee Retirement Income Security Act of 1974, as amended and in effect from time to time.</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Any trade or business (whether or not incorporated) under common control with the Borrower or BPI within the meaning of Section 414(b) or (c) of the Code (and Sections 414(m) and (o) of the Code for purposes of provisions relating to Section 412 of the Code).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ERISA Reportable Event</w:t>
      </w:r>
      <w:r>
        <w:rPr>
          <w:rFonts w:ascii="Times New Roman" w:cs="Times New Roman" w:eastAsia="Times New Roman" w:hAnsi="Times New Roman"/>
          <w:sz w:val="22"/>
          <w:szCs w:val="22"/>
          <w:color w:val="auto"/>
        </w:rPr>
        <w:t>. Any of (a) the events set forth in Section 4043(c) of ERISA with respect to a Pension Plan (other than a Multiemployer Plan or with respect to events for which the 30 day notice period has been waived); (b) the withdrawal of the Borrower or BPI, as the case may be, or any ERISA Affiliate of either of them from a Pension Plan subject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287" w:right="339" w:bottom="1440" w:gutter="0" w:footer="0" w:header="0"/>
        </w:sectPr>
      </w:pPr>
    </w:p>
    <w:bookmarkStart w:id="154" w:name="page155"/>
    <w:bookmarkEnd w:id="154"/>
    <w:p>
      <w:pPr>
        <w:jc w:val="both"/>
        <w:spacing w:after="0" w:line="260" w:lineRule="auto"/>
        <w:rPr>
          <w:sz w:val="20"/>
          <w:szCs w:val="20"/>
          <w:color w:val="auto"/>
        </w:rPr>
      </w:pPr>
      <w:r>
        <w:rPr>
          <w:rFonts w:ascii="Times New Roman" w:cs="Times New Roman" w:eastAsia="Times New Roman" w:hAnsi="Times New Roman"/>
          <w:sz w:val="21"/>
          <w:szCs w:val="21"/>
          <w:color w:val="auto"/>
        </w:rPr>
        <w:t>4063 of ERISA during a plan year in which such entity was a “substantial employer” as defined in Section 4001(a)(2) of ERISA or a cessation of operations that is treated as such a withdrawal under Section 4062(e) of ERISA; (c) a complete or partial withdrawal by the Borrower or BPI, as the case may be, or any ERISA Affiliate of either of them from a Multiemployer Plan or notification that a Multiemployer Plan is in reorganization; (d) the filing of a notice of intent to terminate or the treatment of a Pension Plan (other than a Multiemployer Plan) amendment as a termination under Section 4041 of ERISA or notification or otherwise becoming aware of a filing of a notice of intent to terminate or the treatment of a Multiemployer Plan amendment as a termination under Section 4041A of ERISA; (e) the institution by the PBGC of proceedings to terminate a Pension Plan (other than a Multiemployer Plan) or notification or otherwise becoming aware of the institution by the PBGC of proceedings to terminate a Multiemployer Plan; (f) an event or condition which constitutes grounds under Section 4042 of ERISA for the termination of, or the appointment of a trustee to administer, any Pension Plan; (g) the determination that any Pension Plan (other than a Multiemployer Plan) is considered an at-risk plan or a plan in endangered or critical status within the meaning of Section 430 of the Code or Section 303 of ERISA or notification or otherwise becoming aware that any Multiemployer Plan is considered a plan in endangered or critical status within the meaning of Sections 431 and 432 of the Code or Sections 304 and 305 of ERISA; or (h) the imposition of any liability under Title IV of ERISA, other than for PBGC premiums due but not delinquent under Section 4007 of ERISA, upon the Borrower or BPI, as the case may be, or any ERISA Affiliate of either of them.</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The EU Bail-In Legislation Schedule published by the Loan Market Association (or any successor person), as in effect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Euro and €</w:t>
      </w:r>
      <w:r>
        <w:rPr>
          <w:rFonts w:ascii="Times New Roman" w:cs="Times New Roman" w:eastAsia="Times New Roman" w:hAnsi="Times New Roman"/>
          <w:sz w:val="22"/>
          <w:szCs w:val="22"/>
          <w:color w:val="auto"/>
        </w:rPr>
        <w:t>. The single currency of the Participating Member States.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See §14.1.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Excess Value</w:t>
      </w:r>
      <w:r>
        <w:rPr>
          <w:rFonts w:ascii="Times New Roman" w:cs="Times New Roman" w:eastAsia="Times New Roman" w:hAnsi="Times New Roman"/>
          <w:sz w:val="22"/>
          <w:szCs w:val="22"/>
          <w:color w:val="auto"/>
        </w:rPr>
        <w:t>. See definition of “Consolidated Total Adjusted Asset Value”.</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Bank, its Lending Office located in, the jurisdiction imposing such Tax (or any political subdivision thereof) or (ii) that are Other Connection Taxes, (b) in the case of a Bank, U.S. federal withholding Taxes imposed on amounts payable to or for the account of such Bank with respect to an applicable interest in a Loan or Commitment pursuant to a law in effect on the date on which (i) such Bank acquires such interest in the Loan or Commitment (other than pursuant to an assignment request by the Borrower under §5.8) or (ii) such Bank changes its Lending Office, except in each case to the extent that, pursuant to §5.2(a)(ii), (a)(iii) or (c), amounts with respect to such Taxes were payable either to such Bank’s assignor immediately before such Bank became a party hereto or to such Bank immediately before it changed its Lending Office,</w:t>
      </w:r>
    </w:p>
    <w:p>
      <w:pPr>
        <w:spacing w:after="0" w:line="10" w:lineRule="exact"/>
        <w:rPr>
          <w:sz w:val="20"/>
          <w:szCs w:val="20"/>
          <w:color w:val="auto"/>
        </w:rPr>
      </w:pPr>
    </w:p>
    <w:p>
      <w:pPr>
        <w:ind w:right="20" w:firstLine="8"/>
        <w:spacing w:after="0" w:line="248" w:lineRule="auto"/>
        <w:tabs>
          <w:tab w:leader="none" w:pos="31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attributable to such Recipient’s failure to comply with §5.2(e), and (d) any U.S. federal withholding Taxes imposed pursuant to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287" w:right="339" w:bottom="1440" w:gutter="0" w:footer="0" w:header="0"/>
        </w:sectPr>
      </w:pPr>
    </w:p>
    <w:bookmarkStart w:id="155" w:name="page156"/>
    <w:bookmarkEnd w:id="155"/>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Existing Bid Rate Advances</w:t>
      </w:r>
      <w:r>
        <w:rPr>
          <w:rFonts w:ascii="Times New Roman" w:cs="Times New Roman" w:eastAsia="Times New Roman" w:hAnsi="Times New Roman"/>
          <w:sz w:val="22"/>
          <w:szCs w:val="22"/>
          <w:color w:val="auto"/>
        </w:rPr>
        <w:t>. The bid rate advances made to the Borrower under the Existing Credit Agreement and listed and described in Schedule 3 annexed hereto.</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The letters of credit issued by BOA under the Existing Credit Agreement and listed in Schedule 2 annexed 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Facilities</w:t>
      </w:r>
      <w:r>
        <w:rPr>
          <w:rFonts w:ascii="Times New Roman" w:cs="Times New Roman" w:eastAsia="Times New Roman" w:hAnsi="Times New Roman"/>
          <w:sz w:val="22"/>
          <w:szCs w:val="22"/>
          <w:color w:val="auto"/>
        </w:rPr>
        <w:t>. The Total Revolving Credit Commitments and each Incremental Term Loan Facility.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Facility Fee</w:t>
      </w:r>
      <w:r>
        <w:rPr>
          <w:rFonts w:ascii="Times New Roman" w:cs="Times New Roman" w:eastAsia="Times New Roman" w:hAnsi="Times New Roman"/>
          <w:sz w:val="22"/>
          <w:szCs w:val="22"/>
          <w:color w:val="auto"/>
        </w:rPr>
        <w:t>. See §2.3(f).</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u w:val="single" w:color="auto"/>
          <w:color w:val="auto"/>
        </w:rPr>
        <w:t>Fair Market Value of Real Estate Assets</w:t>
      </w:r>
      <w:r>
        <w:rPr>
          <w:rFonts w:ascii="Times New Roman" w:cs="Times New Roman" w:eastAsia="Times New Roman" w:hAnsi="Times New Roman"/>
          <w:sz w:val="21"/>
          <w:szCs w:val="21"/>
          <w:color w:val="auto"/>
        </w:rPr>
        <w:t xml:space="preserve">. As of any date of determination, the sum of (A) with respect to Real Estate Assets other than hotel properties, an amount equal to (i)(x) Consolidated EBITDA attributable to such properties for the most recent one (1) complete fiscal quarter,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(y) $.0625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the aggregate square footage of all Real Estate Assets other than hotel properties at such date;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(ii) 4; with the product being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(iii) the Capitalization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with respect to Real Estate Assets which are hotel properties, an amount equal to (i)(x) Consolidated EBITDA attributable to such properties for the most recent four (4) consecutive complete fiscal quarters,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(y) the respective Annualized Capital Expenditure for each of the hotel properties; divided by (ii) the Capitalization Rate. Notwithstanding the foregoing, (a) with respect to a Real Estate Asset that was a Real Estate Asset Under Development and for which the Borrower has received a certificate of occupancy or such Real Estate Asset may otherwise be lawfully occupied for its intended use, the Borrower may calculate the Fair Market Value of Real Estate Assets of such Real Estate Asset either in the manner set forth in this definition above or at the cost basis value for a period of twelve (12) months after the issuance of the certificate of occupancy or such Real Estate Asset may otherwise be lawfully occupied for its intended use, (b) with respect to a Real Estate Asset (not a Real Estate Asset Under Development) acquired by the Borrower after the date hereof, the Borrower may calculate the Fair Market Value of Real Estate Assets of such Real Estate Asset either in the manner set forth in this definition above or at the cost basis value for a period of eighteen (18) months after the date of acquisition by the Borrower, and (c) with respect to any Real Estate Asset which is an individual residential condominium unit that is being offered for sale by the Borrower, such individual residential condominium unit will be valued at its cost basis value, except that (i) with respect to a CBD Property acquired by the Borrower after the date hereof, such CBD Property will be valued at its cost basis value for a period of twenty-four (24) months after the date of acquisition by the Borrower, and (ii) with respect to the Real Estate Assets known and numbered as (I) the GM Building, 767 Fifth Avenue, New York, New York, (II) 510 Madison Avenue, New York, New York, and (III) the John Hancock Tower and Garage, 100 and 200 Clarendon Street, Boston, Massachusetts, solely for the purposes of calculating Consolidated Total Adjusted Asset Value and Consolidated Unencumbered Asset Value, such Real Estate Assets shall be valued at the greater of (x) the amount calculated in the manner set forth in the first sentence of this definition and (y) the cost basis value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FASB ASC</w:t>
      </w:r>
      <w:r>
        <w:rPr>
          <w:rFonts w:ascii="Times New Roman" w:cs="Times New Roman" w:eastAsia="Times New Roman" w:hAnsi="Times New Roman"/>
          <w:sz w:val="22"/>
          <w:szCs w:val="22"/>
          <w:color w:val="auto"/>
        </w:rPr>
        <w:t>. The Accounting Standards Codification of the Financial Accounting Standards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287" w:right="339" w:bottom="1440" w:gutter="0" w:footer="0" w:header="0"/>
        </w:sectPr>
      </w:pPr>
    </w:p>
    <w:bookmarkStart w:id="156" w:name="page157"/>
    <w:bookmarkEnd w:id="156"/>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Federal Funds Rate as so determined would be less than zero, such rate shall be deemed to be zero for purposes of the Loan Documents.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The letter agreement, dated April 6, 2021, among the Borrower, the Agent and the Arrangers.</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That certain First Amendment to Ninth Amended and Restated Credit Agreement, dated as of June 1, 2023, among the Borrower, the Guarantor, the Banks, the Fronting Banks and the Administrative Agent.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First Amendment Effective Date</w:t>
      </w:r>
      <w:r>
        <w:rPr>
          <w:rFonts w:ascii="Times New Roman" w:cs="Times New Roman" w:eastAsia="Times New Roman" w:hAnsi="Times New Roman"/>
          <w:sz w:val="22"/>
          <w:szCs w:val="22"/>
          <w:color w:val="auto"/>
        </w:rPr>
        <w:t>. June 1, 2023.</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First Amendment Effective Date Agreement</w:t>
      </w:r>
      <w:r>
        <w:rPr>
          <w:rFonts w:ascii="Times New Roman" w:cs="Times New Roman" w:eastAsia="Times New Roman" w:hAnsi="Times New Roman"/>
          <w:sz w:val="22"/>
          <w:szCs w:val="22"/>
          <w:color w:val="auto"/>
        </w:rPr>
        <w:t>. This Agreement, as in effect immediately prior to the First Amendment becoming effective on the First Amendment Effective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Fitch, Inc., and its successors.</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(a) if the Borrower is a U.S. Person, a Bank that is not a U.S. Person, and (b) if the Borrower is not a U.S. Person, a Bank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6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u w:val="single" w:color="auto"/>
          <w:color w:val="auto"/>
        </w:rPr>
        <w:t>Fronting Bank</w:t>
      </w:r>
      <w:r>
        <w:rPr>
          <w:rFonts w:ascii="Times New Roman" w:cs="Times New Roman" w:eastAsia="Times New Roman" w:hAnsi="Times New Roman"/>
          <w:sz w:val="22"/>
          <w:szCs w:val="22"/>
          <w:color w:val="auto"/>
        </w:rPr>
        <w:t xml:space="preserve">. Each of BOA, JPChase and each other Bank as the Borrower may identify in accordance with §3.1.5;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Bank has agreed to be a Fronting Bank;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for so long as any Existing Letter of Credit remains outstanding hereunder, the issuer of such Existing Letter of Credit shall continue to be the Fronting Bank with respect to such Existing Letter of Credit. Any Fronting Bank may, in its discretion, arrange for one or more Letters of Credit to be issued by Affiliates of such Fronting Bank, in which case the term “Fronting Bank” shall include any such Affiliate with respect to Letters of Credit issued by such Affiliate. Each reference herein to the “Fronting Bank” in connection with a Letter of Credit or other matter shall be deemed to be a reference to the relevant Fronting Bank with respect thereto.</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At any time there is a Delinquent Bank, such Delinquent Bank’s Commitment Percentage (based upon such Delinquent Bank’s percentage of the Total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287" w:right="339" w:bottom="1440" w:gutter="0" w:footer="0" w:header="0"/>
        </w:sectPr>
      </w:pPr>
    </w:p>
    <w:bookmarkStart w:id="157" w:name="page158"/>
    <w:bookmarkEnd w:id="157"/>
    <w:p>
      <w:pPr>
        <w:jc w:val="both"/>
        <w:spacing w:after="0" w:line="263" w:lineRule="auto"/>
        <w:rPr>
          <w:sz w:val="20"/>
          <w:szCs w:val="20"/>
          <w:color w:val="auto"/>
        </w:rPr>
      </w:pPr>
      <w:r>
        <w:rPr>
          <w:rFonts w:ascii="Times New Roman" w:cs="Times New Roman" w:eastAsia="Times New Roman" w:hAnsi="Times New Roman"/>
          <w:sz w:val="22"/>
          <w:szCs w:val="22"/>
          <w:color w:val="auto"/>
        </w:rPr>
        <w:t>Credit Commitment) of the Outstanding Amount of all outstanding Letter of Credit Obligations other than Letter of Credit Obligations as to which such Delinquent Bank’s participation obligation has been reallocated to other Banks or Cash Collateralized in accordance with the terms hereof.</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Any Person (other than a natural Person) that is (or will be) engaged in making, purchasing, holding or otherwise investing in commercial loans and similar extensions of credit in the ordinary course of its activities.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Generally accepted accounting principles in the United States of America consistently applied.</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Hazardous Substances</w:t>
      </w:r>
      <w:r>
        <w:rPr>
          <w:rFonts w:ascii="Times New Roman" w:cs="Times New Roman" w:eastAsia="Times New Roman" w:hAnsi="Times New Roman"/>
          <w:sz w:val="22"/>
          <w:szCs w:val="22"/>
          <w:color w:val="auto"/>
        </w:rPr>
        <w:t>. See §7.18(b).</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International accounting standards within the meaning of International Accounting Standards Regulation 1606/2002 of the European Parliament and the Council of the European Union to the extent applicable to the relevant financial statements delivered under or referred to herein.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Increase</w:t>
      </w:r>
      <w:r>
        <w:rPr>
          <w:rFonts w:ascii="Times New Roman" w:cs="Times New Roman" w:eastAsia="Times New Roman" w:hAnsi="Times New Roman"/>
          <w:sz w:val="22"/>
          <w:szCs w:val="22"/>
          <w:color w:val="auto"/>
        </w:rPr>
        <w:t>. See §2.10.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Increase Conditions</w:t>
      </w:r>
      <w:r>
        <w:rPr>
          <w:rFonts w:ascii="Times New Roman" w:cs="Times New Roman" w:eastAsia="Times New Roman" w:hAnsi="Times New Roman"/>
          <w:sz w:val="22"/>
          <w:szCs w:val="22"/>
          <w:color w:val="auto"/>
        </w:rPr>
        <w:t>. The satisfaction of each of the following:</w:t>
      </w:r>
    </w:p>
    <w:p>
      <w:pPr>
        <w:spacing w:after="0" w:line="220" w:lineRule="exact"/>
        <w:rPr>
          <w:sz w:val="20"/>
          <w:szCs w:val="20"/>
          <w:color w:val="auto"/>
        </w:rPr>
      </w:pPr>
    </w:p>
    <w:p>
      <w:pPr>
        <w:jc w:val="both"/>
        <w:ind w:left="1300" w:firstLine="652"/>
        <w:spacing w:after="0" w:line="239" w:lineRule="auto"/>
        <w:tabs>
          <w:tab w:leader="none" w:pos="246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(both before and after giving effect to the Increase) and all representations and warranties contained in the Loan Documents (other than the representations in §7.5 and §7.14, which shall be made only as of the Closing Date) shall be true and correct as of the effective date of the Increase (except (i) to the extent of changes resulting from transactions contemplated or not prohibited by this Agreement or the other Loan Documents and changes occurring in the ordinary course of business, (ii) to the extent that such representations and warranties relate expressly to an earlier date and (iii) to the extent otherwise represented by the Borrower with respect to the representation set forth in §7.10);</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58" w:lineRule="auto"/>
        <w:tabs>
          <w:tab w:leader="none" w:pos="2425"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Incremental Revolving Increases shall be extended on the same terms and conditions applicable to the other Revolving Credit Loans, and all incremental commitments and loans provided as part of an Incremental Term Loan Facility shall, subject to clauses (i) and (ii) of the second proviso to §28, be on terms agreed to by the Borrower and the Banks providing such Incremental Term Loan Facility,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the terms of such Incremental Term Loan Facility (other than final maturity) are not the same as the terms of a then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287" w:right="339" w:bottom="1440" w:gutter="0" w:footer="0" w:header="0"/>
        </w:sectPr>
      </w:pPr>
    </w:p>
    <w:bookmarkStart w:id="158" w:name="page159"/>
    <w:bookmarkEnd w:id="158"/>
    <w:p>
      <w:pPr>
        <w:ind w:left="1300"/>
        <w:spacing w:after="0" w:line="271" w:lineRule="auto"/>
        <w:rPr>
          <w:sz w:val="20"/>
          <w:szCs w:val="20"/>
          <w:color w:val="auto"/>
        </w:rPr>
      </w:pPr>
      <w:r>
        <w:rPr>
          <w:rFonts w:ascii="Times New Roman" w:cs="Times New Roman" w:eastAsia="Times New Roman" w:hAnsi="Times New Roman"/>
          <w:sz w:val="22"/>
          <w:szCs w:val="22"/>
          <w:color w:val="auto"/>
        </w:rPr>
        <w:t>Incremental Term Loan Facility, the operational, technical and administrative provisions of such Incremental Term Loan Facility shall be on terms reasonably acceptable to the Agent;</w:t>
      </w:r>
    </w:p>
    <w:p>
      <w:pPr>
        <w:spacing w:after="0" w:line="144" w:lineRule="exact"/>
        <w:rPr>
          <w:sz w:val="20"/>
          <w:szCs w:val="20"/>
          <w:color w:val="auto"/>
        </w:rPr>
      </w:pPr>
    </w:p>
    <w:p>
      <w:pPr>
        <w:jc w:val="both"/>
        <w:ind w:left="1300" w:firstLine="652"/>
        <w:spacing w:after="0" w:line="239" w:lineRule="auto"/>
        <w:tabs>
          <w:tab w:leader="none" w:pos="245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Agent shall have received written confirmation from each existing Bank, if any, participating in such Increase of the amount by which its Commitments and/or Loans, as applicable, will be increased and (ii) to the extent any portion of the Increase is committed to by a third party financial institution or institutions not already a Bank hereunder, such financial institution shall be approved by the Agent (such approval not to be unreasonably withheld or delayed) and the Agent shall have received a joinder agreement in form and substance reasonably satisfactory to the Agent and its counsel (a “</w:t>
      </w:r>
      <w:r>
        <w:rPr>
          <w:rFonts w:ascii="Times New Roman" w:cs="Times New Roman" w:eastAsia="Times New Roman" w:hAnsi="Times New Roman"/>
          <w:sz w:val="22"/>
          <w:szCs w:val="22"/>
          <w:u w:val="single" w:color="auto"/>
          <w:color w:val="auto"/>
        </w:rPr>
        <w:t>New Lender Joinder Agreement</w:t>
      </w:r>
      <w:r>
        <w:rPr>
          <w:rFonts w:ascii="Times New Roman" w:cs="Times New Roman" w:eastAsia="Times New Roman" w:hAnsi="Times New Roman"/>
          <w:sz w:val="22"/>
          <w:szCs w:val="22"/>
          <w:color w:val="auto"/>
        </w:rPr>
        <w:t>”) duly executed by the Borrower and each such financial institution, which New Lender Joinder Agreement shall, in order to become effective, be acknowledged and consented to in writing by the Agent, and, if such financial institution is becoming a Revolving Credit Bank, by the Fronting Banks, and the Borrower shall provide Notes to such financial institution, if requested;</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7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to the Arrangers, for their own account, and to the Agent, for its own account and for the benefit of the Banks providing such Increase, such fees as are determined at the time of such Increase.</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43" w:lineRule="auto"/>
        <w:tabs>
          <w:tab w:leader="none" w:pos="24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reasonable request of any Bank or potential Bank, the Borrower shall have provided to such Bank or potential Bank, and such Bank or potential Bank shall be reasonably satisfied with, the documentation and other information so requested in connection with applicable “know your customer” and anti-money laundering rules and regulations, including the Acts and the Beneficial Ownership Regulation (including a Beneficial Ownership Certification); and</w:t>
      </w:r>
    </w:p>
    <w:p>
      <w:pPr>
        <w:spacing w:after="0" w:line="177" w:lineRule="exact"/>
        <w:rPr>
          <w:rFonts w:ascii="Times New Roman" w:cs="Times New Roman" w:eastAsia="Times New Roman" w:hAnsi="Times New Roman"/>
          <w:sz w:val="22"/>
          <w:szCs w:val="22"/>
          <w:color w:val="auto"/>
        </w:rPr>
      </w:pPr>
    </w:p>
    <w:p>
      <w:pPr>
        <w:jc w:val="both"/>
        <w:ind w:left="1300" w:firstLine="652"/>
        <w:spacing w:after="0" w:line="243" w:lineRule="auto"/>
        <w:tabs>
          <w:tab w:leader="none" w:pos="25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the Agent, the Agent shall have received a customary opinion of counsel to the Borrower and BPI (which counsel shall be reasonably acceptable to Agent), addressed to the Agent, the Fronting Banks and the Banks, in form and substance reasonably satisfactory to the Agent (it being acknowledged that any opinion that is delivered by the same counsel and is similar in scope to that delivered at Closing pursuant to §12.8 shall be deemed acceptable for all purposes hereunder).</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Incremental Revolving Increase</w:t>
      </w:r>
      <w:r>
        <w:rPr>
          <w:rFonts w:ascii="Times New Roman" w:cs="Times New Roman" w:eastAsia="Times New Roman" w:hAnsi="Times New Roman"/>
          <w:sz w:val="22"/>
          <w:szCs w:val="22"/>
          <w:color w:val="auto"/>
        </w:rPr>
        <w:t>. See §2.10.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Incremental Term Loan</w:t>
      </w:r>
      <w:r>
        <w:rPr>
          <w:rFonts w:ascii="Times New Roman" w:cs="Times New Roman" w:eastAsia="Times New Roman" w:hAnsi="Times New Roman"/>
          <w:sz w:val="22"/>
          <w:szCs w:val="22"/>
          <w:color w:val="auto"/>
        </w:rPr>
        <w:t>. An advance made by any Bank under an Incremental Term Loan Facility.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Incremental Term Loan Facility</w:t>
      </w:r>
      <w:r>
        <w:rPr>
          <w:rFonts w:ascii="Times New Roman" w:cs="Times New Roman" w:eastAsia="Times New Roman" w:hAnsi="Times New Roman"/>
          <w:sz w:val="22"/>
          <w:szCs w:val="22"/>
          <w:color w:val="auto"/>
        </w:rPr>
        <w:t>. See §2.10.</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Incremental Term Loan Facility Documents</w:t>
      </w:r>
      <w:r>
        <w:rPr>
          <w:rFonts w:ascii="Times New Roman" w:cs="Times New Roman" w:eastAsia="Times New Roman" w:hAnsi="Times New Roman"/>
          <w:sz w:val="22"/>
          <w:szCs w:val="22"/>
          <w:color w:val="auto"/>
        </w:rPr>
        <w:t>. With respect to any Incremental Term Loan Facility, each agreement, instrument and other document evidencing or otherwise relating to such Incremental Term Loan Facility, including any applicable New Lender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273" w:right="339" w:bottom="1440" w:gutter="0" w:footer="0" w:header="0"/>
        </w:sectPr>
      </w:pPr>
    </w:p>
    <w:bookmarkStart w:id="159" w:name="page160"/>
    <w:bookmarkEnd w:id="159"/>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Incremental Term Loan(s)</w:t>
      </w:r>
      <w:r>
        <w:rPr>
          <w:rFonts w:ascii="Times New Roman" w:cs="Times New Roman" w:eastAsia="Times New Roman" w:hAnsi="Times New Roman"/>
          <w:sz w:val="22"/>
          <w:szCs w:val="22"/>
          <w:color w:val="auto"/>
        </w:rPr>
        <w:t>. Each and every term loan made or to be made by the Banks to the Borrower pursuant to §2.1(b).</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Incremental Term Notes</w:t>
      </w:r>
      <w:r>
        <w:rPr>
          <w:rFonts w:ascii="Times New Roman" w:cs="Times New Roman" w:eastAsia="Times New Roman" w:hAnsi="Times New Roman"/>
          <w:sz w:val="22"/>
          <w:szCs w:val="22"/>
          <w:color w:val="auto"/>
        </w:rPr>
        <w:t>. Collectively, the separate promissory notes of the Borrower in favor of each Term Bank that has requested a promissory note pursuant to §2.2 evidencing Incremental Term Loans made by such Term Bank in form and substance satisfactory to such Term Bank, as each of such notes may be amended and/or restated from time to time.</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All of the following obligations without duplication: (a) the Obligations to the extent outstanding from time to time; (b) all debt and similar monetary obligations for borrowed money, whether direct or indirect; (c) all other liabilities for borrowed money secured by any Lien existing on property owned or acquired subject thereto, whether or not the liability secured thereby shall have been assumed; (d) reimbursement obligations for letters of credit; and (e) all guarantees, endorsements and other contingent obligations for or in connection with borrowed money whether direct or indirect in respect of indebtedness or obligations of others.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(a) Taxes, other than Excluded Taxes, imposed on or with respect to any payment made by or on account of any obligation of the Borrower under any Loan Document and (b) to the extent not otherwise described in (a), Other Taxes.</w:t>
      </w:r>
    </w:p>
    <w:p>
      <w:pPr>
        <w:spacing w:after="0" w:line="173"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u w:val="single" w:color="auto"/>
          <w:color w:val="auto"/>
        </w:rPr>
        <w:t>Index Rate Bid Margin</w:t>
      </w:r>
      <w:r>
        <w:rPr>
          <w:rFonts w:ascii="Times New Roman" w:cs="Times New Roman" w:eastAsia="Times New Roman" w:hAnsi="Times New Roman"/>
          <w:sz w:val="22"/>
          <w:szCs w:val="22"/>
          <w:color w:val="auto"/>
        </w:rPr>
        <w:t>. The margin above or below the Alternative Currency Term Rate, Alternative Currency Daily Rate or Term SOFR to be added to or subtracted from such rate, which margin shall be expressed in multiples of 1/100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one basis point.</w:t>
      </w:r>
    </w:p>
    <w:p>
      <w:pPr>
        <w:spacing w:after="0" w:line="19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Index Rate Loan</w:t>
      </w:r>
      <w:r>
        <w:rPr>
          <w:rFonts w:ascii="Times New Roman" w:cs="Times New Roman" w:eastAsia="Times New Roman" w:hAnsi="Times New Roman"/>
          <w:sz w:val="22"/>
          <w:szCs w:val="22"/>
          <w:color w:val="auto"/>
        </w:rPr>
        <w:t>. A Bid Rate Loan that bears interest at a rate based on an Alternative Currency Term Rate, an Alternative Currency Daily Rate or Term SOFR.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Initial Financial Statements</w:t>
      </w:r>
      <w:r>
        <w:rPr>
          <w:rFonts w:ascii="Times New Roman" w:cs="Times New Roman" w:eastAsia="Times New Roman" w:hAnsi="Times New Roman"/>
          <w:sz w:val="22"/>
          <w:szCs w:val="22"/>
          <w:color w:val="auto"/>
        </w:rPr>
        <w:t>. See §7.4.</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As to any Base Rate Loan, Daily SOFR Loan and Alternative Currency Daily Rate Loan, the last day of any calendar month in which such Loan is outstanding and the Maturity Date of the Facility under which such Loan was made. As to any Term SOFR Loan and Alternative Currency Term Rate Loan, the last day of the applicable Interest Period and when such Loan is due and payable (whether at stated maturity, by acceleration or otherwise), and if such Interest Period is longer than three months, at intervals of three months after the first day thereof and the Maturity Date of the Facility under which such Loan was made.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With respect to (a) each Term Rate Loan, the period commencing on the Drawdown Date of such Loan and ending on the date one (1), three (3) or six (6) months thereafter (in each case, subject to availability for the interest rate applicable to the relevant currency for such period), as selected by the Borrower in its Completed Loan Request or Bid Rate Advance Borrowing Notice, as the case may be; and (b) each Absolute Rate Loan, a period of not less than 1 day and not more than 180 days as selected by the Borrower in its Bid Rate Advance Borrowing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1" w:lineRule="exact"/>
        <w:rPr>
          <w:sz w:val="20"/>
          <w:szCs w:val="20"/>
          <w:color w:val="auto"/>
        </w:rPr>
      </w:pPr>
    </w:p>
    <w:p>
      <w:pPr>
        <w:ind w:left="660" w:firstLine="644"/>
        <w:spacing w:after="0" w:line="258" w:lineRule="auto"/>
        <w:tabs>
          <w:tab w:leader="none" w:pos="188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in the case of a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273" w:right="339" w:bottom="1440" w:gutter="0" w:footer="0" w:header="0"/>
        </w:sectPr>
      </w:pPr>
    </w:p>
    <w:bookmarkStart w:id="160" w:name="page161"/>
    <w:bookmarkEnd w:id="160"/>
    <w:p>
      <w:pPr>
        <w:ind w:left="660"/>
        <w:spacing w:after="0" w:line="271" w:lineRule="auto"/>
        <w:rPr>
          <w:sz w:val="20"/>
          <w:szCs w:val="20"/>
          <w:color w:val="auto"/>
        </w:rPr>
      </w:pPr>
      <w:r>
        <w:rPr>
          <w:rFonts w:ascii="Times New Roman" w:cs="Times New Roman" w:eastAsia="Times New Roman" w:hAnsi="Times New Roman"/>
          <w:sz w:val="22"/>
          <w:szCs w:val="22"/>
          <w:color w:val="auto"/>
        </w:rPr>
        <w:t>Rate Loan, such Business Day falls in another calendar month, in which case such Interest Period shall end on the next preceding Business Day;</w:t>
      </w:r>
    </w:p>
    <w:p>
      <w:pPr>
        <w:spacing w:after="0" w:line="158" w:lineRule="exact"/>
        <w:rPr>
          <w:sz w:val="20"/>
          <w:szCs w:val="20"/>
          <w:color w:val="auto"/>
        </w:rPr>
      </w:pPr>
    </w:p>
    <w:p>
      <w:pPr>
        <w:jc w:val="both"/>
        <w:ind w:left="660" w:firstLine="644"/>
        <w:spacing w:after="0" w:line="257" w:lineRule="auto"/>
        <w:tabs>
          <w:tab w:leader="none" w:pos="182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pertaining to a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92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Term Rate Loan denominated in Canadian Dollars, only Interest Periods of one (1) month and three (3) months will be available; and</w:t>
      </w:r>
    </w:p>
    <w:p>
      <w:pPr>
        <w:spacing w:after="0" w:line="157"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 of the Facility under which such Loan was made.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u w:val="single" w:color="auto"/>
          <w:color w:val="auto"/>
        </w:rPr>
        <w:t>Investments</w:t>
      </w:r>
      <w:r>
        <w:rPr>
          <w:rFonts w:ascii="Times New Roman" w:cs="Times New Roman" w:eastAsia="Times New Roman" w:hAnsi="Times New Roman"/>
          <w:sz w:val="21"/>
          <w:szCs w:val="21"/>
          <w:color w:val="auto"/>
        </w:rPr>
        <w:t>. All expenditures made and all liabilities incurred (contingently or otherwise, but without double-counting):</w:t>
      </w:r>
    </w:p>
    <w:p>
      <w:pPr>
        <w:spacing w:after="0" w:line="41" w:lineRule="exact"/>
        <w:rPr>
          <w:sz w:val="20"/>
          <w:szCs w:val="20"/>
          <w:color w:val="auto"/>
        </w:rPr>
      </w:pPr>
    </w:p>
    <w:p>
      <w:pPr>
        <w:jc w:val="both"/>
        <w:ind w:firstLine="8"/>
        <w:spacing w:after="0" w:line="246" w:lineRule="auto"/>
        <w:tabs>
          <w:tab w:leader="none" w:pos="29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acquisition of stock, partnership or other equity interests or for the acquisition of Indebtedness of, or for loans, advances, capital contributions or transfers of property to, any Person (excluding the repurchase or redemption of its equity interests by BPI or BPLP or any of their respective Subsidiaries, which shall in all events be permitted without restriction); (ii) in connection with Real Estate Assets Under Development; and (iii) for the acquisition of any other obligations of any Person. In determining the aggregate amount of Investments outstanding at any particular time: (a) there shall be included as an Investment all interest accrued with respect to Indebtedness constituting an Investment unless and until such interest is paid; (b) there shall be deducted in respect of each such Investment any amount received as a return of capital (but only by repurchase, redemption, retirement, repayment, liquidating dividend or liquidating distribution); (c) there shall not be deducted in respect of any Investment any amounts received as earnings on such Investment, whether as dividends, interest or otherwise, except that accrued interest included as provided in the foregoing clause (a) may be deducted when paid; and (d) there shall not be deducted from the aggregate amount of Investments any decrease in the value thereof.</w:t>
      </w:r>
    </w:p>
    <w:p>
      <w:pPr>
        <w:spacing w:after="0" w:line="20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ISP</w:t>
      </w:r>
      <w:r>
        <w:rPr>
          <w:rFonts w:ascii="Times New Roman" w:cs="Times New Roman" w:eastAsia="Times New Roman" w:hAnsi="Times New Roman"/>
          <w:sz w:val="22"/>
          <w:szCs w:val="22"/>
          <w:color w:val="auto"/>
        </w:rPr>
        <w:t>. With respect to any Letter of Credit, the “International Standby Practices 1998” published by the International Chamber of Commerce Publication No. 590 (or such later version thereof as may be in effect at the time of issuance).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Issuer Documents</w:t>
      </w:r>
      <w:r>
        <w:rPr>
          <w:rFonts w:ascii="Times New Roman" w:cs="Times New Roman" w:eastAsia="Times New Roman" w:hAnsi="Times New Roman"/>
          <w:sz w:val="22"/>
          <w:szCs w:val="22"/>
          <w:color w:val="auto"/>
        </w:rPr>
        <w:t>. With respect to any Letter of Credit, the Letter of Credit Application, and any other document, agreement and instrument entered into by the applicable Fronting Bank and the Borrower or in favor of such Fronting Bank and relating to such Letter of Credit.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JPChase</w:t>
      </w:r>
      <w:r>
        <w:rPr>
          <w:rFonts w:ascii="Times New Roman" w:cs="Times New Roman" w:eastAsia="Times New Roman" w:hAnsi="Times New Roman"/>
          <w:sz w:val="22"/>
          <w:szCs w:val="22"/>
          <w:color w:val="auto"/>
        </w:rPr>
        <w:t>. See the preamble hereto.</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Collectively, as and to the extent applicable,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(but only to the extent that any such request is applied to the Borrower in a non-discriminatory manner, as determined in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273" w:right="339" w:bottom="1440" w:gutter="0" w:footer="0" w:header="0"/>
        </w:sectPr>
      </w:pPr>
    </w:p>
    <w:bookmarkStart w:id="161" w:name="page162"/>
    <w:bookmarkEnd w:id="161"/>
    <w:p>
      <w:pPr>
        <w:jc w:val="both"/>
        <w:spacing w:after="0" w:line="309" w:lineRule="auto"/>
        <w:rPr>
          <w:sz w:val="20"/>
          <w:szCs w:val="20"/>
          <w:color w:val="auto"/>
        </w:rPr>
      </w:pPr>
      <w:r>
        <w:rPr>
          <w:rFonts w:ascii="Times New Roman" w:cs="Times New Roman" w:eastAsia="Times New Roman" w:hAnsi="Times New Roman"/>
          <w:sz w:val="21"/>
          <w:szCs w:val="21"/>
          <w:color w:val="auto"/>
        </w:rPr>
        <w:t>faith by the Agent without any obligation to disclose the identity of any other borrower or credit facility), licenses, authorizations and permits of, and agreements with, any Governmental Authority, in each case whether or not having the force of law.</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L/C Statement</w:t>
      </w:r>
      <w:r>
        <w:rPr>
          <w:rFonts w:ascii="Times New Roman" w:cs="Times New Roman" w:eastAsia="Times New Roman" w:hAnsi="Times New Roman"/>
          <w:sz w:val="22"/>
          <w:szCs w:val="22"/>
          <w:color w:val="auto"/>
        </w:rPr>
        <w:t>. See §3.7.</w:t>
      </w:r>
    </w:p>
    <w:p>
      <w:pPr>
        <w:spacing w:after="0" w:line="22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u w:val="single" w:color="auto"/>
          <w:color w:val="auto"/>
        </w:rPr>
        <w:t>Leases</w:t>
      </w:r>
      <w:r>
        <w:rPr>
          <w:rFonts w:ascii="Times New Roman" w:cs="Times New Roman" w:eastAsia="Times New Roman" w:hAnsi="Times New Roman"/>
          <w:sz w:val="21"/>
          <w:szCs w:val="21"/>
          <w:color w:val="auto"/>
        </w:rPr>
        <w:t>. Leases, licenses and agreements, whether written or oral, relating to the use or occupation of space in or on the Buildings or on the Real Estate Assets by Persons other than BPI, the Borrower, their Subsidiaries or any Partially-Owned Entity.</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As to any Bank, the office or offices of such Bank described as such in such Bank’s Administrative Questionnaire, or such other office or offices in the continental United States as a Bank may from time to time notify the Borrower and the Agent which office may include any Affiliate of such Bank or any domestic or foreign branch of such Bank or such Affiliate. Unless the context otherwise requires each reference to a Bank shall include its applicable Lending Office.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See §3.1.1.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See §3.1.1.</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Letter of Credit Commitment</w:t>
      </w:r>
      <w:r>
        <w:rPr>
          <w:rFonts w:ascii="Times New Roman" w:cs="Times New Roman" w:eastAsia="Times New Roman" w:hAnsi="Times New Roman"/>
          <w:sz w:val="22"/>
          <w:szCs w:val="22"/>
          <w:color w:val="auto"/>
        </w:rPr>
        <w:t>. With respect to each Fronting Bank, the commitment of such Fronting Bank to issue Letters of Credit hereunder. The initial amount of each Fronting Bank’s Letter of Credit Commitment is set forth on Schedule 1, or if a Fronting Bank has entered into an Assignment and Assumption or has otherwise assumed a Letter of Credit Commitment after the Closing Date, the amount set forth for such Fronting Bank as its Letter of Credit Commitment in the Register maintained by the Agent. The Letter of Credit Commitment of a Fronting Bank may be modified from time to time by agreement between such Fronting Bank and the Borrower, and notified to the Agent.</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Letter of Credit Expiration Date</w:t>
      </w:r>
      <w:r>
        <w:rPr>
          <w:rFonts w:ascii="Times New Roman" w:cs="Times New Roman" w:eastAsia="Times New Roman" w:hAnsi="Times New Roman"/>
          <w:sz w:val="22"/>
          <w:szCs w:val="22"/>
          <w:color w:val="auto"/>
        </w:rPr>
        <w:t>. The date that is one (1) year after the Scheduled Maturity Date (or, if such day is not a Business Day, the next preceding Business Day).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See §3.6.</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u w:val="single" w:color="auto"/>
          <w:color w:val="auto"/>
        </w:rPr>
        <w:t>Letter of Credit Obligations</w:t>
      </w:r>
      <w:r>
        <w:rPr>
          <w:rFonts w:ascii="Times New Roman" w:cs="Times New Roman" w:eastAsia="Times New Roman" w:hAnsi="Times New Roman"/>
          <w:sz w:val="21"/>
          <w:szCs w:val="21"/>
          <w:color w:val="auto"/>
        </w:rPr>
        <w:t>. As at any date of determination, the maximum aggregate amount available to be drawn under all outstanding Letters of Credit plus the aggregate amount of all Reimbursement Obligations.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 and each Revolving Credit Bank shall remain in full force and effect until the Fronting Banks and the Banks shall have no further obligations to make any payments or disbursements under any circumstances with respect to any Letter of Credit.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Letter of Credit Participation</w:t>
      </w:r>
      <w:r>
        <w:rPr>
          <w:rFonts w:ascii="Times New Roman" w:cs="Times New Roman" w:eastAsia="Times New Roman" w:hAnsi="Times New Roman"/>
          <w:sz w:val="22"/>
          <w:szCs w:val="22"/>
          <w:color w:val="auto"/>
        </w:rPr>
        <w:t>. See §3.1.4.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287" w:right="339" w:bottom="1440" w:gutter="0" w:footer="0" w:header="0"/>
        </w:sectPr>
      </w:pPr>
    </w:p>
    <w:bookmarkStart w:id="162" w:name="page163"/>
    <w:bookmarkEnd w:id="162"/>
    <w:p>
      <w:pPr>
        <w:jc w:val="both"/>
        <w:ind w:right="20"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Letter of Credit Sublimit</w:t>
      </w:r>
      <w:r>
        <w:rPr>
          <w:rFonts w:ascii="Times New Roman" w:cs="Times New Roman" w:eastAsia="Times New Roman" w:hAnsi="Times New Roman"/>
          <w:sz w:val="22"/>
          <w:szCs w:val="22"/>
          <w:color w:val="auto"/>
        </w:rPr>
        <w:t>. An amount equal to $150,000,000. The Letter of Credit Sublimit is part of, and not in addition to, the Total Revolving Credit Commitment.</w:t>
      </w:r>
    </w:p>
    <w:p>
      <w:pPr>
        <w:spacing w:after="0" w:line="13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All obligations, contingent and otherwise, that in accordance with GAAP should be classified upon the obligor’s balance sheet as liabilities, or to which reference should be made by footnotes thereto, including in any event and whether or not so classified: (a) all debt and similar monetary obligations, whether direct or indirect, including, without limitation, all Indebtedness; (b) all liabilities secured by any mortgage, pledge, security interest, lien, charge, or other encumbrance existing on property owned or acquired subject thereto, whether or not the liability secured thereby shall have been assumed; and (c) all guarantees for borrowed money, endorsements and other contingent obligations, whether direct or indirect, in respect of indebtedness or obligations of others, including any obligation to supply funds (including partnership obligations and capital requirements) to or in any manner to invest in, directly or indirectly, the debtor, to purchase indebtedness, or to assure the owner of indebtedness against loss, through an agreement to purchase goods, supplies, or services for the purpose of enabling the debtor to make payment of the indebtedness held by such owner or otherwise, and the obligations to reimburse the issuer in respect of any letters of credit.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See §9.2.</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Collectively, this Agreement, the Issuer Documents, the Notes, the Fee Letter, any Sustainability Metric Annual Certificate and any and all other agreements, instruments, documents or certificates now or hereafter evidencing or otherwise relating to the Loans and executed and delivered by or on behalf of the Borrower or its Subsidiaries or BPI or its Subsidiaries in connection with or in any way relating to the Loans or the transactions contemplated by this Agreement, and all schedules, exhibits and annexes hereto or thereto, as any of the same may from time to time be amended and in effect.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The Revolving Credit Loans, the Incremental Term Loans and the Bid Rate Loans.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Marketable Securities</w:t>
      </w:r>
      <w:r>
        <w:rPr>
          <w:rFonts w:ascii="Times New Roman" w:cs="Times New Roman" w:eastAsia="Times New Roman" w:hAnsi="Times New Roman"/>
          <w:sz w:val="22"/>
          <w:szCs w:val="22"/>
          <w:color w:val="auto"/>
        </w:rPr>
        <w:t>. As of any date, (i) the securities owned by the Borrower or any of its Subsidiaries which are publicly traded on a nationally-recognized exchange or in the over-the-counter markets, (ii) commercial paper which meets the requirements under §9.3(c) and (iii) mutual funds or (iv) other Investments which, when used in the definition of Consolidated Total Adjusted Asset Value, are rated by S&amp;P as BBB or better or by Moody’s as Baa2 or better and, when used in the definition of Consolidated Unencumbered Asset Value, are rated by S&amp;P as A- or better or by Moody’s as A3 or better.</w:t>
      </w:r>
    </w:p>
    <w:p>
      <w:pPr>
        <w:spacing w:after="0" w:line="18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(i) With respect to the Total Revolving Credit Commitment, June 15, 2026 (the “</w:t>
      </w:r>
      <w:r>
        <w:rPr>
          <w:rFonts w:ascii="Times New Roman" w:cs="Times New Roman" w:eastAsia="Times New Roman" w:hAnsi="Times New Roman"/>
          <w:sz w:val="22"/>
          <w:szCs w:val="22"/>
          <w:u w:val="single" w:color="auto"/>
          <w:color w:val="auto"/>
        </w:rPr>
        <w:t>Scheduled Maturity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xml:space="preserve">”), or such earlier date on which (a) the Commitments are terminated pursuant to §2.7, or (b) the commitment of each Bank to make Loans and the obligation of each Fronting Bank to issue, extend, increase or renew Letters of Credit are terminated pursuant to §14.2 and (ii) with respect to any Incremental Term Loan Facility, subject to §2.10, the date set forth in the applicable Incremental Term Loan Facility Documents as the “Maturity Date” for such Incremental Term Loan Facility or, if the applicable Incremental Term Loan Facility Documents fail to specify a “Maturity Date”, the Maturity Date shall be the latest Maturity Date of any then existing Facility;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each case under this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287" w:right="339" w:bottom="1440" w:gutter="0" w:footer="0" w:header="0"/>
        </w:sectPr>
      </w:pPr>
    </w:p>
    <w:bookmarkStart w:id="163" w:name="page164"/>
    <w:bookmarkEnd w:id="163"/>
    <w:p>
      <w:pPr>
        <w:jc w:val="both"/>
        <w:spacing w:after="0" w:line="271" w:lineRule="auto"/>
        <w:rPr>
          <w:sz w:val="20"/>
          <w:szCs w:val="20"/>
          <w:color w:val="auto"/>
        </w:rPr>
      </w:pPr>
      <w:r>
        <w:rPr>
          <w:rFonts w:ascii="Times New Roman" w:cs="Times New Roman" w:eastAsia="Times New Roman" w:hAnsi="Times New Roman"/>
          <w:sz w:val="22"/>
          <w:szCs w:val="22"/>
          <w:color w:val="auto"/>
        </w:rPr>
        <w:t>(ii), if such date is not a Business Day, the Maturity Date of such Incremental Term Loan Facility shall be the next preceding Business Day.</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Mezzanine Loan</w:t>
      </w:r>
      <w:r>
        <w:rPr>
          <w:rFonts w:ascii="Times New Roman" w:cs="Times New Roman" w:eastAsia="Times New Roman" w:hAnsi="Times New Roman"/>
          <w:sz w:val="22"/>
          <w:szCs w:val="22"/>
          <w:color w:val="auto"/>
        </w:rPr>
        <w:t>. Mezzanine and other secured or unsecured debt (as and to the extent the same does not constitute a Mortgage hereunder) in which the Borrower (or the obligor of such debt) holds a direct or indirect interest in real estate.</w:t>
      </w:r>
    </w:p>
    <w:p>
      <w:pPr>
        <w:spacing w:after="0" w:line="14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u w:val="single" w:color="auto"/>
          <w:color w:val="auto"/>
        </w:rPr>
        <w:t>Minimum Collateral Amount</w:t>
      </w:r>
      <w:r>
        <w:rPr>
          <w:rFonts w:ascii="Times New Roman" w:cs="Times New Roman" w:eastAsia="Times New Roman" w:hAnsi="Times New Roman"/>
          <w:sz w:val="22"/>
          <w:szCs w:val="22"/>
          <w:color w:val="auto"/>
        </w:rPr>
        <w:t>. At any time, (a) with respect to Cash Collateral consisting of cash or deposit account balances provided to reduce or eliminate Fronting Exposure during the existence of a Delinquent Bank, an amount equal to 100% of the Fronting Exposure of each Fronting Bank with respect to Letters of Credit issued and outstanding at such time, and (b) with respect to Cash Collateral consisting of cash or deposit account balances provided in accordance with the provisions of §5.11.1(i), (ii) or (iii), an amount equal to 101% of the Outstanding Amount of all Letter of Credit Obligations.</w:t>
      </w:r>
    </w:p>
    <w:p>
      <w:pPr>
        <w:spacing w:after="0" w:line="19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Minimum Commitment</w:t>
      </w:r>
      <w:r>
        <w:rPr>
          <w:rFonts w:ascii="Times New Roman" w:cs="Times New Roman" w:eastAsia="Times New Roman" w:hAnsi="Times New Roman"/>
          <w:sz w:val="22"/>
          <w:szCs w:val="22"/>
          <w:color w:val="auto"/>
        </w:rPr>
        <w:t>. With reference to the Bank serving as the Agent, aggregate Commitments equal to an amount which is the lesser of $100,000,000 and 5% of the Total Commitments.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Moody’s Investors Service, Inc., and its successors.</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Mortgages</w:t>
      </w:r>
      <w:r>
        <w:rPr>
          <w:rFonts w:ascii="Times New Roman" w:cs="Times New Roman" w:eastAsia="Times New Roman" w:hAnsi="Times New Roman"/>
          <w:sz w:val="22"/>
          <w:szCs w:val="22"/>
          <w:color w:val="auto"/>
        </w:rPr>
        <w:t>. Mortgage debt instruments, in which the Borrower (or the mortgagor under such mortgage debt instruments) holds a direct or indirect interest with respect to real estate.</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Any employee benefit plan of the type described in Section 4001(a)(3) of ERISA to which the Borrower or BPI, as the case may be, or any ERISA Affiliate of either of them, makes or is obligated to make contributions, or during the preceding five plan years, has made or been obligated to make contributions.</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Multiple Employer Plan</w:t>
      </w:r>
      <w:r>
        <w:rPr>
          <w:rFonts w:ascii="Times New Roman" w:cs="Times New Roman" w:eastAsia="Times New Roman" w:hAnsi="Times New Roman"/>
          <w:sz w:val="22"/>
          <w:szCs w:val="22"/>
          <w:color w:val="auto"/>
        </w:rPr>
        <w:t>. Any plan which has two or more contributing sponsors (including the Borrower or BPI, as the case may be, or any ERISA Affiliate of either of them), at least two of whom are not under common control, as such a plan is described in Section 4064 of ERISA.</w:t>
      </w:r>
    </w:p>
    <w:p>
      <w:pPr>
        <w:spacing w:after="0" w:line="16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u w:val="single" w:color="auto"/>
          <w:color w:val="auto"/>
        </w:rPr>
        <w:t>Net Operating Income</w:t>
      </w:r>
      <w:r>
        <w:rPr>
          <w:rFonts w:ascii="Times New Roman" w:cs="Times New Roman" w:eastAsia="Times New Roman" w:hAnsi="Times New Roman"/>
          <w:sz w:val="21"/>
          <w:szCs w:val="21"/>
          <w:color w:val="auto"/>
        </w:rPr>
        <w:t>. As at any date of determination, an amount equal to (i) the aggregate rental and other income from the operation of all Real Estate Assets during the most recent complete fiscal quarter, multiplied by 4; minus (ii) all expenses and other proper charges incurred in connection with the operation of such Real Estate Assets (including, without limitation, real estate taxes, management fees, bad debt expenses and rent under ground leases) during the most recently completed fiscal quarter multiplied by 4; but, in any case, before payment of or provision for debt service charges for such fiscal quarter, income taxes for such fiscal quarter, capital expenses for such fiscal quarter, and depreciation, amortization, and other non-cash expenses for such fiscal quarter, all as determined in accordance with GAAP (except that any rent leveling adjustments shall be excluded).</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New Lender Joinder Agreement</w:t>
      </w:r>
      <w:r>
        <w:rPr>
          <w:rFonts w:ascii="Times New Roman" w:cs="Times New Roman" w:eastAsia="Times New Roman" w:hAnsi="Times New Roman"/>
          <w:sz w:val="22"/>
          <w:szCs w:val="22"/>
          <w:color w:val="auto"/>
        </w:rPr>
        <w:t>. See definition of “Increase Conditions”.</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Non-Consenting Bank</w:t>
      </w:r>
      <w:r>
        <w:rPr>
          <w:rFonts w:ascii="Times New Roman" w:cs="Times New Roman" w:eastAsia="Times New Roman" w:hAnsi="Times New Roman"/>
          <w:sz w:val="22"/>
          <w:szCs w:val="22"/>
          <w:color w:val="auto"/>
        </w:rPr>
        <w:t>. Any Bank that does not approve any consent, waiver or amendment that (i) requires the approval of all Banks, all Banks of one of the Facilities or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273" w:right="339" w:bottom="1440" w:gutter="0" w:footer="0" w:header="0"/>
        </w:sectPr>
      </w:pPr>
    </w:p>
    <w:bookmarkStart w:id="164" w:name="page165"/>
    <w:bookmarkEnd w:id="16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affected Banks in accordance with the terms of §28 and (ii) has been approved by the Required Banks, the Required Revolving Credit Banks or the Required Term Banks, as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Non-Delinquent Bank</w:t>
      </w:r>
      <w:r>
        <w:rPr>
          <w:rFonts w:ascii="Times New Roman" w:cs="Times New Roman" w:eastAsia="Times New Roman" w:hAnsi="Times New Roman"/>
          <w:sz w:val="22"/>
          <w:szCs w:val="22"/>
          <w:color w:val="auto"/>
        </w:rPr>
        <w:t>. At any time, each Bank that is not a Delinquent Bank at such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Non-Extension Notice Date</w:t>
      </w:r>
      <w:r>
        <w:rPr>
          <w:rFonts w:ascii="Times New Roman" w:cs="Times New Roman" w:eastAsia="Times New Roman" w:hAnsi="Times New Roman"/>
          <w:sz w:val="22"/>
          <w:szCs w:val="22"/>
          <w:color w:val="auto"/>
        </w:rPr>
        <w:t>. See §3.1.1(d).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Non-Material Breach</w:t>
      </w:r>
      <w:r>
        <w:rPr>
          <w:rFonts w:ascii="Times New Roman" w:cs="Times New Roman" w:eastAsia="Times New Roman" w:hAnsi="Times New Roman"/>
          <w:sz w:val="22"/>
          <w:szCs w:val="22"/>
          <w:color w:val="auto"/>
        </w:rPr>
        <w:t>. See §14.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Non-SOFR Successor Rate</w:t>
      </w:r>
      <w:r>
        <w:rPr>
          <w:rFonts w:ascii="Times New Roman" w:cs="Times New Roman" w:eastAsia="Times New Roman" w:hAnsi="Times New Roman"/>
          <w:sz w:val="22"/>
          <w:szCs w:val="22"/>
          <w:color w:val="auto"/>
        </w:rPr>
        <w:t>. See §5.4(d).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Note Record</w:t>
      </w:r>
      <w:r>
        <w:rPr>
          <w:rFonts w:ascii="Times New Roman" w:cs="Times New Roman" w:eastAsia="Times New Roman" w:hAnsi="Times New Roman"/>
          <w:sz w:val="22"/>
          <w:szCs w:val="22"/>
          <w:color w:val="auto"/>
        </w:rPr>
        <w:t>. A Record with respect to any Note.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The Revolving Credit Notes, the Incremental Term Notes and the Bid Rate Notes.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Notice of Loan Prepayment</w:t>
      </w:r>
      <w:r>
        <w:rPr>
          <w:rFonts w:ascii="Times New Roman" w:cs="Times New Roman" w:eastAsia="Times New Roman" w:hAnsi="Times New Roman"/>
          <w:sz w:val="22"/>
          <w:szCs w:val="22"/>
          <w:color w:val="auto"/>
        </w:rPr>
        <w:t xml:space="preserve">. A notice of prepayment with respect to a Loan, which shall be substantially in the form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or such other form as may be reasonably approved by the Agent (including any form on an electronic platform or electronic transmission system as shall be reasonably approved by the Agent), appropriately completed and signed by a Authorized Officer of the Borrower.</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All indebtedness, obligations and liabilities of the Borrower and its Subsidiaries to any of the Banks, the Agent and the Arrangers, individually or collectively (but without double-counting), under this Agreement and each of the other Loan Documents and in respect of any of the Loans and the Notes and Reimbursement Obligations incurred and the Letter of Credit Applications and the Letters of Credit and other instruments at any time evidencing any thereof, whether existing on the date of this Agreement or arising or incurred hereafter, direct or indirect, joint or several, absolute or contingent, matured or unmatured, liquidated or unliquidated, secured or unsecured, arising by contract, operation of law or otherwise.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The Office of Foreign Assets Control of the United States Department of the Treasury.</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Collectively, (i) the Agreement of Limited Partnership of BPLP, (ii) the Certificate of Limited Partnership of BPLP, (iii) the Certificate of Incorporation of BPI, and (iv) the by-laws of BPI, in each case as any of the foregoing may be amended in accordance with §8.21.</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Original Notes</w:t>
      </w:r>
      <w:r>
        <w:rPr>
          <w:rFonts w:ascii="Times New Roman" w:cs="Times New Roman" w:eastAsia="Times New Roman" w:hAnsi="Times New Roman"/>
          <w:sz w:val="22"/>
          <w:szCs w:val="22"/>
          <w:color w:val="auto"/>
        </w:rPr>
        <w:t>. The “Revolving Credit Notes” and the “Bid Rate Notes,” in each case as defined in the Existing Credit Agreement.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273" w:right="339" w:bottom="1440" w:gutter="0" w:footer="0" w:header="0"/>
        </w:sectPr>
      </w:pPr>
    </w:p>
    <w:bookmarkStart w:id="165" w:name="page166"/>
    <w:bookmarkEnd w:id="165"/>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§5.8). For clarification, Other Taxes shall not include, in any event, Excluded Taxes.</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u w:val="single" w:color="auto"/>
          <w:color w:val="auto"/>
        </w:rPr>
        <w:t>Outstanding Amount</w:t>
      </w:r>
      <w:r>
        <w:rPr>
          <w:rFonts w:ascii="Times New Roman" w:cs="Times New Roman" w:eastAsia="Times New Roman" w:hAnsi="Times New Roman"/>
          <w:sz w:val="21"/>
          <w:szCs w:val="21"/>
          <w:color w:val="auto"/>
        </w:rPr>
        <w:t>. (i) With respect to Loans on any date, the Dollar Equivalent of the aggregate outstanding principal amount thereof after giving effect to any borrowings and prepayments or repayments of such Loans occurring on such date; and</w:t>
      </w:r>
    </w:p>
    <w:p>
      <w:pPr>
        <w:spacing w:after="0" w:line="1" w:lineRule="exact"/>
        <w:rPr>
          <w:sz w:val="20"/>
          <w:szCs w:val="20"/>
          <w:color w:val="auto"/>
        </w:rPr>
      </w:pPr>
    </w:p>
    <w:p>
      <w:pPr>
        <w:jc w:val="both"/>
        <w:ind w:firstLine="8"/>
        <w:spacing w:after="0" w:line="245" w:lineRule="auto"/>
        <w:tabs>
          <w:tab w:leader="none" w:pos="33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Letter of Credit Obligations on any date, the Dollar Equivalent of the aggregate outstanding amount of such Letter of Credit Obligations on such date after giving effect to the issuance of any Letter of Credit occurring on such date and any other changes in the aggregate amount of the Letter of Credit Obligations as of such date, including as a result of any reimbursements by the Borrower of Reimbursement Obligations.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Overnight Rate</w:t>
      </w:r>
      <w:r>
        <w:rPr>
          <w:rFonts w:ascii="Times New Roman" w:cs="Times New Roman" w:eastAsia="Times New Roman" w:hAnsi="Times New Roman"/>
          <w:sz w:val="22"/>
          <w:szCs w:val="22"/>
          <w:color w:val="auto"/>
        </w:rPr>
        <w:t>. For any day, (a) with respect to any amount denominated in Dollars, the greater of (i) the Federal Funds Rate and (ii) an overnight rate determined by the Administrative Agent or a Fronting Bank, as the case may be, in accordance with banking industry rules on interbank compensation, and (b) with respect to any amount denominated in an Alternative Currency, an overnight rate determined by the Administrative Agent or a Fronting Bank, as the case may be, in accordance with banking industry rules on interbank compensation.</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Partially-Owned Entity(ies)</w:t>
      </w:r>
      <w:r>
        <w:rPr>
          <w:rFonts w:ascii="Times New Roman" w:cs="Times New Roman" w:eastAsia="Times New Roman" w:hAnsi="Times New Roman"/>
          <w:sz w:val="22"/>
          <w:szCs w:val="22"/>
          <w:color w:val="auto"/>
        </w:rPr>
        <w:t>. Any of the partnerships, associations, corporations, limited liability companies, trusts, joint ventures or other business entities in which the Borrower, directly, or indirectly through its full or partial ownership of another entity, own an equity interest, but which is not required in accordance with GAAP to be consolidated with the Borrower for financial reporting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See §20.5(a).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See §20.5.</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Participating Member State</w:t>
      </w:r>
      <w:r>
        <w:rPr>
          <w:rFonts w:ascii="Times New Roman" w:cs="Times New Roman" w:eastAsia="Times New Roman" w:hAnsi="Times New Roman"/>
          <w:sz w:val="22"/>
          <w:szCs w:val="22"/>
          <w:color w:val="auto"/>
        </w:rPr>
        <w:t>. Any member state of the European Union that has the Euro as its lawful currency in accordance with legislation of the European Union relating to Economic and Monetary Union.</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The Pension Benefit Guaranty Corporation created by §4002 of ERISA and any successor entity or entities having similar responsibilities.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Pension Act</w:t>
      </w:r>
      <w:r>
        <w:rPr>
          <w:rFonts w:ascii="Times New Roman" w:cs="Times New Roman" w:eastAsia="Times New Roman" w:hAnsi="Times New Roman"/>
          <w:sz w:val="22"/>
          <w:szCs w:val="22"/>
          <w:color w:val="auto"/>
        </w:rPr>
        <w:t>. The Pension Protection Act of 2006.</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Pension Funding Rules</w:t>
      </w:r>
      <w:r>
        <w:rPr>
          <w:rFonts w:ascii="Times New Roman" w:cs="Times New Roman" w:eastAsia="Times New Roman" w:hAnsi="Times New Roman"/>
          <w:sz w:val="22"/>
          <w:szCs w:val="22"/>
          <w:color w:val="auto"/>
        </w:rPr>
        <w:t>.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287" w:right="339" w:bottom="1440" w:gutter="0" w:footer="0" w:header="0"/>
        </w:sectPr>
      </w:pPr>
    </w:p>
    <w:bookmarkStart w:id="166" w:name="page167"/>
    <w:bookmarkEnd w:id="166"/>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Any employee pension benefit plan (including a Multiple Employer Plan or a Multiemployer Plan) that is maintained or contributed to by the Borrower or BPI, as the case may be, or any ERISA Affiliate of either of them, and is either covered by Title IV of ERISA or is subject to the minimum funding standards under Section 412 of the Code.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All governmental permits, licenses, and approvals necessary for the lawful operation and maintenance of the Real Estate Assets.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See §9.2.</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Permitted Properties</w:t>
      </w:r>
      <w:r>
        <w:rPr>
          <w:rFonts w:ascii="Times New Roman" w:cs="Times New Roman" w:eastAsia="Times New Roman" w:hAnsi="Times New Roman"/>
          <w:sz w:val="22"/>
          <w:szCs w:val="22"/>
          <w:color w:val="auto"/>
        </w:rPr>
        <w:t>. See §9.3(l).</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Any individual, corporation, partnership, trust, limited liability company, unincorporated association, business, or other legal entity, and any government (or any governmental agency or political subdivision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See §8.10(e).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Preferred Equity</w:t>
      </w:r>
      <w:r>
        <w:rPr>
          <w:rFonts w:ascii="Times New Roman" w:cs="Times New Roman" w:eastAsia="Times New Roman" w:hAnsi="Times New Roman"/>
          <w:sz w:val="22"/>
          <w:szCs w:val="22"/>
          <w:color w:val="auto"/>
        </w:rPr>
        <w:t>. Any preferred stock, preferred partnership interests, preferred member interests or other preferred equity interests issued by the Borrower, BPI or any of their respective Subsidiaries.</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Collectively, the prospectus relating to the common stock of BPI and included in the Registration Statement, and each preliminary prospectus relating thereto.</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A prohibited transaction class exemption issued by the U.S. Department of Labor, as any such exemption may be amended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See §8.10(e).</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Rate Determination Date</w:t>
      </w:r>
      <w:r>
        <w:rPr>
          <w:rFonts w:ascii="Times New Roman" w:cs="Times New Roman" w:eastAsia="Times New Roman" w:hAnsi="Times New Roman"/>
          <w:sz w:val="22"/>
          <w:szCs w:val="22"/>
          <w:color w:val="auto"/>
        </w:rPr>
        <w:t xml:space="preserve">. With respect to any Interest Period, two (2) Business Days prior to the commencement of such Interest Period (or such other day as is generally treated as the rate fixing day by market practice in the applicable interbank market, as determined in good faith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such market practice is not administratively feasible for the Administrative Agent, such other day as otherwise reasonably determined by the Administrative Agent).</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Rating Agencies</w:t>
      </w:r>
      <w:r>
        <w:rPr>
          <w:rFonts w:ascii="Times New Roman" w:cs="Times New Roman" w:eastAsia="Times New Roman" w:hAnsi="Times New Roman"/>
          <w:sz w:val="22"/>
          <w:szCs w:val="22"/>
          <w:color w:val="auto"/>
        </w:rPr>
        <w:t xml:space="preserve">. S&amp;P and Moody’s or any one of S&amp;P or Moody’s and another nationally recognized rating agency hereafter designated by the Borrower in writing to the Agent and approved by the Agent. The Borrower shall have the right, at any time and from time to time, to replace one or both of the then applicable Rating Agencies,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either S&amp;P or Moody’s shall at all times be one of the Rating Agencies. The Agent hereby approves Fitch as a replacement Rating Agency hereunder.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RCRA</w:t>
      </w:r>
      <w:r>
        <w:rPr>
          <w:rFonts w:ascii="Times New Roman" w:cs="Times New Roman" w:eastAsia="Times New Roman" w:hAnsi="Times New Roman"/>
          <w:sz w:val="22"/>
          <w:szCs w:val="22"/>
          <w:color w:val="auto"/>
        </w:rPr>
        <w:t>. See §7.18.</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Real Estate Assets</w:t>
      </w:r>
      <w:r>
        <w:rPr>
          <w:rFonts w:ascii="Times New Roman" w:cs="Times New Roman" w:eastAsia="Times New Roman" w:hAnsi="Times New Roman"/>
          <w:sz w:val="22"/>
          <w:szCs w:val="22"/>
          <w:color w:val="auto"/>
        </w:rPr>
        <w:t>. The fixed and tangible properties consisting of land, buildings and/or other improvements owned (in fee simple or ground-leased) by the Borrower or by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287" w:right="339" w:bottom="1440" w:gutter="0" w:footer="0" w:header="0"/>
        </w:sectPr>
      </w:pPr>
    </w:p>
    <w:bookmarkStart w:id="167" w:name="page168"/>
    <w:bookmarkEnd w:id="167"/>
    <w:p>
      <w:pPr>
        <w:spacing w:after="0" w:line="273" w:lineRule="auto"/>
        <w:rPr>
          <w:sz w:val="20"/>
          <w:szCs w:val="20"/>
          <w:color w:val="auto"/>
        </w:rPr>
      </w:pPr>
      <w:r>
        <w:rPr>
          <w:rFonts w:ascii="Times New Roman" w:cs="Times New Roman" w:eastAsia="Times New Roman" w:hAnsi="Times New Roman"/>
          <w:sz w:val="21"/>
          <w:szCs w:val="21"/>
          <w:color w:val="auto"/>
        </w:rPr>
        <w:t>member of the BP Group (other than BPI) at the relevant time of reference thereto, but (x) excluding all leaseholds where the Borrower or any other member of the BP Group is a ground-lessee other than (i) University Place, Cambridge, Massachusetts and</w:t>
      </w:r>
    </w:p>
    <w:p>
      <w:pPr>
        <w:spacing w:after="0" w:line="1" w:lineRule="exact"/>
        <w:rPr>
          <w:sz w:val="20"/>
          <w:szCs w:val="20"/>
          <w:color w:val="auto"/>
        </w:rPr>
      </w:pPr>
    </w:p>
    <w:p>
      <w:pPr>
        <w:jc w:val="both"/>
        <w:ind w:firstLine="8"/>
        <w:spacing w:after="0" w:line="245" w:lineRule="auto"/>
        <w:tabs>
          <w:tab w:leader="none" w:pos="33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leaseholds which are subject to ground leases having an unexpired term of not less than (a) thirty (30) years from the date hereof or (b) twenty-seven (27) years from the date hereof if in connection with a so-called reverse like-kind exchange (in either such event, which ground lease unexpired term will include only renewal options exercisable solely at the ground lessee’s option and, if exercisable prior to the Scheduled Maturity Date, so exercised) and (y) including all leaseholds where the Borrower or any other member of the BP Group is a ground-lessor. Notwithstanding the foregoing, Real Estate Assets shall also include each Approved Condominium Property. For the avoidance of doubt, all references to “Real Estate Assets owned” or “Unencumbered Assets owned” in the Agreement shall include such Real Estate Assets that are ground-leased as well as owned in fee simple.</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Real Estate Assets Under Development</w:t>
      </w:r>
      <w:r>
        <w:rPr>
          <w:rFonts w:ascii="Times New Roman" w:cs="Times New Roman" w:eastAsia="Times New Roman" w:hAnsi="Times New Roman"/>
          <w:sz w:val="22"/>
          <w:szCs w:val="22"/>
          <w:color w:val="auto"/>
        </w:rPr>
        <w:t xml:space="preserve">. Any Real Estate Assets for which the Borrower, any of the Borrower’s Subsidiaries or any Partially-Owned Entity has commenced construction of one or more Buildings or other improvements and for which construction has not ceased due to Permit denial, construction delays or other similar circumstances, all pursuant to such Person’s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Real Estate Asset (or, if applicable, any Building comprising a portion of any such Real Estate Asset) will no longer be considered a Real Estate Asset Under Development when a certificate of occupancy has issued for such Real Estate Asset (or Building) or such Real Estate Asset (or Building) may otherwise be lawfully occupied for its intended use. Notwithstanding the foregoing, tenant improvements (where available) to previously constructed and/or leased Real Estate Assets shall not be considered Real Estate Assets Under Development.</w:t>
      </w:r>
    </w:p>
    <w:p>
      <w:pPr>
        <w:spacing w:after="0" w:line="18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The Agent, any Bank (including, for such purpose, any Participant as and to the extent set forth in §20.5) and/or any Fronting Bank.</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Record</w:t>
      </w:r>
      <w:r>
        <w:rPr>
          <w:rFonts w:ascii="Times New Roman" w:cs="Times New Roman" w:eastAsia="Times New Roman" w:hAnsi="Times New Roman"/>
          <w:sz w:val="22"/>
          <w:szCs w:val="22"/>
          <w:color w:val="auto"/>
        </w:rPr>
        <w:t>. The grid attached to any Note, or the continuation of such grid, or any other similar record, including computer records, maintained by any Bank with respect to any Loan.</w:t>
      </w:r>
    </w:p>
    <w:p>
      <w:pPr>
        <w:spacing w:after="0" w:line="17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Recourse</w:t>
      </w:r>
      <w:r>
        <w:rPr>
          <w:rFonts w:ascii="Times New Roman" w:cs="Times New Roman" w:eastAsia="Times New Roman" w:hAnsi="Times New Roman"/>
          <w:sz w:val="22"/>
          <w:szCs w:val="22"/>
          <w:color w:val="auto"/>
        </w:rPr>
        <w:t xml:space="preserve">. With reference to any obligation or liability, any liability or obligation that is not Without Recourse to the obligor thereunder, directly or indirectly. For purposes hereof, a Person shall not be deemed to be “indirectly” liable for the liabilities or obligations of an obligor solely by reason of the fact that such Person has an ownership interest in such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Person is not otherwise legally liable, directly or indirectly, for such obligor’s liabilities or obligations (e.g., by reason of a guaranty or contribution obligation, by operation of law or by reason of such Person being a general partner of such obligor).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Refinancing Mortgage</w:t>
      </w:r>
      <w:r>
        <w:rPr>
          <w:rFonts w:ascii="Times New Roman" w:cs="Times New Roman" w:eastAsia="Times New Roman" w:hAnsi="Times New Roman"/>
          <w:sz w:val="22"/>
          <w:szCs w:val="22"/>
          <w:color w:val="auto"/>
        </w:rPr>
        <w:t>. See §8.12.</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registration statement on Form S-11 (File No. 333-25279) with respect to the common stock of BPI, which became effective in June, 1997.</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Reimbursement Obligation</w:t>
      </w:r>
      <w:r>
        <w:rPr>
          <w:rFonts w:ascii="Times New Roman" w:cs="Times New Roman" w:eastAsia="Times New Roman" w:hAnsi="Times New Roman"/>
          <w:sz w:val="22"/>
          <w:szCs w:val="22"/>
          <w:color w:val="auto"/>
        </w:rPr>
        <w:t>. The Borrower’s obligation to reimburse the Revolving Credit Banks and the Agent on account of any drawing under any Letter of Credit as provided in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287" w:right="339" w:bottom="1440" w:gutter="0" w:footer="0" w:header="0"/>
        </w:sectPr>
      </w:pPr>
    </w:p>
    <w:bookmarkStart w:id="168" w:name="page169"/>
    <w:bookmarkEnd w:id="168"/>
    <w:p>
      <w:pPr>
        <w:jc w:val="both"/>
        <w:spacing w:after="0" w:line="256" w:lineRule="auto"/>
        <w:rPr>
          <w:sz w:val="20"/>
          <w:szCs w:val="20"/>
          <w:color w:val="auto"/>
        </w:rPr>
      </w:pPr>
      <w:r>
        <w:rPr>
          <w:rFonts w:ascii="Times New Roman" w:cs="Times New Roman" w:eastAsia="Times New Roman" w:hAnsi="Times New Roman"/>
          <w:sz w:val="22"/>
          <w:szCs w:val="22"/>
          <w:color w:val="auto"/>
        </w:rPr>
        <w:t>Notwithstanding the foregoing, unless the Borrower shall notify the Agent of its intent to repay the Reimbursement Obligation on the date of the related drawing under any Letter of Credit as provided in §3.2 and such Reimbursement Obligation is in fact paid by the Borrower on such date, such Reimbursement Obligation shall simultaneously with such drawing be converted to and become a Base Rate Loan as set forth in §3.3.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REIT</w:t>
      </w:r>
      <w:r>
        <w:rPr>
          <w:rFonts w:ascii="Times New Roman" w:cs="Times New Roman" w:eastAsia="Times New Roman" w:hAnsi="Times New Roman"/>
          <w:sz w:val="22"/>
          <w:szCs w:val="22"/>
          <w:color w:val="auto"/>
        </w:rPr>
        <w:t>. A “real estate investment trust”, as such term is defined in Section 856 of the Code.</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See §7.18(c)(iii).</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The Bank of Canada, or a committee officially endorsed or convened by the Bank of Canada, or any successor thereto.</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Relevant Rate</w:t>
      </w:r>
      <w:r>
        <w:rPr>
          <w:rFonts w:ascii="Times New Roman" w:cs="Times New Roman" w:eastAsia="Times New Roman" w:hAnsi="Times New Roman"/>
          <w:sz w:val="22"/>
          <w:szCs w:val="22"/>
          <w:color w:val="auto"/>
        </w:rPr>
        <w:t xml:space="preserve">. With respect to any Loan or Letter of Credit denominated in (a) Dollars, </w:t>
      </w:r>
      <w:r>
        <w:rPr>
          <w:rFonts w:ascii="Times New Roman" w:cs="Times New Roman" w:eastAsia="Times New Roman" w:hAnsi="Times New Roman"/>
          <w:sz w:val="22"/>
          <w:szCs w:val="22"/>
          <w:color w:val="FF0000"/>
          <w:strike w:val="1"/>
        </w:rPr>
        <w:t>Term</w:t>
      </w:r>
      <w:r>
        <w:rPr>
          <w:rFonts w:ascii="Times New Roman" w:cs="Times New Roman" w:eastAsia="Times New Roman" w:hAnsi="Times New Roman"/>
          <w:sz w:val="22"/>
          <w:szCs w:val="22"/>
          <w:u w:val="single" w:color="auto"/>
          <w:color w:val="0000FF"/>
        </w:rPr>
        <w:t>Daily Simple</w:t>
      </w:r>
      <w:r>
        <w:rPr>
          <w:rFonts w:ascii="Times New Roman" w:cs="Times New Roman" w:eastAsia="Times New Roman" w:hAnsi="Times New Roman"/>
          <w:sz w:val="22"/>
          <w:szCs w:val="22"/>
          <w:color w:val="auto"/>
        </w:rPr>
        <w:t xml:space="preserve"> SOFR and </w:t>
      </w:r>
      <w:r>
        <w:rPr>
          <w:rFonts w:ascii="Times New Roman" w:cs="Times New Roman" w:eastAsia="Times New Roman" w:hAnsi="Times New Roman"/>
          <w:sz w:val="22"/>
          <w:szCs w:val="22"/>
          <w:u w:val="single" w:color="auto"/>
          <w:color w:val="0000FF"/>
        </w:rPr>
        <w:t>Term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SOFR, (b) Sterling, SONIA, (</w:t>
      </w:r>
      <w:r>
        <w:rPr>
          <w:rFonts w:ascii="Times New Roman" w:cs="Times New Roman" w:eastAsia="Times New Roman" w:hAnsi="Times New Roman"/>
          <w:sz w:val="22"/>
          <w:szCs w:val="22"/>
          <w:color w:val="FF0000"/>
          <w:strike w:val="1"/>
        </w:rPr>
        <w:t>b</w:t>
      </w:r>
      <w:r>
        <w:rPr>
          <w:rFonts w:ascii="Times New Roman" w:cs="Times New Roman" w:eastAsia="Times New Roman" w:hAnsi="Times New Roman"/>
          <w:sz w:val="22"/>
          <w:szCs w:val="22"/>
          <w:u w:val="single" w:color="auto"/>
          <w:color w:val="0000FF"/>
        </w:rPr>
        <w:t>c</w:t>
      </w:r>
      <w:r>
        <w:rPr>
          <w:rFonts w:ascii="Times New Roman" w:cs="Times New Roman" w:eastAsia="Times New Roman" w:hAnsi="Times New Roman"/>
          <w:sz w:val="22"/>
          <w:szCs w:val="22"/>
          <w:color w:val="000000"/>
        </w:rPr>
        <w:t>) Euros, EURIBOR</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w:t>
      </w:r>
      <w:r>
        <w:rPr>
          <w:rFonts w:ascii="Times New Roman" w:cs="Times New Roman" w:eastAsia="Times New Roman" w:hAnsi="Times New Roman"/>
          <w:sz w:val="22"/>
          <w:szCs w:val="22"/>
          <w:color w:val="FF0000"/>
          <w:strike w:val="1"/>
        </w:rPr>
        <w:t>c</w:t>
      </w:r>
      <w:r>
        <w:rPr>
          <w:rFonts w:ascii="Times New Roman" w:cs="Times New Roman" w:eastAsia="Times New Roman" w:hAnsi="Times New Roman"/>
          <w:sz w:val="22"/>
          <w:szCs w:val="22"/>
          <w:u w:val="single" w:color="auto"/>
          <w:color w:val="0000FF"/>
        </w:rPr>
        <w:t>d</w:t>
      </w:r>
      <w:r>
        <w:rPr>
          <w:rFonts w:ascii="Times New Roman" w:cs="Times New Roman" w:eastAsia="Times New Roman" w:hAnsi="Times New Roman"/>
          <w:sz w:val="22"/>
          <w:szCs w:val="22"/>
          <w:color w:val="000000"/>
        </w:rPr>
        <w:t>) Canadian Dollars,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CDOR</w:t>
      </w:r>
      <w:r>
        <w:rPr>
          <w:rFonts w:ascii="Times New Roman" w:cs="Times New Roman" w:eastAsia="Times New Roman" w:hAnsi="Times New Roman"/>
          <w:sz w:val="22"/>
          <w:szCs w:val="22"/>
          <w:u w:val="single" w:color="auto"/>
          <w:color w:val="0000FF"/>
        </w:rPr>
        <w:t>Term CORRA</w:t>
      </w:r>
      <w:r>
        <w:rPr>
          <w:rFonts w:ascii="Times New Roman" w:cs="Times New Roman" w:eastAsia="Times New Roman" w:hAnsi="Times New Roman"/>
          <w:sz w:val="22"/>
          <w:szCs w:val="22"/>
          <w:color w:val="000000"/>
        </w:rPr>
        <w:t>, as applicable.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See §16.6(b).</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Required Banks</w:t>
      </w:r>
      <w:r>
        <w:rPr>
          <w:rFonts w:ascii="Times New Roman" w:cs="Times New Roman" w:eastAsia="Times New Roman" w:hAnsi="Times New Roman"/>
          <w:sz w:val="22"/>
          <w:szCs w:val="22"/>
          <w:color w:val="auto"/>
        </w:rPr>
        <w:t xml:space="preserve">. At any time, Banks holding at least 51% of the sum of (a) the Total Revolving Credit Exposures of all Revolving Credit Banks and (b) the Incremental Term Loan Facilities, if any. The Total Credit Exposure of any Delinquent Bank shall be disregarded in determining Required Banks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any Revolving Credit Loan made pursuant to §3.3(a) that such Delinquent Bank has failed to fund that has not been reallocated to and funded by another Bank shall be deemed to be held by the Bank that is the Fronting Bank with respect to such unfunded amount, as the case may be, in making such determination.</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Required Revolving Credit Banks</w:t>
      </w:r>
      <w:r>
        <w:rPr>
          <w:rFonts w:ascii="Times New Roman" w:cs="Times New Roman" w:eastAsia="Times New Roman" w:hAnsi="Times New Roman"/>
          <w:sz w:val="22"/>
          <w:szCs w:val="22"/>
          <w:color w:val="auto"/>
        </w:rPr>
        <w:t xml:space="preserve">. At any time, Revolving Credit Banks having Total Revolving Credit Exposures representing at least 51% of the Total Revolving Credit Exposures of all Revolving Credit Banks. The Total Revolving Credit Exposure of any Delinquent Bank shall be disregarded in determining Required Revolving Credit Banks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any Revolving Credit Loan made pursuant to §3.3(a) that such Delinquent Bank has failed to fund that has not been reallocated to and funded by another Bank shall be deemed to be held by the Bank that is the Fronting Bank with respect thereto in making such determination.</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Required Term Banks</w:t>
      </w:r>
      <w:r>
        <w:rPr>
          <w:rFonts w:ascii="Times New Roman" w:cs="Times New Roman" w:eastAsia="Times New Roman" w:hAnsi="Times New Roman"/>
          <w:sz w:val="22"/>
          <w:szCs w:val="22"/>
          <w:color w:val="auto"/>
        </w:rPr>
        <w:t>. At any time, with respect to any Incremental Term Loan Facility, Term Banks holding at least 51% of such Incremental Term Loan Facility on such date. The portion of any Incremental Term Loan Facility held by any Delinquent Bank shall be disregarded in determining Required Term Banks at any time.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Rescindable Amount</w:t>
      </w:r>
      <w:r>
        <w:rPr>
          <w:rFonts w:ascii="Times New Roman" w:cs="Times New Roman" w:eastAsia="Times New Roman" w:hAnsi="Times New Roman"/>
          <w:sz w:val="22"/>
          <w:szCs w:val="22"/>
          <w:color w:val="auto"/>
        </w:rPr>
        <w:t>. See §5.1.3.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Resignation Effective Date</w:t>
      </w:r>
      <w:r>
        <w:rPr>
          <w:rFonts w:ascii="Times New Roman" w:cs="Times New Roman" w:eastAsia="Times New Roman" w:hAnsi="Times New Roman"/>
          <w:sz w:val="22"/>
          <w:szCs w:val="22"/>
          <w:color w:val="auto"/>
        </w:rPr>
        <w:t>. See §16.6(a).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287" w:right="339" w:bottom="1440" w:gutter="0" w:footer="0" w:header="0"/>
        </w:sectPr>
      </w:pPr>
    </w:p>
    <w:bookmarkStart w:id="169" w:name="page170"/>
    <w:bookmarkEnd w:id="169"/>
    <w:p>
      <w:pPr>
        <w:jc w:val="both"/>
        <w:ind w:firstLine="648"/>
        <w:spacing w:after="0"/>
        <w:rPr>
          <w:sz w:val="20"/>
          <w:szCs w:val="20"/>
          <w:color w:val="auto"/>
        </w:rPr>
      </w:pPr>
      <w:r>
        <w:rPr>
          <w:rFonts w:ascii="Times New Roman" w:cs="Times New Roman" w:eastAsia="Times New Roman" w:hAnsi="Times New Roman"/>
          <w:sz w:val="22"/>
          <w:szCs w:val="22"/>
          <w:u w:val="single" w:color="auto"/>
          <w:color w:val="auto"/>
        </w:rPr>
        <w:t>Revaluation Date</w:t>
      </w:r>
      <w:r>
        <w:rPr>
          <w:rFonts w:ascii="Times New Roman" w:cs="Times New Roman" w:eastAsia="Times New Roman" w:hAnsi="Times New Roman"/>
          <w:sz w:val="22"/>
          <w:szCs w:val="22"/>
          <w:color w:val="auto"/>
        </w:rPr>
        <w:t>. (a) With respect to any Loan, each of the following: (i) each Drawdown Date of an Alternative Currency Loan, (ii) with respect to an Alternative Currency Daily Rate Loan, each Interest Payment Date, (iii) each date of a continuation of an Alternative Currency Term Rate Loan pursuant to §2.5, and (iv) such additional dates as the Agent shall determine or the Required Banks shall require; and (b) with respect to any Letter of Credit, each of the following: (i) each date of issuance and/or extension of a Letter of Credit denominated in an Alternative Currency, (ii) each date of an amendment of any such Letter of Credit having the effect of increasing the amount thereof, (iii) each date of any payment by a Fronting Bank under any Letter of Credit denominated in an Alternative Currency, (iv) in the case of all Existing Letters of Credit denominated in Alternative Currencies, the Closing Date, and (v) such additional dates as the Agent or any Fronting Bank shall determine or the Required Banks shall require.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Revolving Credit Bank</w:t>
      </w:r>
      <w:r>
        <w:rPr>
          <w:rFonts w:ascii="Times New Roman" w:cs="Times New Roman" w:eastAsia="Times New Roman" w:hAnsi="Times New Roman"/>
          <w:sz w:val="22"/>
          <w:szCs w:val="22"/>
          <w:color w:val="auto"/>
        </w:rPr>
        <w:t>. Any Bank that has a Revolving Credit Commitment.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Revolving Credit Commitment</w:t>
      </w:r>
      <w:r>
        <w:rPr>
          <w:rFonts w:ascii="Times New Roman" w:cs="Times New Roman" w:eastAsia="Times New Roman" w:hAnsi="Times New Roman"/>
          <w:sz w:val="22"/>
          <w:szCs w:val="22"/>
          <w:color w:val="auto"/>
        </w:rPr>
        <w:t xml:space="preserve">. With respect to each Bank, the Dollar amount set forth from time to time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as the amount of such Bank’s commitment to make Revolving Credit Loans to the Borrower, and to participate in Letter of Credit Obligations, as such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may be amended from time to time in accordance with the terms of this Agreement.</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Revolving Credit Exposure</w:t>
      </w:r>
      <w:r>
        <w:rPr>
          <w:rFonts w:ascii="Times New Roman" w:cs="Times New Roman" w:eastAsia="Times New Roman" w:hAnsi="Times New Roman"/>
          <w:sz w:val="22"/>
          <w:szCs w:val="22"/>
          <w:color w:val="auto"/>
        </w:rPr>
        <w:t>. As to any Bank at any time, the aggregate Outstanding Amount at such time of its outstanding Revolving Credit Loans and the aggregate Outstanding Amount of such Bank’s participation in Letter of Credit Obligations at such time.</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Revolving Credit Loan(s)</w:t>
      </w:r>
      <w:r>
        <w:rPr>
          <w:rFonts w:ascii="Times New Roman" w:cs="Times New Roman" w:eastAsia="Times New Roman" w:hAnsi="Times New Roman"/>
          <w:sz w:val="22"/>
          <w:szCs w:val="22"/>
          <w:color w:val="auto"/>
        </w:rPr>
        <w:t>. Each and every revolving credit loan made or to be made or deemed made by the Banks to the Borrower pursuant to §2.1(a) or §3.3, and excluding, in any event all Bid Rate Loans.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Revolving Credit Notes</w:t>
      </w:r>
      <w:r>
        <w:rPr>
          <w:rFonts w:ascii="Times New Roman" w:cs="Times New Roman" w:eastAsia="Times New Roman" w:hAnsi="Times New Roman"/>
          <w:sz w:val="22"/>
          <w:szCs w:val="22"/>
          <w:color w:val="auto"/>
        </w:rPr>
        <w:t xml:space="preserve">. Collectively, the separate promissory notes of the Borrower in favor of each Revolving Credit Bank that has requested a promissory note pursuant to §2.2 evidencing Revolving Credit Loans made by such Revolving Credit Bank,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dated as of the date hereof or as of such later date as any Person becomes a Revolving Credit Bank under this Agreement, and completed with appropriate insertions, as each of such notes may be amended and/or restated from time to time.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Same Day Funds</w:t>
      </w:r>
      <w:r>
        <w:rPr>
          <w:rFonts w:ascii="Times New Roman" w:cs="Times New Roman" w:eastAsia="Times New Roman" w:hAnsi="Times New Roman"/>
          <w:sz w:val="22"/>
          <w:szCs w:val="22"/>
          <w:color w:val="auto"/>
        </w:rPr>
        <w:t>. (a) With respect to disbursements and payments in Dollars, immediately available funds, and (b) with respect to disbursements and payments in an Alternative Currency, same day or other funds as may be determined by the Agent or the applicable Fronting Bank, as the case may be, to be customary in the place of disbursement or payment for the settlement of international banking transactions in the relevant Alternative Currency.</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Any international economic sanction administered or enforced by the United States Government (including, without limitation, OFAC), the United Nations Security Council, the European Union, His Majesty’s Treasury or any other relevant sanctions authority.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S&amp;P Global Ratings, a division of S&amp;P Global Inc., and its successors.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SARA</w:t>
      </w:r>
      <w:r>
        <w:rPr>
          <w:rFonts w:ascii="Times New Roman" w:cs="Times New Roman" w:eastAsia="Times New Roman" w:hAnsi="Times New Roman"/>
          <w:sz w:val="22"/>
          <w:szCs w:val="22"/>
          <w:color w:val="auto"/>
        </w:rPr>
        <w:t>. See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273" w:right="339" w:bottom="1440" w:gutter="0" w:footer="0" w:header="0"/>
        </w:sectPr>
      </w:pPr>
    </w:p>
    <w:bookmarkStart w:id="170" w:name="page171"/>
    <w:bookmarkEnd w:id="170"/>
    <w:p>
      <w:pPr>
        <w:ind w:left="660"/>
        <w:spacing w:after="0"/>
        <w:rPr>
          <w:sz w:val="20"/>
          <w:szCs w:val="20"/>
          <w:color w:val="auto"/>
        </w:rPr>
      </w:pPr>
      <w:r>
        <w:rPr>
          <w:rFonts w:ascii="Times New Roman" w:cs="Times New Roman" w:eastAsia="Times New Roman" w:hAnsi="Times New Roman"/>
          <w:sz w:val="22"/>
          <w:szCs w:val="22"/>
          <w:u w:val="single" w:color="auto"/>
          <w:color w:val="auto"/>
        </w:rPr>
        <w:t>Scheduled Unavailability Date</w:t>
      </w:r>
      <w:r>
        <w:rPr>
          <w:rFonts w:ascii="Times New Roman" w:cs="Times New Roman" w:eastAsia="Times New Roman" w:hAnsi="Times New Roman"/>
          <w:sz w:val="22"/>
          <w:szCs w:val="22"/>
          <w:color w:val="auto"/>
        </w:rPr>
        <w:t>. See §5.4(d).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Scheduled Maturity Date</w:t>
      </w:r>
      <w:r>
        <w:rPr>
          <w:rFonts w:ascii="Times New Roman" w:cs="Times New Roman" w:eastAsia="Times New Roman" w:hAnsi="Times New Roman"/>
          <w:sz w:val="22"/>
          <w:szCs w:val="22"/>
          <w:color w:val="auto"/>
        </w:rPr>
        <w:t>. See the definition of “Maturity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The Securities and Exchange Commission, or any successor thereto.</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 Filings</w:t>
      </w:r>
      <w:r>
        <w:rPr>
          <w:rFonts w:ascii="Times New Roman" w:cs="Times New Roman" w:eastAsia="Times New Roman" w:hAnsi="Times New Roman"/>
          <w:sz w:val="22"/>
          <w:szCs w:val="22"/>
          <w:color w:val="auto"/>
        </w:rPr>
        <w:t>. Collectively, (i) the Registration Statement, (ii) the Prospectus, (iii) each so-called follow-on prospectus filed by BPI with the SEC from time to time, (v) each Form 10-K and Form 8-K filed by BPI with the SEC from time to time and (vi) each of the other public forms and reports filed by BPI with the SEC from time to time.</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u w:val="single" w:color="auto"/>
          <w:color w:val="auto"/>
        </w:rPr>
        <w:t>Secured Consolidated Total Indebtedness</w:t>
      </w:r>
      <w:r>
        <w:rPr>
          <w:rFonts w:ascii="Times New Roman" w:cs="Times New Roman" w:eastAsia="Times New Roman" w:hAnsi="Times New Roman"/>
          <w:sz w:val="21"/>
          <w:szCs w:val="21"/>
          <w:color w:val="auto"/>
        </w:rPr>
        <w:t>. As of any date of determination, the sum of (i) the aggregate principal amount of Consolidated Total Indebtedness of the Borrower and its Subsidiaries outstanding at such date secured by a Lien evidenced by a mortgage, deed of trust or other similar security instrument on properties or other assets of the Borrower or its Subsidiaries, without regard to Recourse; and (ii) the aggregate principal amount of Consolidated Total Indebtedness of the Borrower and its Subsidiaries outstanding at such date which Consolidated Total Indebtedness (x) causes a Real Estate Asset that would otherwise be an Unencumbered Asset to cease to be an Unencumbered Asset and (y) is not otherwise included in (i) above.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xml:space="preserve">. With respect to any applicable determination date, the Secured Overnight Financing Rate published on the fifth U.S. Government Securities Business Day preceding such date by the SOFR Administrator on the Federal Reserve Bank of New York’s website (or any successor source);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if such determination date is not a U.S. Government Securities Business Day, then SOFR means such rate that applied on the first U.S. Government Securities Business Day immediately prior thereto.</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SOFR Adjustment</w:t>
      </w:r>
      <w:r>
        <w:rPr>
          <w:rFonts w:ascii="Times New Roman" w:cs="Times New Roman" w:eastAsia="Times New Roman" w:hAnsi="Times New Roman"/>
          <w:sz w:val="22"/>
          <w:szCs w:val="22"/>
          <w:color w:val="auto"/>
        </w:rPr>
        <w:t>. 0.10% (10 basis points) per annum.</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Term SOFR Loan or a Daily SOFR Loan, as applicable.</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SOFR Scheduled Unavailability Date</w:t>
      </w:r>
      <w:r>
        <w:rPr>
          <w:rFonts w:ascii="Times New Roman" w:cs="Times New Roman" w:eastAsia="Times New Roman" w:hAnsi="Times New Roman"/>
          <w:sz w:val="22"/>
          <w:szCs w:val="22"/>
          <w:color w:val="auto"/>
        </w:rPr>
        <w:t>. See §5.4(b).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SOFR Successor Rate</w:t>
      </w:r>
      <w:r>
        <w:rPr>
          <w:rFonts w:ascii="Times New Roman" w:cs="Times New Roman" w:eastAsia="Times New Roman" w:hAnsi="Times New Roman"/>
          <w:sz w:val="22"/>
          <w:szCs w:val="22"/>
          <w:color w:val="auto"/>
        </w:rPr>
        <w:t>. See §5.4(b).</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SONIA</w:t>
      </w:r>
      <w:r>
        <w:rPr>
          <w:rFonts w:ascii="Times New Roman" w:cs="Times New Roman" w:eastAsia="Times New Roman" w:hAnsi="Times New Roman"/>
          <w:sz w:val="22"/>
          <w:szCs w:val="22"/>
          <w:color w:val="auto"/>
        </w:rPr>
        <w:t xml:space="preserve">. With respect to any applicable determination date means the Sterling Overnight Index Average Reference Rate as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such determination date is not a Business Day, then SONIA means such rate published on the Business Day immediately prior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SONIA as determined in accordance with the immediately foregoing proviso shall apply to any outstanding Loan based on SONIA for no more than four consecutive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287" w:right="339" w:bottom="1440" w:gutter="0" w:footer="0" w:header="0"/>
        </w:sectPr>
      </w:pPr>
    </w:p>
    <w:bookmarkStart w:id="171" w:name="page172"/>
    <w:bookmarkEnd w:id="171"/>
    <w:p>
      <w:pPr>
        <w:ind w:left="660"/>
        <w:spacing w:after="0"/>
        <w:rPr>
          <w:sz w:val="20"/>
          <w:szCs w:val="20"/>
          <w:color w:val="auto"/>
        </w:rPr>
      </w:pPr>
      <w:r>
        <w:rPr>
          <w:rFonts w:ascii="Times New Roman" w:cs="Times New Roman" w:eastAsia="Times New Roman" w:hAnsi="Times New Roman"/>
          <w:sz w:val="22"/>
          <w:szCs w:val="22"/>
          <w:u w:val="single" w:color="auto"/>
          <w:color w:val="auto"/>
        </w:rPr>
        <w:t>SONIA Adjustment</w:t>
      </w:r>
      <w:r>
        <w:rPr>
          <w:rFonts w:ascii="Times New Roman" w:cs="Times New Roman" w:eastAsia="Times New Roman" w:hAnsi="Times New Roman"/>
          <w:sz w:val="22"/>
          <w:szCs w:val="22"/>
          <w:color w:val="auto"/>
        </w:rPr>
        <w:t>. With respect to SONIA, 0.0326% (3.26 basis points) per annum.</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Special Notice Currency</w:t>
      </w:r>
      <w:r>
        <w:rPr>
          <w:rFonts w:ascii="Times New Roman" w:cs="Times New Roman" w:eastAsia="Times New Roman" w:hAnsi="Times New Roman"/>
          <w:sz w:val="22"/>
          <w:szCs w:val="22"/>
          <w:color w:val="auto"/>
        </w:rPr>
        <w:t>. At any time, an Alternative Currency other than the currency of a country that is a member of the Organization for Economic Cooperation and Development at such time located in North America or Europe.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Specified Test Year</w:t>
      </w:r>
      <w:r>
        <w:rPr>
          <w:rFonts w:ascii="Times New Roman" w:cs="Times New Roman" w:eastAsia="Times New Roman" w:hAnsi="Times New Roman"/>
          <w:sz w:val="22"/>
          <w:szCs w:val="22"/>
          <w:color w:val="auto"/>
        </w:rPr>
        <w:t>. See definition of “Applicable Margin”.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Sterling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The lawful currency of the United Kingdom.</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Any corporation, association, partnership, limited liability company, trust, joint venture or other business entity which is required to be consolidated with the Borrower or BPI in accordance with GAAP.</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Successor Rate</w:t>
      </w:r>
      <w:r>
        <w:rPr>
          <w:rFonts w:ascii="Times New Roman" w:cs="Times New Roman" w:eastAsia="Times New Roman" w:hAnsi="Times New Roman"/>
          <w:sz w:val="22"/>
          <w:szCs w:val="22"/>
          <w:color w:val="auto"/>
        </w:rPr>
        <w:t>. See §5.4(d).</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Sustainability Metric</w:t>
      </w:r>
      <w:r>
        <w:rPr>
          <w:rFonts w:ascii="Times New Roman" w:cs="Times New Roman" w:eastAsia="Times New Roman" w:hAnsi="Times New Roman"/>
          <w:sz w:val="22"/>
          <w:szCs w:val="22"/>
          <w:color w:val="auto"/>
        </w:rPr>
        <w:t>. With respect to any fiscal year of the Borrower as determined as of December 31 of such fiscal year, a fraction (expressed as a percentage), the numerator of which is the sum of, with respect to each Boundary Property, that portion of the total gross square footage thereof which is, as of such determination date, (a) LEED® and/or, Fitwel and/or ENERGY STAR® certified or (b) the subject of a proprietary certification whose methodologies have been validated by either Green Business Certification, Inc. (GBCI) or the Center for Active Design (CfAD) (or a similarly recognized rating system), and the denominator of which is the total gross square footage of all Boundary Properties as of such determination date. A reference to the “Sustainability Metric for a fiscal year” (or words of similar import) shall mean a reference to the Sustainability Metric as of December 31 of such fiscal year.</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Sustainability Metric 2020 Baseline</w:t>
      </w:r>
      <w:r>
        <w:rPr>
          <w:rFonts w:ascii="Times New Roman" w:cs="Times New Roman" w:eastAsia="Times New Roman" w:hAnsi="Times New Roman"/>
          <w:sz w:val="22"/>
          <w:szCs w:val="22"/>
          <w:color w:val="auto"/>
        </w:rPr>
        <w:t>. The Sustainability Metric for the fiscal year of the Borrower ended December 31, 2020, which percentage shall be certified by the Borrower in the duly executed Sustainability Metric Annual Certificate delivered by the Borrower to the Administrative Agent on the Closing Date.</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Sustainability Metric Annual Certificate</w:t>
      </w:r>
      <w:r>
        <w:rPr>
          <w:rFonts w:ascii="Times New Roman" w:cs="Times New Roman" w:eastAsia="Times New Roman" w:hAnsi="Times New Roman"/>
          <w:sz w:val="22"/>
          <w:szCs w:val="22"/>
          <w:color w:val="auto"/>
        </w:rPr>
        <w:t xml:space="preserve">. A certificate substantially in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(or such other form as may be approved by the Administrative Agent) and signed by an Authorized Officer;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may, but shall not be required to, include a certification regarding whether or not the Sustainability Metric Election Threshold has been satisfied as of December 31 of the then most recently ended fiscal year (commencing with the fiscal year ending December 31, 2021) in any Compliance Certificate delivered by the Borrower from time to time pursuant to §8.4, and any Compliance Certificate containing such a certification shall be deemed to be the Sustainability Metric Annual Certificate for the fiscal year most recently ended prior to the delivery of such Compliance Certificate.</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Sustainability Metric Election Threshold</w:t>
      </w:r>
      <w:r>
        <w:rPr>
          <w:rFonts w:ascii="Times New Roman" w:cs="Times New Roman" w:eastAsia="Times New Roman" w:hAnsi="Times New Roman"/>
          <w:sz w:val="22"/>
          <w:szCs w:val="22"/>
          <w:color w:val="auto"/>
        </w:rPr>
        <w:t xml:space="preserve">. With respect to any fiscal year of the Borrower listed in the first column of the table set forth below, a percentage equal to the sum of the Sustainability Metric 2020 Baseline,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number of percentage points specified opposite such fiscal year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287" w:right="339" w:bottom="1440" w:gutter="0" w:footer="0" w:header="0"/>
        </w:sectPr>
      </w:pPr>
    </w:p>
    <w:bookmarkStart w:id="172" w:name="page173"/>
    <w:bookmarkEnd w:id="172"/>
    <w:tbl>
      <w:tblPr>
        <w:tblLayout w:type="fixed"/>
        <w:tblInd w:w="1590" w:type="dxa"/>
        <w:tblCellMar>
          <w:top w:w="0" w:type="dxa"/>
          <w:left w:w="0" w:type="dxa"/>
          <w:bottom w:w="0" w:type="dxa"/>
          <w:right w:w="0" w:type="dxa"/>
        </w:tblCellMar>
      </w:tblPr>
      <w:tr>
        <w:trPr>
          <w:trHeight w:val="216"/>
        </w:trPr>
        <w:tc>
          <w:tcPr>
            <w:tcW w:w="3000" w:type="dxa"/>
            <w:vAlign w:val="bottom"/>
            <w:tcBorders>
              <w:top w:val="single" w:sz="8" w:color="auto"/>
              <w:left w:val="single" w:sz="8" w:color="auto"/>
              <w:right w:val="single" w:sz="8" w:color="auto"/>
            </w:tcBorders>
            <w:vMerge w:val="restart"/>
          </w:tcPr>
          <w:p>
            <w:pPr>
              <w:ind w:left="980"/>
              <w:spacing w:after="0"/>
              <w:rPr>
                <w:sz w:val="20"/>
                <w:szCs w:val="20"/>
                <w:color w:val="auto"/>
              </w:rPr>
            </w:pPr>
            <w:r>
              <w:rPr>
                <w:rFonts w:ascii="Times New Roman" w:cs="Times New Roman" w:eastAsia="Times New Roman" w:hAnsi="Times New Roman"/>
                <w:sz w:val="22"/>
                <w:szCs w:val="22"/>
                <w:b w:val="1"/>
                <w:bCs w:val="1"/>
                <w:color w:val="auto"/>
              </w:rPr>
              <w:t>Fiscal Year</w:t>
            </w:r>
          </w:p>
        </w:tc>
        <w:tc>
          <w:tcPr>
            <w:tcW w:w="3020" w:type="dxa"/>
            <w:vAlign w:val="bottom"/>
            <w:tcBorders>
              <w:top w:val="single" w:sz="8" w:color="auto"/>
              <w:right w:val="single" w:sz="8" w:color="auto"/>
            </w:tcBorders>
          </w:tcPr>
          <w:p>
            <w:pPr>
              <w:jc w:val="right"/>
              <w:ind w:right="52"/>
              <w:spacing w:after="0" w:line="216" w:lineRule="exact"/>
              <w:rPr>
                <w:sz w:val="20"/>
                <w:szCs w:val="20"/>
                <w:color w:val="auto"/>
              </w:rPr>
            </w:pPr>
            <w:r>
              <w:rPr>
                <w:rFonts w:ascii="Times New Roman" w:cs="Times New Roman" w:eastAsia="Times New Roman" w:hAnsi="Times New Roman"/>
                <w:sz w:val="22"/>
                <w:szCs w:val="22"/>
                <w:b w:val="1"/>
                <w:bCs w:val="1"/>
                <w:color w:val="auto"/>
              </w:rPr>
              <w:t>Sustainability Metric Growth</w:t>
            </w:r>
          </w:p>
        </w:tc>
        <w:tc>
          <w:tcPr>
            <w:tcW w:w="0" w:type="dxa"/>
            <w:vAlign w:val="bottom"/>
          </w:tcPr>
          <w:p>
            <w:pPr>
              <w:spacing w:after="0"/>
              <w:rPr>
                <w:sz w:val="1"/>
                <w:szCs w:val="1"/>
                <w:color w:val="auto"/>
              </w:rPr>
            </w:pPr>
          </w:p>
        </w:tc>
      </w:tr>
      <w:tr>
        <w:trPr>
          <w:trHeight w:val="283"/>
        </w:trPr>
        <w:tc>
          <w:tcPr>
            <w:tcW w:w="30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3020" w:type="dxa"/>
            <w:vAlign w:val="bottom"/>
            <w:tcBorders>
              <w:bottom w:val="single" w:sz="8" w:color="auto"/>
              <w:right w:val="single" w:sz="8" w:color="auto"/>
            </w:tcBorders>
          </w:tcPr>
          <w:p>
            <w:pPr>
              <w:jc w:val="right"/>
              <w:ind w:right="912"/>
              <w:spacing w:after="0"/>
              <w:rPr>
                <w:sz w:val="20"/>
                <w:szCs w:val="20"/>
                <w:color w:val="auto"/>
              </w:rPr>
            </w:pPr>
            <w:r>
              <w:rPr>
                <w:rFonts w:ascii="Times New Roman" w:cs="Times New Roman" w:eastAsia="Times New Roman" w:hAnsi="Times New Roman"/>
                <w:sz w:val="22"/>
                <w:szCs w:val="22"/>
                <w:b w:val="1"/>
                <w:bCs w:val="1"/>
                <w:color w:val="auto"/>
              </w:rPr>
              <w:t>Percentage</w:t>
            </w:r>
          </w:p>
        </w:tc>
        <w:tc>
          <w:tcPr>
            <w:tcW w:w="0" w:type="dxa"/>
            <w:vAlign w:val="bottom"/>
          </w:tcPr>
          <w:p>
            <w:pPr>
              <w:spacing w:after="0"/>
              <w:rPr>
                <w:sz w:val="1"/>
                <w:szCs w:val="1"/>
                <w:color w:val="auto"/>
              </w:rPr>
            </w:pPr>
          </w:p>
        </w:tc>
      </w:tr>
      <w:tr>
        <w:trPr>
          <w:trHeight w:val="264"/>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2021</w:t>
            </w:r>
          </w:p>
        </w:tc>
        <w:tc>
          <w:tcPr>
            <w:tcW w:w="3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63"/>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2022</w:t>
            </w:r>
          </w:p>
        </w:tc>
        <w:tc>
          <w:tcPr>
            <w:tcW w:w="3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0" w:type="dxa"/>
            <w:vAlign w:val="bottom"/>
          </w:tcPr>
          <w:p>
            <w:pPr>
              <w:spacing w:after="0"/>
              <w:rPr>
                <w:sz w:val="1"/>
                <w:szCs w:val="1"/>
                <w:color w:val="auto"/>
              </w:rPr>
            </w:pPr>
          </w:p>
        </w:tc>
      </w:tr>
      <w:tr>
        <w:trPr>
          <w:trHeight w:val="263"/>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2023</w:t>
            </w:r>
          </w:p>
        </w:tc>
        <w:tc>
          <w:tcPr>
            <w:tcW w:w="3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w:t>
            </w:r>
          </w:p>
        </w:tc>
        <w:tc>
          <w:tcPr>
            <w:tcW w:w="0" w:type="dxa"/>
            <w:vAlign w:val="bottom"/>
          </w:tcPr>
          <w:p>
            <w:pPr>
              <w:spacing w:after="0"/>
              <w:rPr>
                <w:sz w:val="1"/>
                <w:szCs w:val="1"/>
                <w:color w:val="auto"/>
              </w:rPr>
            </w:pPr>
          </w:p>
        </w:tc>
      </w:tr>
      <w:tr>
        <w:trPr>
          <w:trHeight w:val="263"/>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2024</w:t>
            </w:r>
          </w:p>
        </w:tc>
        <w:tc>
          <w:tcPr>
            <w:tcW w:w="3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8.00%</w:t>
            </w:r>
          </w:p>
        </w:tc>
        <w:tc>
          <w:tcPr>
            <w:tcW w:w="0" w:type="dxa"/>
            <w:vAlign w:val="bottom"/>
          </w:tcPr>
          <w:p>
            <w:pPr>
              <w:spacing w:after="0"/>
              <w:rPr>
                <w:sz w:val="1"/>
                <w:szCs w:val="1"/>
                <w:color w:val="auto"/>
              </w:rPr>
            </w:pPr>
          </w:p>
        </w:tc>
      </w:tr>
      <w:tr>
        <w:trPr>
          <w:trHeight w:val="263"/>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2025 and thereafter</w:t>
            </w:r>
          </w:p>
        </w:tc>
        <w:tc>
          <w:tcPr>
            <w:tcW w:w="3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10.00%</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Sustainability Metric Pricing Grid</w:t>
      </w:r>
      <w:r>
        <w:rPr>
          <w:rFonts w:ascii="Times New Roman" w:cs="Times New Roman" w:eastAsia="Times New Roman" w:hAnsi="Times New Roman"/>
          <w:sz w:val="22"/>
          <w:szCs w:val="22"/>
          <w:color w:val="auto"/>
        </w:rPr>
        <w:t>. See definition of “Applicable Margin”.</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T2</w:t>
      </w:r>
      <w:r>
        <w:rPr>
          <w:rFonts w:ascii="Times New Roman" w:cs="Times New Roman" w:eastAsia="Times New Roman" w:hAnsi="Times New Roman"/>
          <w:sz w:val="22"/>
          <w:szCs w:val="22"/>
          <w:color w:val="auto"/>
        </w:rPr>
        <w:t>. The real time gross settlement system operated by the Eurosystem, or any successor system.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TARGET Day</w:t>
      </w:r>
      <w:r>
        <w:rPr>
          <w:rFonts w:ascii="Times New Roman" w:cs="Times New Roman" w:eastAsia="Times New Roman" w:hAnsi="Times New Roman"/>
          <w:sz w:val="22"/>
          <w:szCs w:val="22"/>
          <w:color w:val="auto"/>
        </w:rPr>
        <w:t>. Any day on which T2 is open for the settlement of payments in Euro.</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Term Bank</w:t>
      </w:r>
      <w:r>
        <w:rPr>
          <w:rFonts w:ascii="Times New Roman" w:cs="Times New Roman" w:eastAsia="Times New Roman" w:hAnsi="Times New Roman"/>
          <w:sz w:val="22"/>
          <w:szCs w:val="22"/>
          <w:color w:val="auto"/>
        </w:rPr>
        <w:t>. Any Bank that holds an Incremental Term Loan.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Term CORRA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For the applicable corresponding tenor, the forward-looking term rate based on CORRA that has been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selected or recommended by the Relevant Governmental Body, and that is published by an authorized benchmark administrator and is displayed on a screen or other information service, as identified or selected by the Administrative Agent in its reasonable discretion at approximately a time and as of a date prior to the commencement of an Interest Period determined by the Administrative Agent in its reasonable discretion in a manner substantially consistent with market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08" w:right="339" w:bottom="1440" w:gutter="0" w:footer="0" w:header="0"/>
        </w:sectPr>
      </w:pPr>
    </w:p>
    <w:bookmarkStart w:id="173" w:name="page174"/>
    <w:bookmarkEnd w:id="173"/>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FF0000"/>
          <w:strike w:val="1"/>
        </w:rPr>
        <w:t>Term CORRA Notice</w:t>
      </w:r>
      <w:r>
        <w:rPr>
          <w:rFonts w:ascii="Times New Roman" w:cs="Times New Roman" w:eastAsia="Times New Roman" w:hAnsi="Times New Roman"/>
          <w:sz w:val="22"/>
          <w:szCs w:val="22"/>
          <w:color w:val="FF0000"/>
          <w:strike w:val="1"/>
        </w:rPr>
        <w:t>. The notification by the Administrative Agent to the Banks and the Borrower of the occurrence of a</w:t>
      </w:r>
      <w:r>
        <w:rPr>
          <w:rFonts w:ascii="Times New Roman" w:cs="Times New Roman" w:eastAsia="Times New Roman" w:hAnsi="Times New Roman"/>
          <w:sz w:val="22"/>
          <w:szCs w:val="22"/>
          <w:u w:val="single" w:color="auto"/>
          <w:color w:val="FF0000"/>
          <w:strike w:val="1"/>
        </w:rPr>
        <w:t xml:space="preserve"> </w:t>
      </w:r>
      <w:r>
        <w:rPr>
          <w:rFonts w:ascii="Times New Roman" w:cs="Times New Roman" w:eastAsia="Times New Roman" w:hAnsi="Times New Roman"/>
          <w:sz w:val="22"/>
          <w:szCs w:val="22"/>
          <w:color w:val="FF0000"/>
          <w:strike w:val="1"/>
        </w:rPr>
        <w:t>Term CORRA Transition Event.</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FF0000"/>
          <w:strike w:val="1"/>
        </w:rPr>
        <w:t>Term CORRA Transition Date</w:t>
      </w:r>
      <w:r>
        <w:rPr>
          <w:rFonts w:ascii="Times New Roman" w:cs="Times New Roman" w:eastAsia="Times New Roman" w:hAnsi="Times New Roman"/>
          <w:sz w:val="22"/>
          <w:szCs w:val="22"/>
          <w:color w:val="FF0000"/>
          <w:strike w:val="1"/>
        </w:rPr>
        <w:t>. In the case of a Term CORRA Transition Event, the date that is set forth in the Term</w:t>
      </w:r>
      <w:r>
        <w:rPr>
          <w:rFonts w:ascii="Times New Roman" w:cs="Times New Roman" w:eastAsia="Times New Roman" w:hAnsi="Times New Roman"/>
          <w:sz w:val="22"/>
          <w:szCs w:val="22"/>
          <w:u w:val="single" w:color="auto"/>
          <w:color w:val="FF0000"/>
          <w:strike w:val="1"/>
        </w:rPr>
        <w:t xml:space="preserve"> </w:t>
      </w:r>
      <w:r>
        <w:rPr>
          <w:rFonts w:ascii="Times New Roman" w:cs="Times New Roman" w:eastAsia="Times New Roman" w:hAnsi="Times New Roman"/>
          <w:sz w:val="22"/>
          <w:szCs w:val="22"/>
          <w:color w:val="FF0000"/>
          <w:strike w:val="1"/>
        </w:rPr>
        <w:t>CORRA Notice provided to the Banks and the Borrower, for the replacement of the then-current Canadian Benchmark with the Canadian Benchmark Replacement described in clause (a)(i) of such definition, which date shall be at least thirty (30) Business Days from the date of the Term CORRA Notice.</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FF0000"/>
          <w:strike w:val="1"/>
        </w:rPr>
        <w:t>Term CORRA Transition Event</w:t>
      </w:r>
      <w:r>
        <w:rPr>
          <w:rFonts w:ascii="Times New Roman" w:cs="Times New Roman" w:eastAsia="Times New Roman" w:hAnsi="Times New Roman"/>
          <w:sz w:val="22"/>
          <w:szCs w:val="22"/>
          <w:color w:val="FF0000"/>
          <w:strike w:val="1"/>
        </w:rPr>
        <w:t>. The determination by the Administrative Agent that (a) Term CORRA has been</w:t>
      </w:r>
      <w:r>
        <w:rPr>
          <w:rFonts w:ascii="Times New Roman" w:cs="Times New Roman" w:eastAsia="Times New Roman" w:hAnsi="Times New Roman"/>
          <w:sz w:val="22"/>
          <w:szCs w:val="22"/>
          <w:u w:val="single" w:color="auto"/>
          <w:color w:val="FF0000"/>
          <w:strike w:val="1"/>
        </w:rPr>
        <w:t xml:space="preserve"> </w:t>
      </w:r>
      <w:r>
        <w:rPr>
          <w:rFonts w:ascii="Times New Roman" w:cs="Times New Roman" w:eastAsia="Times New Roman" w:hAnsi="Times New Roman"/>
          <w:sz w:val="22"/>
          <w:szCs w:val="22"/>
          <w:color w:val="FF0000"/>
          <w:strike w:val="1"/>
        </w:rPr>
        <w:t xml:space="preserve">recommended for use by the Relevant Governmental Body, and is determinable for any Available Tenor, (b) the administration of Term CORRA is administratively feasible for the Administrative Agent, (c) a Canadian Benchmark Replacement, other than Term CORRA, has replaced CDOR in accordance with </w:t>
      </w:r>
      <w:r>
        <w:rPr>
          <w:rFonts w:ascii="Times New Roman" w:cs="Times New Roman" w:eastAsia="Times New Roman" w:hAnsi="Times New Roman"/>
          <w:sz w:val="22"/>
          <w:szCs w:val="22"/>
          <w:u w:val="single" w:color="auto"/>
          <w:color w:val="FF0000"/>
          <w:strike w:val="1"/>
        </w:rPr>
        <w:t>§5.4(c)</w:t>
      </w:r>
      <w:r>
        <w:rPr>
          <w:rFonts w:ascii="Times New Roman" w:cs="Times New Roman" w:eastAsia="Times New Roman" w:hAnsi="Times New Roman"/>
          <w:sz w:val="22"/>
          <w:szCs w:val="22"/>
          <w:color w:val="FF0000"/>
          <w:strike w:val="1"/>
        </w:rPr>
        <w:t>, and (d) Borrower has provided a written request to Administrative Agent to transition to Term CORRA</w:t>
      </w:r>
      <w:r>
        <w:rPr>
          <w:rFonts w:ascii="Times New Roman" w:cs="Times New Roman" w:eastAsia="Times New Roman" w:hAnsi="Times New Roman"/>
          <w:sz w:val="22"/>
          <w:szCs w:val="22"/>
          <w:u w:val="single" w:color="auto"/>
          <w:color w:val="0000FF"/>
          <w:strike w:val="1"/>
        </w:rPr>
        <w:t>See definition of “Alternative Currency Term Rate”</w:t>
      </w:r>
      <w:r>
        <w:rPr>
          <w:rFonts w:ascii="Times New Roman" w:cs="Times New Roman" w:eastAsia="Times New Roman" w:hAnsi="Times New Roman"/>
          <w:sz w:val="22"/>
          <w:szCs w:val="22"/>
          <w:color w:val="000000"/>
          <w:strike w:val="1"/>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Term Rate Committed Loan</w:t>
      </w:r>
      <w:r>
        <w:rPr>
          <w:rFonts w:ascii="Times New Roman" w:cs="Times New Roman" w:eastAsia="Times New Roman" w:hAnsi="Times New Roman"/>
          <w:sz w:val="22"/>
          <w:szCs w:val="22"/>
          <w:color w:val="auto"/>
        </w:rPr>
        <w:t>. A Term SOFR Loan or an Alternative Currency Term Rate Loan, as applicable.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Term Rate Loan</w:t>
      </w:r>
      <w:r>
        <w:rPr>
          <w:rFonts w:ascii="Times New Roman" w:cs="Times New Roman" w:eastAsia="Times New Roman" w:hAnsi="Times New Roman"/>
          <w:sz w:val="22"/>
          <w:szCs w:val="22"/>
          <w:color w:val="auto"/>
        </w:rPr>
        <w:t>. A Term SOFR Loan, an Alternative Currency Term Rate Loan or an Index Rate Loan, as applicable.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53" w:lineRule="auto"/>
        <w:tabs>
          <w:tab w:leader="none" w:pos="176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Interest Period with respect to a Term SOFR Loan or an Index Rate Loan, the rate per annum equal to the Term SOFR Screen Rate two (2)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SOFR Adjustment; and</w:t>
      </w:r>
    </w:p>
    <w:p>
      <w:pPr>
        <w:spacing w:after="0" w:line="178"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4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interest calculation with respect to a Base Rate Loan on any date, the rate per annum equal to the Term SOFR Screen Rate with a term of one month commencing that day, in each case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SOFR Adjustment;</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Term SOFR determined in accordance with either of the foregoing provisions (a) or (b) of this definition would otherwise be less than zero, Term SOFR shall be deemed zero for purposes of the Loan Documents.</w:t>
      </w:r>
    </w:p>
    <w:p>
      <w:pPr>
        <w:spacing w:after="0" w:line="14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Term SOFR Loan</w:t>
      </w:r>
      <w:r>
        <w:rPr>
          <w:rFonts w:ascii="Times New Roman" w:cs="Times New Roman" w:eastAsia="Times New Roman" w:hAnsi="Times New Roman"/>
          <w:sz w:val="22"/>
          <w:szCs w:val="22"/>
          <w:color w:val="auto"/>
        </w:rPr>
        <w:t>. A Committed Loan that bears interest at a rate based on clause (a) of the definition of “Term SOFR.” All Term SOFR Loans must be denominated in Dollars.</w:t>
      </w:r>
    </w:p>
    <w:p>
      <w:pPr>
        <w:spacing w:after="0" w:line="15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Term SOFR Screen Rate</w:t>
      </w:r>
      <w:r>
        <w:rPr>
          <w:rFonts w:ascii="Times New Roman" w:cs="Times New Roman" w:eastAsia="Times New Roman" w:hAnsi="Times New Roman"/>
          <w:sz w:val="22"/>
          <w:szCs w:val="22"/>
          <w:color w:val="auto"/>
        </w:rPr>
        <w:t>. The forward-looking SOFR term rate administered by CME (or any successor administrator reasonably satisfactory to the Administrative Agent) and published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287" w:right="339" w:bottom="1440" w:gutter="0" w:footer="0" w:header="0"/>
        </w:sectPr>
      </w:pPr>
    </w:p>
    <w:bookmarkStart w:id="174" w:name="page175"/>
    <w:bookmarkEnd w:id="174"/>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the applicable Reuters screen page (or such other commercially available source providing such quotations as may be designated by the Administrative Agent from time to time).</w:t>
      </w:r>
    </w:p>
    <w:p>
      <w:pPr>
        <w:spacing w:after="0" w:line="13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u w:val="single" w:color="auto"/>
          <w:color w:val="auto"/>
        </w:rPr>
        <w:t>Total Commitment</w:t>
      </w:r>
      <w:r>
        <w:rPr>
          <w:rFonts w:ascii="Times New Roman" w:cs="Times New Roman" w:eastAsia="Times New Roman" w:hAnsi="Times New Roman"/>
          <w:sz w:val="22"/>
          <w:szCs w:val="22"/>
          <w:color w:val="auto"/>
        </w:rPr>
        <w:t xml:space="preserve">. As of any date, the sum of (i) the then current Commitments of the Revolving Credit Banks and (ii) each Incremental Term Loan Facility. As of the Closing Date, the Total Commitment is $1,500,000,000. After the Closing Date, the aggregate amount of the Total Commitment may be increased to an amount not exceeding $2,000,000,000,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Increase is in accordance with the provisions of §2.10.</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Total Credit Exposure</w:t>
      </w:r>
      <w:r>
        <w:rPr>
          <w:rFonts w:ascii="Times New Roman" w:cs="Times New Roman" w:eastAsia="Times New Roman" w:hAnsi="Times New Roman"/>
          <w:sz w:val="22"/>
          <w:szCs w:val="22"/>
          <w:color w:val="auto"/>
        </w:rPr>
        <w:t>. As to any Bank at any time, the sum of such Bank’s: (a) unused Commitment, (b) Incremental Term Loans and (c) Revolving Credit Exposure, at such time.</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Total Revolving Credit Commitment</w:t>
      </w:r>
      <w:r>
        <w:rPr>
          <w:rFonts w:ascii="Times New Roman" w:cs="Times New Roman" w:eastAsia="Times New Roman" w:hAnsi="Times New Roman"/>
          <w:sz w:val="22"/>
          <w:szCs w:val="22"/>
          <w:color w:val="auto"/>
        </w:rPr>
        <w:t>. As of any date, the sum of the then current Revolving Credit Commitments of the Banks. As of the Closing Date, the Total Revolving Credit Commitment is $1,500,000,000.</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Total Revolving Credit Exposure</w:t>
      </w:r>
      <w:r>
        <w:rPr>
          <w:rFonts w:ascii="Times New Roman" w:cs="Times New Roman" w:eastAsia="Times New Roman" w:hAnsi="Times New Roman"/>
          <w:sz w:val="22"/>
          <w:szCs w:val="22"/>
          <w:color w:val="auto"/>
        </w:rPr>
        <w:t>. As to any Revolving Credit Bank at any time, the sum of such Revolving Credit Bank’s unused Commitment and Revolving Credit Exposure at such time.</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As to any Revolving Credit Loan or Incremental Term Loan, its nature as a Base Rate Loan, a Daily SOFR Loan, a Term SOFR Loan, an Alternative Currency Daily Rate Loan or an Alternative Currency Term Rate Loan, and as to any Bid Rate Loan, its nature as an Absolute Rate Loan or an Index Rate Loan.</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UCP</w:t>
      </w:r>
      <w:r>
        <w:rPr>
          <w:rFonts w:ascii="Times New Roman" w:cs="Times New Roman" w:eastAsia="Times New Roman" w:hAnsi="Times New Roman"/>
          <w:sz w:val="22"/>
          <w:szCs w:val="22"/>
          <w:color w:val="auto"/>
        </w:rPr>
        <w:t>. With respect to any Letter of Credit, the Uniform Customs and Practice for Documentary Credits, International Chamber of Commerce (“ICC”) Publication No. 600 (or such later version thereof as may be in effect at the time of issuance).</w:t>
      </w:r>
    </w:p>
    <w:p>
      <w:pPr>
        <w:spacing w:after="0" w:line="17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The Bank of England or any other public administrative authority having responsibility for the resolution of any UK Financial Institution.</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Unanimous Bank Approval</w:t>
      </w:r>
      <w:r>
        <w:rPr>
          <w:rFonts w:ascii="Times New Roman" w:cs="Times New Roman" w:eastAsia="Times New Roman" w:hAnsi="Times New Roman"/>
          <w:sz w:val="22"/>
          <w:szCs w:val="22"/>
          <w:color w:val="auto"/>
        </w:rPr>
        <w:t>. The written consent of each Bank (other than a Delinquent Bank) that is a party to this Agreement at the time of reference.</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Unconsolidated Affiliate</w:t>
      </w:r>
      <w:r>
        <w:rPr>
          <w:rFonts w:ascii="Times New Roman" w:cs="Times New Roman" w:eastAsia="Times New Roman" w:hAnsi="Times New Roman"/>
          <w:sz w:val="22"/>
          <w:szCs w:val="22"/>
          <w:color w:val="auto"/>
        </w:rPr>
        <w:t>. At any date, any Person (x) in which the Borrower, directly or indirectly, holds an Equity Interest, which investment is accounted for in the consolidated financial statements of the Borrower on an equity basis of accounting and (y) whose financial results are not consolidated with the financial results of the Borrower under GAAP.</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Unencumbered Asset</w:t>
      </w:r>
      <w:r>
        <w:rPr>
          <w:rFonts w:ascii="Times New Roman" w:cs="Times New Roman" w:eastAsia="Times New Roman" w:hAnsi="Times New Roman"/>
          <w:sz w:val="22"/>
          <w:szCs w:val="22"/>
          <w:color w:val="auto"/>
        </w:rPr>
        <w:t>. Any Real Estate Asset that on any date of determination is not subject to any Liens, excluding any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287" w:right="339" w:bottom="1440" w:gutter="0" w:footer="0" w:header="0"/>
        </w:sectPr>
      </w:pPr>
    </w:p>
    <w:bookmarkStart w:id="175" w:name="page176"/>
    <w:bookmarkEnd w:id="175"/>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Unrestricted Cash and Cash Equivalents</w:t>
      </w:r>
      <w:r>
        <w:rPr>
          <w:rFonts w:ascii="Times New Roman" w:cs="Times New Roman" w:eastAsia="Times New Roman" w:hAnsi="Times New Roman"/>
          <w:sz w:val="22"/>
          <w:szCs w:val="22"/>
          <w:color w:val="auto"/>
        </w:rPr>
        <w:t xml:space="preserve">. As of any date of determination, the sum of (a) the aggregate amount of unrestricted cash then actually held by the Borrower or any of its Subsidiaries (excluding without limitation, until forfeited or otherwise entitled to be retained by the Borrower or any of its Subsidiaries, tenant security and other restricted deposits) and (b) the aggregate amount of unrestricted cash equivalents (valued at fair market value) then held by the Borrower or any of its Subsidiaries. As used in this definition, (i) “unrestricted” means the specified asset is not subject to any Liens in favor of any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any event, cash held in a designated hotel account which is required to be used by the Borrower or any Subsidiary in connection with such hotel shall be deemed to be unrestricted cash, and (ii) “cash equivalents” means that such asset has a liquid, par value in cash and is convertible to cash on demand. Notwithstanding anything contained herein to the contrary, the term Unrestricted Cash and Cash Equivalents shall not include the Commitments of the Banks to make Loans or to make any other extension of credit under this Agreement.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Unsecured Consolidated Total Indebtedness</w:t>
      </w:r>
      <w:r>
        <w:rPr>
          <w:rFonts w:ascii="Times New Roman" w:cs="Times New Roman" w:eastAsia="Times New Roman" w:hAnsi="Times New Roman"/>
          <w:sz w:val="22"/>
          <w:szCs w:val="22"/>
          <w:color w:val="auto"/>
        </w:rPr>
        <w:t>. As of any date of determination, the aggregate principal amount of Consolidated Total Indebtedness of the Borrower and its Subsidiaries outstanding at such date (including, without limitation, all the Obligations under this Agreement as of such date), that is not secured by a Lien evidenced by a mortgage, deed of trust or other similar security interest and excluding, in any event any Consolidated Total Indebtedness included in (ii) of the definition of Secured Consolidated Total Indebtedness.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See §7.19(b).</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Any Person that is a “United States Person” as defined in Section 7701(a)(30)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See §5.2(e)(B)(III).</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Wholly-owned Subsidiary</w:t>
      </w:r>
      <w:r>
        <w:rPr>
          <w:rFonts w:ascii="Times New Roman" w:cs="Times New Roman" w:eastAsia="Times New Roman" w:hAnsi="Times New Roman"/>
          <w:sz w:val="22"/>
          <w:szCs w:val="22"/>
          <w:color w:val="auto"/>
        </w:rPr>
        <w:t>. Any Subsidiary which the Borrower shall at all times own directly or indirectly (through a Subsidiary or Subsidiaries) at least a majority (by number of votes or controlling interests) of the outstanding voting interests and ninety-nine percent (99%) of the economic interests. For purposes of this definition, with respect to any Subsidiary of the Borrower which is a Massachusetts nominee trust, references to such Subsidiary shall be deemed to be references to the beneficiary or beneficiaries of such nominee trust.</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Without Recourse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without recourse</w:t>
      </w:r>
      <w:r>
        <w:rPr>
          <w:rFonts w:ascii="Times New Roman" w:cs="Times New Roman" w:eastAsia="Times New Roman" w:hAnsi="Times New Roman"/>
          <w:sz w:val="22"/>
          <w:szCs w:val="22"/>
          <w:color w:val="auto"/>
        </w:rPr>
        <w:t>. With reference to any obligation or liability, any obligation or liability for which the obligor thereunder is not liable or obligated other than as to its interest in a designated Real Estate Asset or other specifically identified asset only, subject to such limited exceptions to the non-recourse nature of such obligation or liability, such as, but not limited to, fraud, misappropriation, misapplication and environmental indemnities, as are usual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287"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2"/>
          <w:szCs w:val="22"/>
          <w:color w:val="auto"/>
        </w:rPr>
        <w:t>and customary in like transactions involving institutional lenders at the time of the incurrence of such obligation or liability.</w:t>
      </w:r>
    </w:p>
    <w:p>
      <w:pPr>
        <w:spacing w:after="0" w:line="23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§1.2</w:t>
      </w:r>
      <w:r>
        <w:rPr>
          <w:sz w:val="20"/>
          <w:szCs w:val="20"/>
          <w:color w:val="auto"/>
        </w:rPr>
        <w:tab/>
      </w:r>
      <w:r>
        <w:rPr>
          <w:rFonts w:ascii="Times New Roman" w:cs="Times New Roman" w:eastAsia="Times New Roman" w:hAnsi="Times New Roman"/>
          <w:sz w:val="21"/>
          <w:szCs w:val="21"/>
          <w:u w:val="single" w:color="auto"/>
          <w:color w:val="auto"/>
        </w:rPr>
        <w:t>Rules of Interpretation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941"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the context requires otherwise, a reference to any document or agreement shall include such document or agreement as amended, modified or supplemented from time to time in accordance with its terms or the terms of this Agreement.</w:t>
      </w:r>
    </w:p>
    <w:p>
      <w:pPr>
        <w:spacing w:after="0" w:line="167"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singular includes the plural and the plural includes the singular.</w:t>
      </w:r>
    </w:p>
    <w:p>
      <w:pPr>
        <w:spacing w:after="0" w:line="219"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927"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w:t>
      </w:r>
    </w:p>
    <w:p>
      <w:pPr>
        <w:spacing w:after="0" w:line="186"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reference to any Person includes its permitted successors and permitted assigns.</w:t>
      </w:r>
    </w:p>
    <w:p>
      <w:pPr>
        <w:spacing w:after="0" w:line="219" w:lineRule="exact"/>
        <w:rPr>
          <w:rFonts w:ascii="Times New Roman" w:cs="Times New Roman" w:eastAsia="Times New Roman" w:hAnsi="Times New Roman"/>
          <w:sz w:val="22"/>
          <w:szCs w:val="22"/>
          <w:color w:val="010000"/>
        </w:rPr>
      </w:pPr>
    </w:p>
    <w:p>
      <w:pPr>
        <w:ind w:firstLine="1304"/>
        <w:spacing w:after="0" w:line="271" w:lineRule="auto"/>
        <w:tabs>
          <w:tab w:leader="none" w:pos="1819"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Accounting terms not otherwise defined herein have the meanings assigned to them by generally accepted accounting principles applied on a consistent basis by the accounting entity to which they refer.</w:t>
      </w:r>
    </w:p>
    <w:p>
      <w:pPr>
        <w:spacing w:after="0" w:line="157" w:lineRule="exact"/>
        <w:rPr>
          <w:rFonts w:ascii="Times New Roman" w:cs="Times New Roman" w:eastAsia="Times New Roman" w:hAnsi="Times New Roman"/>
          <w:sz w:val="22"/>
          <w:szCs w:val="22"/>
          <w:color w:val="010000"/>
        </w:rPr>
      </w:pPr>
    </w:p>
    <w:p>
      <w:pPr>
        <w:ind w:left="1740" w:hanging="436"/>
        <w:spacing w:after="0"/>
        <w:tabs>
          <w:tab w:leader="none" w:pos="1740"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words “include”, “includes” and “including” are not limiting.</w:t>
      </w:r>
    </w:p>
    <w:p>
      <w:pPr>
        <w:spacing w:after="0" w:line="219" w:lineRule="exact"/>
        <w:rPr>
          <w:rFonts w:ascii="Times New Roman" w:cs="Times New Roman" w:eastAsia="Times New Roman" w:hAnsi="Times New Roman"/>
          <w:sz w:val="22"/>
          <w:szCs w:val="22"/>
          <w:color w:val="010000"/>
        </w:rPr>
      </w:pPr>
    </w:p>
    <w:p>
      <w:pPr>
        <w:ind w:right="20" w:firstLine="1304"/>
        <w:spacing w:after="0" w:line="284" w:lineRule="auto"/>
        <w:tabs>
          <w:tab w:leader="none" w:pos="1845"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terms not specifically defined herein or by generally accepted accounting principles, which terms are defined in the Uniform Commercial Code as in effect in New York, have the meanings assigned to them therein.</w:t>
      </w:r>
    </w:p>
    <w:p>
      <w:pPr>
        <w:spacing w:after="0" w:line="143"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845" w:val="left"/>
        </w:tabs>
        <w:numPr>
          <w:ilvl w:val="0"/>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 to a particular “§” or “Section” or “Exhibit” or “Schedule” refers to that section of, Exhibit or Schedule to this Agreement unless otherwise indicated, and “§” or “Section” may be used interchangeably in this Agreement and in the other Loan Documents to refer to a section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287" w:right="339" w:bottom="1440" w:gutter="0" w:footer="0" w:header="0"/>
        </w:sectPr>
      </w:pPr>
    </w:p>
    <w:bookmarkStart w:id="177" w:name="page178"/>
    <w:bookmarkEnd w:id="177"/>
    <w:p>
      <w:pPr>
        <w:ind w:firstLine="1304"/>
        <w:spacing w:after="0" w:line="284" w:lineRule="auto"/>
        <w:tabs>
          <w:tab w:leader="none" w:pos="1729"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words “herein”, “hereof”, “hereunder” and words of like import shall refer to this Agreement as a whole and not to any particular section or subdivision of this Agreement.</w:t>
      </w:r>
    </w:p>
    <w:p>
      <w:pPr>
        <w:spacing w:after="0" w:line="143" w:lineRule="exact"/>
        <w:rPr>
          <w:rFonts w:ascii="Times New Roman" w:cs="Times New Roman" w:eastAsia="Times New Roman" w:hAnsi="Times New Roman"/>
          <w:sz w:val="22"/>
          <w:szCs w:val="22"/>
          <w:color w:val="010000"/>
        </w:rPr>
      </w:pPr>
    </w:p>
    <w:p>
      <w:pPr>
        <w:ind w:firstLine="1304"/>
        <w:spacing w:after="0" w:line="271" w:lineRule="auto"/>
        <w:tabs>
          <w:tab w:leader="none" w:pos="1716"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References to times of a day which are not otherwise made specific to a particular time zone shall refer to the time (daylight or standard, as applicable) in the Eastern Time Zone in the United States.</w:t>
      </w:r>
    </w:p>
    <w:p>
      <w:pPr>
        <w:spacing w:after="0" w:line="157" w:lineRule="exact"/>
        <w:rPr>
          <w:rFonts w:ascii="Times New Roman" w:cs="Times New Roman" w:eastAsia="Times New Roman" w:hAnsi="Times New Roman"/>
          <w:sz w:val="22"/>
          <w:szCs w:val="22"/>
          <w:color w:val="010000"/>
        </w:rPr>
      </w:pPr>
    </w:p>
    <w:p>
      <w:pPr>
        <w:jc w:val="both"/>
        <w:ind w:firstLine="1304"/>
        <w:spacing w:after="0" w:line="247" w:lineRule="auto"/>
        <w:tabs>
          <w:tab w:leader="none" w:pos="1777"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otherwise expressly provided herein, all terms of an accounting or financial nature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Initial Financial Statements, except as otherwise specifically prescribed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any time any change in GAAP (including the adoption of IFRS) would affect the computation of any financial ratio or requirement set forth in any Loan Document, and either the Borrower shall request or the Required Banks shall reasonably request, the Agent, the Banks and the Borrower shall negotiate in good faith to amend such ratio or requirement to preserve the original intent thereof in light of such change in GAAP (subject to the approval of the Required Banks);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so amended, (i) such ratio or requirement shall continue to be computed in accordance with GAAP prior to such change therein and (ii) the Borrower shall provide to the Agent and the Banks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Initial Financial Statements for all purposes of this Agreement, notwithstanding any change in GAAP relating thereto, unless the parties hereto shall enter into a mutually acceptable amendment addressing such changes, as provided for above.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805 and FASB ASC 470-20 on financial liabilities shall be disregarded.</w:t>
      </w:r>
    </w:p>
    <w:p>
      <w:pPr>
        <w:spacing w:after="0" w:line="196" w:lineRule="exact"/>
        <w:rPr>
          <w:rFonts w:ascii="Times New Roman" w:cs="Times New Roman" w:eastAsia="Times New Roman" w:hAnsi="Times New Roman"/>
          <w:sz w:val="22"/>
          <w:szCs w:val="22"/>
          <w:color w:val="010000"/>
        </w:rPr>
      </w:pPr>
    </w:p>
    <w:p>
      <w:pPr>
        <w:ind w:firstLine="1304"/>
        <w:spacing w:after="0" w:line="271" w:lineRule="auto"/>
        <w:tabs>
          <w:tab w:leader="none" w:pos="1743"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words “asset” and “property” shall be construed to have the same meaning and effect and to refer to any and all tangible and intangible assets and properties, including cash, securities, accounts and contract rights.</w:t>
      </w:r>
    </w:p>
    <w:p>
      <w:pPr>
        <w:spacing w:after="0" w:line="157"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837"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86"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939"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287" w:right="339" w:bottom="1440" w:gutter="0" w:footer="0" w:header="0"/>
        </w:sectPr>
      </w:pPr>
    </w:p>
    <w:bookmarkStart w:id="178" w:name="page179"/>
    <w:bookmarkEnd w:id="178"/>
    <w:p>
      <w:pPr>
        <w:jc w:val="both"/>
        <w:ind w:firstLine="1304"/>
        <w:spacing w:after="0" w:line="253" w:lineRule="auto"/>
        <w:tabs>
          <w:tab w:leader="none" w:pos="1872"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reference herein to a merger, transfer, consolidation, amalgamation, consolidation, assignment, sale, disposition or transfer, or similar term, shall be deemed to apply to a Division as if it were a merger, transfer, consolidation, amalgamation, consolidation, assignment, sale, disposition or transfer, or similar term, as applicable, to, of or with a separate Person. Any Division Successor shall constitute a separate Person hereunder (and each Division of any Person that is a Subsidiary, joint venture or any other like term shall also constitute such a Person or entity).</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§1.3</w:t>
      </w:r>
      <w:r>
        <w:rPr>
          <w:sz w:val="20"/>
          <w:szCs w:val="20"/>
          <w:color w:val="auto"/>
        </w:rPr>
        <w:tab/>
      </w:r>
      <w:r>
        <w:rPr>
          <w:rFonts w:ascii="Times New Roman" w:cs="Times New Roman" w:eastAsia="Times New Roman" w:hAnsi="Times New Roman"/>
          <w:sz w:val="21"/>
          <w:szCs w:val="21"/>
          <w:u w:val="single" w:color="auto"/>
          <w:color w:val="auto"/>
        </w:rPr>
        <w:t>Exchange Rates; Currency Equivalents; Interest Rates.</w:t>
      </w:r>
    </w:p>
    <w:p>
      <w:pPr>
        <w:spacing w:after="0" w:line="233" w:lineRule="exact"/>
        <w:rPr>
          <w:sz w:val="20"/>
          <w:szCs w:val="20"/>
          <w:color w:val="auto"/>
        </w:rPr>
      </w:pPr>
    </w:p>
    <w:p>
      <w:pPr>
        <w:jc w:val="both"/>
        <w:ind w:firstLine="1304"/>
        <w:spacing w:after="0" w:line="250" w:lineRule="auto"/>
        <w:tabs>
          <w:tab w:leader="none" w:pos="1846"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Agent or the applicable Fronting Bank, as the case may be, shall in good faith determine the Dollar Equivalents of Loans, Letters of Credit and Outstanding Amounts denominated in Alternative Currencies as of each Revaluation Date. Such Dollar Equivalents shall become effective as of such Revaluation Date and shall be the Dollar Equivalents of such amounts until the next Revaluation Date to occur. Except for purposes of financial statements delivered by the Borrower hereunder or calculating financial covenants hereunder or except as otherwise provided herein, the applicable amount of any currency (other than Dollars) for purposes of the Loan Documents shall be such Dollar Equivalent amount as so determined by the Agent or the applicable Fronting Bank, as the case may be.</w:t>
      </w:r>
    </w:p>
    <w:p>
      <w:pPr>
        <w:spacing w:after="0" w:line="180"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764"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Wherever in this Agreement in connection with the borrowing, conversion, continuation or prepayment of an Alternative Currency Loan or the issuance, amendment or extension of a Letter of Credit, an amount, such as a required minimum or multiple amount, is expressed in Dollars, but such Loan or Letter of Credit is denominated in an Alternative Currency, such amount shall be the relevant Alternative Currency Equivalent of such Dollar amount (rounded to the nearest unit of such Alternative Currency, with 0.5 of a unit being rounded upward), as determined in good faith by the Agent or the applicable Fronting Bank, as the case may be.</w:t>
      </w:r>
    </w:p>
    <w:p>
      <w:pPr>
        <w:spacing w:after="0" w:line="181" w:lineRule="exact"/>
        <w:rPr>
          <w:rFonts w:ascii="Times New Roman" w:cs="Times New Roman" w:eastAsia="Times New Roman" w:hAnsi="Times New Roman"/>
          <w:sz w:val="22"/>
          <w:szCs w:val="22"/>
          <w:color w:val="010000"/>
        </w:rPr>
      </w:pPr>
    </w:p>
    <w:p>
      <w:pPr>
        <w:jc w:val="both"/>
        <w:ind w:firstLine="1304"/>
        <w:spacing w:after="0" w:line="260" w:lineRule="auto"/>
        <w:tabs>
          <w:tab w:leader="none" w:pos="1792" w:val="left"/>
        </w:tabs>
        <w:numPr>
          <w:ilvl w:val="0"/>
          <w:numId w:val="1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Agent does not warrant, nor accept responsibility, nor shall the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Canadian Benchmark Replacement) (or any component of any of the foregoing) or the effect of any of the foregoing, or of any Conforming Changes or Canadian Benchmark Replacement Conforming Changes. The Agent and its affiliates or other related entities may engage in transactions or other activities that affect any reference rate referred to herein, or any alternative, successor or replacement rate (including, without limitation, any Successor Rate or Canadian Benchmark Replacement) (or any component of any of the foregoing) or any related spread or other adjustments thereto, in each case, in a manner adverse to the Borrower. The Agent may select information sources or services in its reasonable discretion to ascertain any reference rate referred to herein or any alternative, successor or replacement rate (including, without limitation, any Successor Rate or Canadian Benchmark Replacement) (or any component of any of the foregoing), in each case pursuant to the terms of this Agreement, and shall have no liability to the Borrower, any Bank or any other person or entity for damages of any kind, including direct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287" w:right="339" w:bottom="1440" w:gutter="0" w:footer="0" w:header="0"/>
        </w:sectPr>
      </w:pPr>
    </w:p>
    <w:bookmarkStart w:id="179" w:name="page180"/>
    <w:bookmarkEnd w:id="179"/>
    <w:p>
      <w:pPr>
        <w:jc w:val="both"/>
        <w:spacing w:after="0" w:line="263" w:lineRule="auto"/>
        <w:rPr>
          <w:sz w:val="20"/>
          <w:szCs w:val="20"/>
          <w:color w:val="auto"/>
        </w:rPr>
      </w:pPr>
      <w:r>
        <w:rPr>
          <w:rFonts w:ascii="Times New Roman" w:cs="Times New Roman" w:eastAsia="Times New Roman" w:hAnsi="Times New Roman"/>
          <w:sz w:val="22"/>
          <w:szCs w:val="22"/>
          <w:color w:val="auto"/>
        </w:rPr>
        <w:t>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6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§1.4</w:t>
      </w:r>
      <w:r>
        <w:rPr>
          <w:sz w:val="20"/>
          <w:szCs w:val="20"/>
          <w:color w:val="auto"/>
        </w:rPr>
        <w:tab/>
      </w:r>
      <w:r>
        <w:rPr>
          <w:rFonts w:ascii="Times New Roman" w:cs="Times New Roman" w:eastAsia="Times New Roman" w:hAnsi="Times New Roman"/>
          <w:sz w:val="21"/>
          <w:szCs w:val="21"/>
          <w:u w:val="single" w:color="auto"/>
          <w:color w:val="auto"/>
        </w:rPr>
        <w:t>Additional Alternative Currencies.</w:t>
      </w:r>
    </w:p>
    <w:p>
      <w:pPr>
        <w:spacing w:after="0" w:line="206" w:lineRule="exact"/>
        <w:rPr>
          <w:sz w:val="20"/>
          <w:szCs w:val="20"/>
          <w:color w:val="auto"/>
        </w:rPr>
      </w:pPr>
    </w:p>
    <w:p>
      <w:pPr>
        <w:jc w:val="both"/>
        <w:ind w:firstLine="1304"/>
        <w:spacing w:after="0" w:line="243" w:lineRule="auto"/>
        <w:tabs>
          <w:tab w:leader="none" w:pos="1833"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Borrower may from time to time request that Alternative Currency Loans be made and/or Letters of Credit be issued in a currency other than those specifically listed in the definition of “Alternative Currency;”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requested currency is an Eligible Currency. In the case of any such request with respect to the making of Alternative Currency Loans, such request shall be subject to the approval of the Agent and the Banks; and in the case of any such request with respect to the issuance of Letters of Credit, such request shall be subject to the approval of the Agent and the applicable Fronting Bank issuing such Letter of Credit.</w:t>
      </w:r>
    </w:p>
    <w:p>
      <w:pPr>
        <w:spacing w:after="0" w:line="177" w:lineRule="exact"/>
        <w:rPr>
          <w:rFonts w:ascii="Times New Roman" w:cs="Times New Roman" w:eastAsia="Times New Roman" w:hAnsi="Times New Roman"/>
          <w:sz w:val="22"/>
          <w:szCs w:val="22"/>
          <w:color w:val="010000"/>
        </w:rPr>
      </w:pPr>
    </w:p>
    <w:p>
      <w:pPr>
        <w:jc w:val="both"/>
        <w:ind w:firstLine="1304"/>
        <w:spacing w:after="0" w:line="242" w:lineRule="auto"/>
        <w:tabs>
          <w:tab w:leader="none" w:pos="1764"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such request shall be made to the Agent not later than 11:00 a.m., twenty (20) Business Days prior to the Drawdown Date of the desired Alternative Currency Loan or issuance of the desired Letter of Credit (or such other time or date as may be agreed by the Agent and, in the case of any such request pertaining to Letters of Credit, the applicable Fronting Bank, in its or their sole discretion). In the case of any such request pertaining to Alternative Currency Loans, the Agent shall promptly notify each Bank thereof; and in the case of any such request pertaining to Letters of Credit, the Agent shall promptly notify each Fronting Bank thereof. Each Bank (in the case of any such request pertaining to Alternative Currency Loans) or each Fronting Bank (in the case of a request pertaining to Letters of Credit) shall notify the Agent, not later than 11:00 a.m., ten (10) Business Days after receipt of such request whether it consents, in its sole discretion, to the making of Alternative Currency Loans or the issuance of Letters of Credit, as the case may be, in such requested currency.</w:t>
      </w:r>
    </w:p>
    <w:p>
      <w:pPr>
        <w:spacing w:after="0" w:line="174" w:lineRule="exact"/>
        <w:rPr>
          <w:rFonts w:ascii="Times New Roman" w:cs="Times New Roman" w:eastAsia="Times New Roman" w:hAnsi="Times New Roman"/>
          <w:sz w:val="22"/>
          <w:szCs w:val="22"/>
          <w:color w:val="010000"/>
        </w:rPr>
      </w:pPr>
    </w:p>
    <w:p>
      <w:pPr>
        <w:jc w:val="both"/>
        <w:ind w:firstLine="1304"/>
        <w:spacing w:after="0"/>
        <w:tabs>
          <w:tab w:leader="none" w:pos="1819"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failure by a Bank or a Fronting Bank, as the case may be, to respond to such request within the time period specified in the preceding sentence shall be deemed to be a refusal by such Bank or such Fronting Bank, as the case may be, to permit Alternative Currency Loans to be made or Letters of Credit to be issued in such requested currency. If the Agent and all the Banks consent to making Alternative Currency Loans in such requested currency and the Agent and such Banks reasonably determine that an appropriate interest rate is available to be used for such requested currency, the Agent shall so notify the Borrower and (i) the Agent and such Banks may amend the definition of Alternative Currency Daily Rate or Alternative Currency Term Rate and the definition of Relevant Rate, in each case, to the extent necessary to add the applicable rate for such currency and any applicable adjustment for such rate and (ii) to the extent the definition of Alternative Currency Daily Rate or Alternative Currency Term Rate, as applicable, and the definition of Relevant Rate have been amended to reflect the appropriate rate for such currency, such currency shall thereupon be deemed for all purposes to be an Alternative Currency hereunder for purposes of any borrowing of Alternative Currency Loans; and if the Agent and any Fronting Bank consent to the issuance of Letters of Credit in such requested currency, the Agent shall so notify the Borrower and (i) the Agent and such Fronting Bank may amend the definition of Alternative Currency Daily Rate or Alternative Currency Term Rate, as applicable, and the definition of Relevant Rate, in each case, to the extent necessary to add the applicable rate for such currency and any applicable adjustment for such rate and (ii) to the extent the definition of Alternative Currency Daily Rate or Alternative Currency Term Rate,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287" w:right="339" w:bottom="1440" w:gutter="0" w:footer="0" w:header="0"/>
        </w:sectPr>
      </w:pPr>
    </w:p>
    <w:bookmarkStart w:id="180" w:name="page181"/>
    <w:bookmarkEnd w:id="180"/>
    <w:p>
      <w:pPr>
        <w:jc w:val="both"/>
        <w:spacing w:after="0" w:line="248" w:lineRule="auto"/>
        <w:rPr>
          <w:sz w:val="20"/>
          <w:szCs w:val="20"/>
          <w:color w:val="auto"/>
        </w:rPr>
      </w:pPr>
      <w:r>
        <w:rPr>
          <w:rFonts w:ascii="Times New Roman" w:cs="Times New Roman" w:eastAsia="Times New Roman" w:hAnsi="Times New Roman"/>
          <w:sz w:val="22"/>
          <w:szCs w:val="22"/>
          <w:color w:val="auto"/>
        </w:rPr>
        <w:t>applicable, and the definition of Relevant Rate have been amended to reflect the appropriate rate for such currency, such currency shall thereupon be deemed for all purposes to be an Alternative Currency hereunder for purposes of any Letter of Credit issuances solely by such Fronting Bank. If the Agent shall fail to obtain consent to any request for an additional currency under this §1.4, the Agent shall promptly so notify the Borrower.</w:t>
      </w:r>
    </w:p>
    <w:p>
      <w:pPr>
        <w:spacing w:after="0" w:line="18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§1.5</w:t>
      </w:r>
      <w:r>
        <w:rPr>
          <w:sz w:val="20"/>
          <w:szCs w:val="20"/>
          <w:color w:val="auto"/>
        </w:rPr>
        <w:tab/>
      </w:r>
      <w:r>
        <w:rPr>
          <w:rFonts w:ascii="Times New Roman" w:cs="Times New Roman" w:eastAsia="Times New Roman" w:hAnsi="Times New Roman"/>
          <w:sz w:val="21"/>
          <w:szCs w:val="21"/>
          <w:u w:val="single" w:color="auto"/>
          <w:color w:val="auto"/>
        </w:rPr>
        <w:t>Change of Currency.</w:t>
      </w:r>
    </w:p>
    <w:p>
      <w:pPr>
        <w:spacing w:after="0" w:line="206" w:lineRule="exact"/>
        <w:rPr>
          <w:sz w:val="20"/>
          <w:szCs w:val="20"/>
          <w:color w:val="auto"/>
        </w:rPr>
      </w:pPr>
    </w:p>
    <w:p>
      <w:pPr>
        <w:jc w:val="both"/>
        <w:ind w:firstLine="1304"/>
        <w:spacing w:after="0" w:line="241" w:lineRule="auto"/>
        <w:tabs>
          <w:tab w:leader="none" w:pos="1887"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Loan in the currency of such member state is outstanding immediately prior to such date, such replacement shall take effect, with respect to such Loan, at the end of the then current Interest Period.</w:t>
      </w:r>
    </w:p>
    <w:p>
      <w:pPr>
        <w:spacing w:after="0" w:line="195"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18"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provision of this Agreement shall be subject to such reasonable changes of construction as the Agent may from time to time specify to be appropriate to reflect the adoption of the Euro by any member state of the European Union and any relevant market conventions or practices relating to the Euro.</w:t>
      </w:r>
    </w:p>
    <w:p>
      <w:pPr>
        <w:spacing w:after="0" w:line="167"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33"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provision of this Agreement also shall be subject to such reasonable changes of construction as the Agent may from time to time specify to be appropriate to reflect a change in currency of any other country and any relevant market conventions or practices relating to the change in currency.</w:t>
      </w:r>
    </w:p>
    <w:p>
      <w:pPr>
        <w:spacing w:after="0" w:line="1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010000"/>
        </w:rPr>
        <w:t xml:space="preserve">§1.6 </w:t>
      </w:r>
      <w:r>
        <w:rPr>
          <w:rFonts w:ascii="Times New Roman" w:cs="Times New Roman" w:eastAsia="Times New Roman" w:hAnsi="Times New Roman"/>
          <w:sz w:val="22"/>
          <w:szCs w:val="22"/>
          <w:u w:val="single" w:color="auto"/>
          <w:color w:val="000000"/>
        </w:rPr>
        <w:t>Letter of Credit Amounts.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Unless otherwise specified herein, the amount of a Letter of Credit at any time shall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deemed to be the Dollar Equivalent of the stated amount of such Letter of Credit in effect at such time;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times.</w:t>
      </w:r>
    </w:p>
    <w:p>
      <w:pPr>
        <w:spacing w:after="0" w:line="191"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010000"/>
        </w:rPr>
        <w:t>§2</w:t>
      </w:r>
      <w:r>
        <w:rPr>
          <w:sz w:val="20"/>
          <w:szCs w:val="20"/>
          <w:color w:val="auto"/>
        </w:rPr>
        <w:tab/>
      </w:r>
      <w:r>
        <w:rPr>
          <w:rFonts w:ascii="Times New Roman" w:cs="Times New Roman" w:eastAsia="Times New Roman" w:hAnsi="Times New Roman"/>
          <w:sz w:val="21"/>
          <w:szCs w:val="21"/>
          <w:u w:val="single" w:color="auto"/>
          <w:color w:val="auto"/>
        </w:rPr>
        <w:t>THE FACILITIES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§2.1</w:t>
      </w:r>
      <w:r>
        <w:rPr>
          <w:sz w:val="20"/>
          <w:szCs w:val="20"/>
          <w:color w:val="auto"/>
        </w:rPr>
        <w:tab/>
      </w:r>
      <w:r>
        <w:rPr>
          <w:rFonts w:ascii="Times New Roman" w:cs="Times New Roman" w:eastAsia="Times New Roman" w:hAnsi="Times New Roman"/>
          <w:sz w:val="21"/>
          <w:szCs w:val="21"/>
          <w:u w:val="single" w:color="auto"/>
          <w:color w:val="auto"/>
        </w:rPr>
        <w:t>Commitment to Lend.</w:t>
      </w:r>
    </w:p>
    <w:p>
      <w:pPr>
        <w:spacing w:after="0" w:line="206" w:lineRule="exact"/>
        <w:rPr>
          <w:sz w:val="20"/>
          <w:szCs w:val="20"/>
          <w:color w:val="auto"/>
        </w:rPr>
      </w:pPr>
    </w:p>
    <w:p>
      <w:pPr>
        <w:jc w:val="both"/>
        <w:ind w:firstLine="1304"/>
        <w:spacing w:after="0" w:line="247" w:lineRule="auto"/>
        <w:tabs>
          <w:tab w:leader="none" w:pos="1765"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Revolving Credit Loans</w:t>
      </w:r>
      <w:r>
        <w:rPr>
          <w:rFonts w:ascii="Times New Roman" w:cs="Times New Roman" w:eastAsia="Times New Roman" w:hAnsi="Times New Roman"/>
          <w:sz w:val="22"/>
          <w:szCs w:val="22"/>
          <w:color w:val="auto"/>
        </w:rPr>
        <w:t>. Subject to the provisions of §2.4 and the other terms and conditions set forth in this Agreement, each of the Revolving Credit Banks severally agrees to lend to the Borrower, and the Borrower may borrow, repay, and reborrow from each Bank from time to time between the Closing Date and the Maturity Date of the Total Revolving Credit Commitment upon notice by the Borrower to the Agent given in accordance with §2.4, such sums in Dollars or in one or more Alternative Currencies as are requested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273" w:right="339" w:bottom="1440" w:gutter="0" w:footer="0" w:header="0"/>
        </w:sectPr>
      </w:pPr>
    </w:p>
    <w:bookmarkStart w:id="181" w:name="page182"/>
    <w:bookmarkEnd w:id="181"/>
    <w:p>
      <w:pPr>
        <w:jc w:val="both"/>
        <w:spacing w:after="0"/>
        <w:rPr>
          <w:sz w:val="20"/>
          <w:szCs w:val="20"/>
          <w:color w:val="auto"/>
        </w:rPr>
      </w:pPr>
      <w:r>
        <w:rPr>
          <w:rFonts w:ascii="Times New Roman" w:cs="Times New Roman" w:eastAsia="Times New Roman" w:hAnsi="Times New Roman"/>
          <w:sz w:val="22"/>
          <w:szCs w:val="22"/>
          <w:color w:val="auto"/>
        </w:rPr>
        <w:t xml:space="preserve">up to a maximum aggregate principal amount outstanding (after giving effect to all amounts requested) at any one time equal to such Bank’s Revolving Credit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any such borrowing, (i) the Outstanding Amount of all Revolving Credit Loans and Letter of Credit Obligations shall not at any time exceed the Total Revolving Credit Commitment and (ii) the Revolving Credit Exposure of any Bank shall not at any time exceed such Bank’s Revolving Credit Commitment,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at the time the Borrower requests a Revolving Credit Loan and after giving effect to the making thereof: (i) in the case of any borrowing, all of the conditions in §13 (and in the case of any initial borrowing or other extension of credit on the Closing Date, also the conditions in §12) have been met at the time of such request, and (ii) there has not occurred and is not continuing (or will not occur by reason thereof) any Default or Event of Default; it being acknowledged and agreed that the Borrower shall be permitted to request and borrow Loans if a Non-Material Breach (rather than a Default or Event of Default) exists.</w:t>
      </w:r>
    </w:p>
    <w:p>
      <w:pPr>
        <w:spacing w:after="0" w:line="197" w:lineRule="exact"/>
        <w:rPr>
          <w:sz w:val="20"/>
          <w:szCs w:val="20"/>
          <w:color w:val="auto"/>
        </w:rPr>
      </w:pPr>
    </w:p>
    <w:p>
      <w:pPr>
        <w:jc w:val="both"/>
        <w:ind w:firstLine="1304"/>
        <w:spacing w:after="0" w:line="243" w:lineRule="auto"/>
        <w:tabs>
          <w:tab w:leader="none" w:pos="1791" w:val="left"/>
        </w:tabs>
        <w:numPr>
          <w:ilvl w:val="0"/>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Incremental Term Loans</w:t>
      </w:r>
      <w:r>
        <w:rPr>
          <w:rFonts w:ascii="Times New Roman" w:cs="Times New Roman" w:eastAsia="Times New Roman" w:hAnsi="Times New Roman"/>
          <w:sz w:val="22"/>
          <w:szCs w:val="22"/>
          <w:color w:val="auto"/>
        </w:rPr>
        <w:t xml:space="preserve">. Subject to the provisions of §2.4 and §2.10 and the other terms and conditions set forth in this Agreement and in the Incremental Term Loan Facility Documents with respect to any Incremental Term Loan Facility, each Term Loan Bank participating in such Incremental Term Loan Facility severally agrees to make a term loan to the Borrower on the effective date of the applicable Increase;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amounts borrowed under this §2.1(b) and repaid or prepaid may not be reborrowed.</w:t>
      </w:r>
    </w:p>
    <w:p>
      <w:pPr>
        <w:spacing w:after="0" w:line="190"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819" w:val="left"/>
        </w:tabs>
        <w:numPr>
          <w:ilvl w:val="0"/>
          <w:numId w:val="1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Revolving Credit Loans and Incremental Term Loans shall be made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in accordance with each applicable Bank’s applicable Commitment Percentage. Each request for a Committed Loan made pursuant to §2.4 shall constitute a representation and warranty by the Borrower that the conditions set forth in §12 have been satisfied (except to the extent any such condition has been waived and/or deferred in writing by the Agent and the required number of Banks) as of the Closing Date and that the conditions set forth in §13 (and, in the case of Incremental Term Loans, in §2.10) have been satisfied (except to the extent any such condition has been waived and/or deferred in writing by the Agent and the required number of Banks) on the date of such request and will be satisfied (except to the extent any such condition has been waived and/or deferred in writing by the Agent and the required number of Banks) on the proposed Drawdown Date of the requested Committed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making of such representation and warranty by the Borrower shall not limit the right of any Bank not to lend if such conditions have not been met. No Committed Loan or other extension of credit shall be required to be made by any Bank unless (in connection with the initial Loan or Letter of Credit or other extension of credit) all of the conditions contained in §12 have been satisfied (except to the extent any such condition has been waived and/or deferred in writing by the Agent and the required number of Banks) as of the Closing Date and unless all of the conditions set forth in §13 (and, in the case of Incremental Term Loans, in §2.10) have been met at the time of any request for a Committed Loan or other extension of credit (except to the extent any such condition has been waived and/or deferred in writing by the Agent and the required number of Banks).</w:t>
      </w:r>
    </w:p>
    <w:p>
      <w:pPr>
        <w:spacing w:after="0" w:line="1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010000"/>
        </w:rPr>
        <w:t xml:space="preserve">§2.2 </w:t>
      </w:r>
      <w:r>
        <w:rPr>
          <w:rFonts w:ascii="Times New Roman" w:cs="Times New Roman" w:eastAsia="Times New Roman" w:hAnsi="Times New Roman"/>
          <w:sz w:val="22"/>
          <w:szCs w:val="22"/>
          <w:u w:val="single" w:color="auto"/>
          <w:color w:val="000000"/>
        </w:rPr>
        <w:t>Evidence of the Committed Loans.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Revolving Credit Loans and Incremental Term Loans made by each Bank</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shall be evidenced by one or more accounts or records maintained by such Bank and by the Agent in the ordinary course of business. The accounts or records maintained by the Agent and each Bank shall be </w:t>
      </w:r>
      <w:r>
        <w:rPr>
          <w:rFonts w:ascii="Times New Roman" w:cs="Times New Roman" w:eastAsia="Times New Roman" w:hAnsi="Times New Roman"/>
          <w:sz w:val="22"/>
          <w:szCs w:val="22"/>
          <w:u w:val="single" w:color="auto"/>
          <w:color w:val="000000"/>
        </w:rPr>
        <w:t>prima facie</w:t>
      </w:r>
      <w:r>
        <w:rPr>
          <w:rFonts w:ascii="Times New Roman" w:cs="Times New Roman" w:eastAsia="Times New Roman" w:hAnsi="Times New Roman"/>
          <w:sz w:val="22"/>
          <w:szCs w:val="22"/>
          <w:color w:val="000000"/>
        </w:rPr>
        <w:t xml:space="preserve"> evidence of the amount of the Committed Loans made by the Banks to the Borrower and the interest and payments thereon. Any failure to so record or any error in doing so shall not, however, limit or otherwise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273" w:right="339" w:bottom="1440" w:gutter="0" w:footer="0" w:header="0"/>
        </w:sectPr>
      </w:pPr>
    </w:p>
    <w:bookmarkStart w:id="182" w:name="page183"/>
    <w:bookmarkEnd w:id="182"/>
    <w:p>
      <w:pPr>
        <w:jc w:val="both"/>
        <w:spacing w:after="0" w:line="257" w:lineRule="auto"/>
        <w:rPr>
          <w:sz w:val="20"/>
          <w:szCs w:val="20"/>
          <w:color w:val="auto"/>
        </w:rPr>
      </w:pPr>
      <w:r>
        <w:rPr>
          <w:rFonts w:ascii="Times New Roman" w:cs="Times New Roman" w:eastAsia="Times New Roman" w:hAnsi="Times New Roman"/>
          <w:sz w:val="21"/>
          <w:szCs w:val="21"/>
          <w:color w:val="auto"/>
        </w:rPr>
        <w:t>obligation of the Borrower hereunder to pay any amount owing with respect to the Obligations. In the event of any conflict between the accounts and records maintained by any Bank and the accounts and records of the Agent in respect of such matters, the accounts and records of the Agent shall control in the absence of manifest error. Upon the request of any Bank made through the Agent, the Borrower shall execute and deliver to such Bank (through the Agent) a Revolving Credit Note and/or an Incremental Term Note, as applicable, which shall evidence such Bank’s Revolving Credit Loans and/or Incremental Term Loans, as the case may be, in addition to such accounts or records. Each Bank may attach schedules to its Notes and endorse thereon the Drawdown Date, Type (if applicable), amount, currency and maturity of its Committed Loans and payments with respect thereto.</w:t>
      </w:r>
    </w:p>
    <w:p>
      <w:pPr>
        <w:spacing w:after="0" w:line="17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§2.3</w:t>
      </w:r>
      <w:r>
        <w:rPr>
          <w:sz w:val="20"/>
          <w:szCs w:val="20"/>
          <w:color w:val="auto"/>
        </w:rPr>
        <w:tab/>
      </w:r>
      <w:r>
        <w:rPr>
          <w:rFonts w:ascii="Times New Roman" w:cs="Times New Roman" w:eastAsia="Times New Roman" w:hAnsi="Times New Roman"/>
          <w:sz w:val="21"/>
          <w:szCs w:val="21"/>
          <w:u w:val="single" w:color="auto"/>
          <w:color w:val="auto"/>
        </w:rPr>
        <w:t>Interest on Committed Loans; Fees.</w:t>
      </w:r>
    </w:p>
    <w:p>
      <w:pPr>
        <w:spacing w:after="0" w:line="206" w:lineRule="exact"/>
        <w:rPr>
          <w:sz w:val="20"/>
          <w:szCs w:val="20"/>
          <w:color w:val="auto"/>
        </w:rPr>
      </w:pPr>
    </w:p>
    <w:p>
      <w:pPr>
        <w:ind w:firstLine="1304"/>
        <w:spacing w:after="0" w:line="271" w:lineRule="auto"/>
        <w:tabs>
          <w:tab w:leader="none" w:pos="1860"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provisions of §5.10, each Base Rate Loan shall bear interest on the outstanding principal amount thereof from the Drawdown Date thereof at a rate per annum equal to 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w:t>
      </w:r>
    </w:p>
    <w:p>
      <w:pPr>
        <w:spacing w:after="0" w:line="157" w:lineRule="exact"/>
        <w:rPr>
          <w:rFonts w:ascii="Times New Roman" w:cs="Times New Roman" w:eastAsia="Times New Roman" w:hAnsi="Times New Roman"/>
          <w:sz w:val="22"/>
          <w:szCs w:val="22"/>
          <w:color w:val="010000"/>
        </w:rPr>
      </w:pPr>
    </w:p>
    <w:p>
      <w:pPr>
        <w:jc w:val="both"/>
        <w:ind w:firstLine="1304"/>
        <w:spacing w:after="0" w:line="243" w:lineRule="auto"/>
        <w:tabs>
          <w:tab w:leader="none" w:pos="1777"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provisions of §5.10, each Committed Loan that is (i) a Term SOFR Loan shall bear interest on the outstanding principal amount thereof for each Interest Period with respect thereto at a rate per annum equal to Term SOFR determined for such Interest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and (ii) a Daily SOFR Loan shall bear interest on the outstanding principal amount thereof from the Drawdown Date thereof at a rate per annum equal to Daily Simple SOFR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w:t>
      </w:r>
    </w:p>
    <w:p>
      <w:pPr>
        <w:spacing w:after="0" w:line="177" w:lineRule="exact"/>
        <w:rPr>
          <w:rFonts w:ascii="Times New Roman" w:cs="Times New Roman" w:eastAsia="Times New Roman" w:hAnsi="Times New Roman"/>
          <w:sz w:val="22"/>
          <w:szCs w:val="22"/>
          <w:color w:val="010000"/>
        </w:rPr>
      </w:pPr>
    </w:p>
    <w:p>
      <w:pPr>
        <w:jc w:val="both"/>
        <w:ind w:firstLine="1304"/>
        <w:spacing w:after="0" w:line="243" w:lineRule="auto"/>
        <w:tabs>
          <w:tab w:leader="none" w:pos="1765"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provisions of §5.10, each Committed Loan that is (i) an Alternative Currency Term Rate Loan shall bear interest on the outstanding principal amount thereof for each Interest Period with respect thereto at a rate per annum equal to the Alternative Currency Term Rate for such Interest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for the Facility under which such Loan was made and (ii) an Alternative Currency Daily Rate Loan shall bear interest on the outstanding principal amount thereof from the Drawdown Date thereof at a rate per annum equal to the Alternative Currency Daily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w:t>
      </w:r>
    </w:p>
    <w:p>
      <w:pPr>
        <w:spacing w:after="0" w:line="191" w:lineRule="exact"/>
        <w:rPr>
          <w:rFonts w:ascii="Times New Roman" w:cs="Times New Roman" w:eastAsia="Times New Roman" w:hAnsi="Times New Roman"/>
          <w:sz w:val="22"/>
          <w:szCs w:val="22"/>
          <w:color w:val="010000"/>
        </w:rPr>
      </w:pPr>
    </w:p>
    <w:p>
      <w:pPr>
        <w:jc w:val="both"/>
        <w:ind w:firstLine="1304"/>
        <w:spacing w:after="0" w:line="244" w:lineRule="auto"/>
        <w:tabs>
          <w:tab w:leader="none" w:pos="1804"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unconditionally promises to pay interest on each Committed Loan in arrears on each Interest Payment Date with respect thereto and at such other times as may be specified herein. Interest hereunder shall be due and payable in accordance with the terms hereof before and after judgment, and before and after the commencement of any proceeding under any Debtor Relief Laws.</w:t>
      </w:r>
    </w:p>
    <w:p>
      <w:pPr>
        <w:spacing w:after="0" w:line="186" w:lineRule="exact"/>
        <w:rPr>
          <w:rFonts w:ascii="Times New Roman" w:cs="Times New Roman" w:eastAsia="Times New Roman" w:hAnsi="Times New Roman"/>
          <w:sz w:val="22"/>
          <w:szCs w:val="22"/>
          <w:color w:val="010000"/>
        </w:rPr>
      </w:pPr>
    </w:p>
    <w:p>
      <w:pPr>
        <w:jc w:val="both"/>
        <w:ind w:firstLine="1304"/>
        <w:spacing w:after="0" w:line="241" w:lineRule="auto"/>
        <w:tabs>
          <w:tab w:leader="none" w:pos="1887"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Loans denominated in Canadian Dollars, for purposes of the Interest Act (Canada), (i) whenever a rate of interest or fee rate hereunder is calculated on the basis of a year (the “</w:t>
      </w:r>
      <w:r>
        <w:rPr>
          <w:rFonts w:ascii="Times New Roman" w:cs="Times New Roman" w:eastAsia="Times New Roman" w:hAnsi="Times New Roman"/>
          <w:sz w:val="22"/>
          <w:szCs w:val="22"/>
          <w:u w:val="single" w:color="auto"/>
          <w:color w:val="auto"/>
        </w:rPr>
        <w:t>deemed year</w:t>
      </w:r>
      <w:r>
        <w:rPr>
          <w:rFonts w:ascii="Times New Roman" w:cs="Times New Roman" w:eastAsia="Times New Roman" w:hAnsi="Times New Roman"/>
          <w:sz w:val="22"/>
          <w:szCs w:val="22"/>
          <w:color w:val="auto"/>
        </w:rPr>
        <w:t>”)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273" w:right="339" w:bottom="1440" w:gutter="0" w:footer="0" w:header="0"/>
        </w:sectPr>
      </w:pPr>
    </w:p>
    <w:bookmarkStart w:id="183" w:name="page184"/>
    <w:bookmarkEnd w:id="183"/>
    <w:p>
      <w:pPr>
        <w:jc w:val="both"/>
        <w:ind w:right="20" w:firstLine="1304"/>
        <w:spacing w:after="0" w:line="256" w:lineRule="auto"/>
        <w:tabs>
          <w:tab w:leader="none" w:pos="1741" w:val="left"/>
        </w:tabs>
        <w:numPr>
          <w:ilvl w:val="0"/>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agrees to pay to the Agent, for the accounts of the Revolving Credit Banks in accordance with their respective Commitment Percentages in respect of their Revolving Credit Commitments, a facility fee in Dollars (the “</w:t>
      </w:r>
      <w:r>
        <w:rPr>
          <w:rFonts w:ascii="Times New Roman" w:cs="Times New Roman" w:eastAsia="Times New Roman" w:hAnsi="Times New Roman"/>
          <w:sz w:val="22"/>
          <w:szCs w:val="22"/>
          <w:u w:val="single" w:color="auto"/>
          <w:color w:val="auto"/>
        </w:rPr>
        <w:t>Facility Fee</w:t>
      </w:r>
      <w:r>
        <w:rPr>
          <w:rFonts w:ascii="Times New Roman" w:cs="Times New Roman" w:eastAsia="Times New Roman" w:hAnsi="Times New Roman"/>
          <w:sz w:val="22"/>
          <w:szCs w:val="22"/>
          <w:color w:val="auto"/>
        </w:rPr>
        <w:t>”) calculated at the rate, expressed in basis points on the Total Revolving Credit Commitment, which shall vary from time to time in relationship to variances in the Debt Ratings as set forth in the following table:</w:t>
      </w:r>
    </w:p>
    <w:p>
      <w:pPr>
        <w:spacing w:after="0" w:line="197" w:lineRule="exact"/>
        <w:rPr>
          <w:sz w:val="20"/>
          <w:szCs w:val="20"/>
          <w:color w:val="auto"/>
        </w:rPr>
      </w:pPr>
    </w:p>
    <w:tbl>
      <w:tblPr>
        <w:tblLayout w:type="fixed"/>
        <w:tblInd w:w="230" w:type="dxa"/>
        <w:tblCellMar>
          <w:top w:w="0" w:type="dxa"/>
          <w:left w:w="0" w:type="dxa"/>
          <w:bottom w:w="0" w:type="dxa"/>
          <w:right w:w="0" w:type="dxa"/>
        </w:tblCellMar>
      </w:tblPr>
      <w:tr>
        <w:trPr>
          <w:trHeight w:val="284"/>
        </w:trPr>
        <w:tc>
          <w:tcPr>
            <w:tcW w:w="3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S&amp;P</w:t>
            </w:r>
          </w:p>
        </w:tc>
        <w:tc>
          <w:tcPr>
            <w:tcW w:w="40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Moody’s</w:t>
            </w:r>
          </w:p>
        </w:tc>
        <w:tc>
          <w:tcPr>
            <w:tcW w:w="23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Facility Fee (bps)</w:t>
            </w:r>
          </w:p>
        </w:tc>
      </w:tr>
      <w:tr>
        <w:trPr>
          <w:trHeight w:val="26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 or above</w:t>
            </w: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A2 or above</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10.0</w:t>
            </w:r>
          </w:p>
        </w:tc>
      </w:tr>
      <w:tr>
        <w:trPr>
          <w:trHeight w:val="26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w:t>
            </w: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A3</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12.5</w:t>
            </w:r>
          </w:p>
        </w:tc>
      </w:tr>
      <w:tr>
        <w:trPr>
          <w:trHeight w:val="264"/>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BBB+</w:t>
            </w: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Baa1</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15.0</w:t>
            </w:r>
          </w:p>
        </w:tc>
      </w:tr>
      <w:tr>
        <w:trPr>
          <w:trHeight w:val="26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BBB</w:t>
            </w: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Baa2</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20.0</w:t>
            </w:r>
          </w:p>
        </w:tc>
      </w:tr>
      <w:tr>
        <w:trPr>
          <w:trHeight w:val="26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BBB-</w:t>
            </w: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Baa3</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25.0</w:t>
            </w:r>
          </w:p>
        </w:tc>
      </w:tr>
      <w:tr>
        <w:trPr>
          <w:trHeight w:val="263"/>
        </w:trPr>
        <w:tc>
          <w:tcPr>
            <w:tcW w:w="3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Below BBB-</w:t>
            </w: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Below Baa3</w:t>
            </w:r>
          </w:p>
        </w:tc>
        <w:tc>
          <w:tcPr>
            <w:tcW w:w="2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30.0</w:t>
            </w:r>
          </w:p>
        </w:tc>
      </w:tr>
      <w:tr>
        <w:trPr>
          <w:trHeight w:val="270"/>
        </w:trPr>
        <w:tc>
          <w:tcPr>
            <w:tcW w:w="3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(or not rated by Moody’s or S&amp;P and at</w:t>
            </w: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(or not rated by Moody’s or S&amp;P and at least</w:t>
            </w:r>
          </w:p>
        </w:tc>
        <w:tc>
          <w:tcPr>
            <w:tcW w:w="2320" w:type="dxa"/>
            <w:vAlign w:val="bottom"/>
            <w:tcBorders>
              <w:right w:val="single" w:sz="8" w:color="auto"/>
            </w:tcBorders>
          </w:tcPr>
          <w:p>
            <w:pPr>
              <w:spacing w:after="0"/>
              <w:rPr>
                <w:sz w:val="23"/>
                <w:szCs w:val="23"/>
                <w:color w:val="auto"/>
              </w:rPr>
            </w:pPr>
          </w:p>
        </w:tc>
      </w:tr>
      <w:tr>
        <w:trPr>
          <w:trHeight w:val="282"/>
        </w:trPr>
        <w:tc>
          <w:tcPr>
            <w:tcW w:w="3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least one other Rating Agency)</w:t>
            </w: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one other Rating Agency)</w:t>
            </w:r>
          </w:p>
        </w:tc>
        <w:tc>
          <w:tcPr>
            <w:tcW w:w="2320" w:type="dxa"/>
            <w:vAlign w:val="bottom"/>
            <w:tcBorders>
              <w:right w:val="single" w:sz="8" w:color="auto"/>
            </w:tcBorders>
          </w:tcPr>
          <w:p>
            <w:pPr>
              <w:spacing w:after="0"/>
              <w:rPr>
                <w:sz w:val="24"/>
                <w:szCs w:val="24"/>
                <w:color w:val="auto"/>
              </w:rPr>
            </w:pPr>
          </w:p>
        </w:tc>
      </w:tr>
      <w:tr>
        <w:trPr>
          <w:trHeight w:val="231"/>
        </w:trPr>
        <w:tc>
          <w:tcPr>
            <w:tcW w:w="3980" w:type="dxa"/>
            <w:vAlign w:val="bottom"/>
            <w:tcBorders>
              <w:left w:val="single" w:sz="8" w:color="auto"/>
              <w:bottom w:val="single" w:sz="8" w:color="auto"/>
              <w:right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spacing w:after="0"/>
              <w:rPr>
                <w:sz w:val="20"/>
                <w:szCs w:val="20"/>
                <w:color w:val="auto"/>
              </w:rPr>
            </w:pPr>
          </w:p>
        </w:tc>
      </w:tr>
    </w:tbl>
    <w:p>
      <w:pPr>
        <w:spacing w:after="0" w:line="3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In the event only one of S&amp;P or Moody’s is one of the two Rating Agencies as required hereunder at the time of reference, the Debt Rating from the other Rating Agency for purposes of establishing the Facility Fee (bps) shall be the rating level utilized by such other Rating Agency which corresponds to the comparable rating levels set forth in the table above. In the event the Debt Ratings from the Rating Agencies are not equivalent, the Facility Fee (bps) will be determined (i) based on the higher of the two Debt Ratings if the lower Debt Rating is no more than one level lower than the higher Debt Rating, and (ii) based on the level that is one rating level higher than the lower Debt Rating if the lower Debt Rating is more than one level lower than the higher Debt Rating. Adjustments in the Facility Fee (bps) based upon a change in a Debt Rating level shall be effective on the first day following the change in such Debt Rating.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Borrower shall notify the Agent in writing of any change in the Debt Rating as and when such change occurs.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Facility Fee is payable in addition to all other fees due from the Borrower in connection with this Agreement and shall be payable quarterly in arrears on the first Business Day of each calendar quarter for the immediately preceding calendar quarter commencing on the first such date following the Closing Date through the Maturity Date, with a final payment on the Maturity Date.</w:t>
      </w:r>
    </w:p>
    <w:p>
      <w:pPr>
        <w:spacing w:after="0" w:line="176" w:lineRule="exact"/>
        <w:rPr>
          <w:sz w:val="20"/>
          <w:szCs w:val="20"/>
          <w:color w:val="auto"/>
        </w:rPr>
      </w:pPr>
    </w:p>
    <w:p>
      <w:pPr>
        <w:jc w:val="both"/>
        <w:ind w:firstLine="1304"/>
        <w:spacing w:after="0" w:line="263" w:lineRule="auto"/>
        <w:tabs>
          <w:tab w:leader="none" w:pos="1831" w:val="left"/>
        </w:tabs>
        <w:numPr>
          <w:ilvl w:val="0"/>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agrees to pay to the Arrangers and the Agent for their own respective accounts, in Dollars, fees in the amounts and at the times specified in the Fee Letter. Such fees shall be fully earned when paid and shall not be refundable for any reason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287" w:right="339" w:bottom="1440" w:gutter="0" w:footer="0" w:header="0"/>
        </w:sectPr>
      </w:pPr>
    </w:p>
    <w:bookmarkStart w:id="184" w:name="page185"/>
    <w:bookmarkEnd w:id="184"/>
    <w:p>
      <w:pPr>
        <w:jc w:val="both"/>
        <w:ind w:firstLine="1304"/>
        <w:spacing w:after="0" w:line="263" w:lineRule="auto"/>
        <w:tabs>
          <w:tab w:leader="none" w:pos="1791"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agrees to pay to the Banks, in Dollars, such fees as shall have been separately agreed upon in writing in the amounts and at the times so specified. Such fees shall be fully earned when paid and shall not be refundable for any reason whatsoever.</w:t>
      </w:r>
    </w:p>
    <w:p>
      <w:pPr>
        <w:spacing w:after="0" w:line="16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§2.4</w:t>
      </w:r>
      <w:r>
        <w:rPr>
          <w:sz w:val="20"/>
          <w:szCs w:val="20"/>
          <w:color w:val="auto"/>
        </w:rPr>
        <w:tab/>
      </w:r>
      <w:r>
        <w:rPr>
          <w:rFonts w:ascii="Times New Roman" w:cs="Times New Roman" w:eastAsia="Times New Roman" w:hAnsi="Times New Roman"/>
          <w:sz w:val="21"/>
          <w:szCs w:val="21"/>
          <w:u w:val="single" w:color="auto"/>
          <w:color w:val="auto"/>
        </w:rPr>
        <w:t>Requests for Committed Loans.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following provisions shall apply to each request by the Borrower for a Revolving Credit Loan or an Incremental Term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w:t>
      </w:r>
    </w:p>
    <w:p>
      <w:pPr>
        <w:spacing w:after="0" w:line="209" w:lineRule="exact"/>
        <w:rPr>
          <w:sz w:val="20"/>
          <w:szCs w:val="20"/>
          <w:color w:val="auto"/>
        </w:rPr>
      </w:pPr>
    </w:p>
    <w:p>
      <w:pPr>
        <w:jc w:val="both"/>
        <w:ind w:firstLine="1304"/>
        <w:spacing w:after="0" w:line="247" w:lineRule="auto"/>
        <w:tabs>
          <w:tab w:leader="none" w:pos="1819" w:val="left"/>
        </w:tabs>
        <w:numPr>
          <w:ilvl w:val="1"/>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shall submit a Completed Loan Request to the Agent and, following its receipt thereof, the Agent shall promptly notify each Revolving Credit Bank or each Bank, as applicable, of the amount (and currency) of its Commitment Percentage of the requested Revolving Credit Loan or Incremental Term Loan as set forth in §2.4(e). Except as otherwise provided herein, each Completed Loan Request shall be in a minimum amount of (i) in the case of a Revolving Credit Loan, $2,000,000 or an integral multiple of $100,000 in excess thereof and (ii) in the case of an Incremental Term Loan, the amount of such Incremental Term Loan Facility of all Term Banks participating in such Increase on the proposed Drawdown Date. Each Completed Loan Request shall be irrevocable and binding on the Borrower and shall obligate the Borrower to accept the Revolving Credit Loans or Incremental Term Loans, as applicable, requested from the Banks on the proposed Drawdown Date, unless such Completed Loan Request is withdrawn (x) in the case of a request for a Term SOFR Loan or an Alternative Currency Committed Loan denominated in Canadian Dollars, at least three (3) Business Days prior to the proposed Drawdown Date for such Loan, (y) in the case of an Alternative Currency Committed Loan denominated in an Alternative Currency other than Canadian Dollars, at least four (4) Business Days (or five (5) Business Days in the case of a Special Notice Currency) prior to the Drawdown Date for such Loan, and (z) in the case of a request for a Base Rate Loan or a Daily SOFR Loan, not later than 11:00 a.m. on the proposed Drawdown Date for such Loan.</w:t>
      </w:r>
    </w:p>
    <w:p>
      <w:pPr>
        <w:spacing w:after="0" w:line="189" w:lineRule="exact"/>
        <w:rPr>
          <w:rFonts w:ascii="Times New Roman" w:cs="Times New Roman" w:eastAsia="Times New Roman" w:hAnsi="Times New Roman"/>
          <w:sz w:val="22"/>
          <w:szCs w:val="22"/>
          <w:color w:val="010000"/>
        </w:rPr>
      </w:pPr>
    </w:p>
    <w:p>
      <w:pPr>
        <w:ind w:left="1800" w:hanging="496"/>
        <w:spacing w:after="0"/>
        <w:tabs>
          <w:tab w:leader="none" w:pos="1800" w:val="left"/>
        </w:tabs>
        <w:numPr>
          <w:ilvl w:val="1"/>
          <w:numId w:val="1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Completed Loan Request shall be delivered by the Borrower to the Agent not later than 11:00 a.m. on</w:t>
      </w:r>
    </w:p>
    <w:p>
      <w:pPr>
        <w:spacing w:after="0" w:line="39" w:lineRule="exact"/>
        <w:rPr>
          <w:rFonts w:ascii="Times New Roman" w:cs="Times New Roman" w:eastAsia="Times New Roman" w:hAnsi="Times New Roman"/>
          <w:sz w:val="21"/>
          <w:szCs w:val="21"/>
          <w:color w:val="010000"/>
        </w:rPr>
      </w:pPr>
    </w:p>
    <w:p>
      <w:pPr>
        <w:jc w:val="both"/>
        <w:ind w:firstLine="8"/>
        <w:spacing w:after="0" w:line="247" w:lineRule="auto"/>
        <w:tabs>
          <w:tab w:leader="none" w:pos="29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Drawdown Date of any Base Rate Loan or any Daily SOFR Loan, (b) any Business Day that is at least three (3) Business Days prior to the proposed Drawdown Date of any Term SOFR Loan or any Alternative Currency Committed Loan denominated in Canadian Dollars, and (c) any Business Day that is at least four (4) Business Days (or five (5) Business Days in the case of a Special Notice Currency) prior to the proposed Drawdown Date of any Alternative Currency Committed Loan denominated in an Alternative Currency other than Canadian Dollars.</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60" w:val="left"/>
        </w:tabs>
        <w:numPr>
          <w:ilvl w:val="1"/>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Completed Loan Request shall specify: (1) whether the Borrower is requesting a Revolving Credit Loan or an Incremental Term Loan, (2) the principal amount of the Committed Loan requested, (3) the proposed Drawdown Date of such Committed Loan, (4) if applicable, the Interest Period applicable to such Committed Loan, (5) the Type of such Committed Loan being requested, and (6) the currency of any Revolving Credit Loan to be borrowed. If the Borrower fails to specify a currency in a Completed Loan Request requesting a Revolving Credit Loan, then the Revolving Credit Loan so requested shall be made in Dollars. If the Borrower fails to specify a Type in a Completed Loan Request, then the applicable Committed Loan shall be made as a Base Rate Loan in the case of a Committed Loan denominated in Dollars and as an Alternative Currency Daily Rate Loan or Alternative Currency Term Rate Loan,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287" w:right="339" w:bottom="1440" w:gutter="0" w:footer="0" w:header="0"/>
        </w:sectPr>
      </w:pPr>
    </w:p>
    <w:bookmarkStart w:id="185" w:name="page186"/>
    <w:bookmarkEnd w:id="185"/>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case may be, in the case of a Committed Loan denominated in an Alternative Currency. If the Borrower fails to specify an Interest Period in a Completed Loan Request requesting a Term SOFR Loan or an Alternative Currency Term Rate Loan, it will be deemed to have specified an Interest Period of one month. Further, each Completed Loan Request shall contain a certification by the Borrower in the form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which certifies (among other things) that, both before and after giving effect to such requested Committed Loan, no Default or Event of Default exists or will exist and that after taking into account such requested Committed Loan, no Default or Event of Default will exist as of the Drawdown Date. During the existence of a Default, no Committed Loans may be requested as, or converted to Daily SOFR Loans or Alternative Currency Daily Rate Loans or requested as, converted to or continued as Term SOFR Loans or Alternative Currency Term Rate Loans, as applicable, without the consent of the Required Banks.</w:t>
      </w:r>
    </w:p>
    <w:p>
      <w:pPr>
        <w:spacing w:after="0" w:line="180" w:lineRule="exact"/>
        <w:rPr>
          <w:sz w:val="20"/>
          <w:szCs w:val="20"/>
          <w:color w:val="auto"/>
        </w:rPr>
      </w:pPr>
    </w:p>
    <w:p>
      <w:pPr>
        <w:ind w:left="1780" w:hanging="476"/>
        <w:spacing w:after="0"/>
        <w:tabs>
          <w:tab w:leader="none" w:pos="1780" w:val="left"/>
        </w:tabs>
        <w:numPr>
          <w:ilvl w:val="0"/>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Bank shall be obligated to fund any Committed Loan unless:</w:t>
      </w:r>
    </w:p>
    <w:p>
      <w:pPr>
        <w:spacing w:after="0" w:line="219" w:lineRule="exact"/>
        <w:rPr>
          <w:rFonts w:ascii="Times New Roman" w:cs="Times New Roman" w:eastAsia="Times New Roman" w:hAnsi="Times New Roman"/>
          <w:sz w:val="22"/>
          <w:szCs w:val="22"/>
          <w:color w:val="010000"/>
        </w:rPr>
      </w:pPr>
    </w:p>
    <w:p>
      <w:pPr>
        <w:ind w:left="2420" w:hanging="468"/>
        <w:spacing w:after="0"/>
        <w:tabs>
          <w:tab w:leader="none" w:pos="2420" w:val="left"/>
        </w:tabs>
        <w:numPr>
          <w:ilvl w:val="1"/>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Completed Loan Request has been timely received by the Agent as provided in subsections (a)-(c)</w:t>
      </w:r>
    </w:p>
    <w:p>
      <w:pPr>
        <w:spacing w:after="0" w:line="27" w:lineRule="exact"/>
        <w:rPr>
          <w:rFonts w:ascii="Times New Roman" w:cs="Times New Roman" w:eastAsia="Times New Roman" w:hAnsi="Times New Roman"/>
          <w:sz w:val="22"/>
          <w:szCs w:val="22"/>
          <w:color w:val="010000"/>
        </w:rPr>
      </w:pPr>
    </w:p>
    <w:p>
      <w:pPr>
        <w:ind w:left="130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above; and</w:t>
      </w:r>
    </w:p>
    <w:p>
      <w:pPr>
        <w:spacing w:after="0" w:line="209" w:lineRule="exact"/>
        <w:rPr>
          <w:rFonts w:ascii="Times New Roman" w:cs="Times New Roman" w:eastAsia="Times New Roman" w:hAnsi="Times New Roman"/>
          <w:sz w:val="22"/>
          <w:szCs w:val="22"/>
          <w:color w:val="010000"/>
        </w:rPr>
      </w:pPr>
    </w:p>
    <w:p>
      <w:pPr>
        <w:jc w:val="both"/>
        <w:ind w:left="1300" w:firstLine="652"/>
        <w:spacing w:after="0" w:line="251" w:lineRule="auto"/>
        <w:tabs>
          <w:tab w:leader="none" w:pos="2509" w:val="left"/>
        </w:tabs>
        <w:numPr>
          <w:ilvl w:val="1"/>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both before and after giving effect to the Committed Loan to be made pursuant to the Completed Loan Request, all of the conditions contained in §12 shall have been satisfied (to the extent such conditions have not been waived and/or deferred in writing by the Agent and the required number of Banks prior to the initial advance) as of the Closing Date, with respect to the initial advance only, and all of the conditions set forth in §13 shall have been met, including, without limitation, the condition under §13.1 that there be no Default or Event of Default.</w:t>
      </w:r>
    </w:p>
    <w:p>
      <w:pPr>
        <w:spacing w:after="0" w:line="181"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792" w:val="left"/>
        </w:tabs>
        <w:numPr>
          <w:ilvl w:val="0"/>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Agent will use its best efforts to notify each Bank of the Agent’s receipt of a Completed Loan Request on the same day it is received by the Agent and will, absent circumstances outside of its control, so notify each Bank on the Business Day following the day a Completed Loan Request is received by the Agent.</w:t>
      </w:r>
    </w:p>
    <w:p>
      <w:pPr>
        <w:spacing w:after="0" w:line="172"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49" w:val="left"/>
        </w:tabs>
        <w:numPr>
          <w:ilvl w:val="0"/>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that, on any Drawdown Date, after giving effect to the requested Loan, Consolidated Total Indebtedness will exceed 60% (without exceeding 65%) of Consolidated Total Adjusted Asset Value (with Consolidated Total Indebtedness and Consolidated Total Adjusted Asset Value being adjusted as set forth in §10.1) or Unsecured Consolidated Total Indebtedness will exceed 60% (without exceeding 65%) of Consolidated Unencumbered Asset Value (with Unsecured Consolidated Total Indebtedness and Consolidated Unencumbered Asset Value being adjusted as set forth in §10.4), then the Borrower shall also attach to the Completed Loan Request (or the request for a Bid Rate Advance Borrowing Notice), the certificate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in accordance with §§10.1 and 10.4.</w:t>
      </w:r>
    </w:p>
    <w:p>
      <w:pPr>
        <w:spacing w:after="0" w:line="19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§2.5</w:t>
      </w:r>
      <w:r>
        <w:rPr>
          <w:sz w:val="20"/>
          <w:szCs w:val="20"/>
          <w:color w:val="auto"/>
        </w:rPr>
        <w:tab/>
      </w:r>
      <w:r>
        <w:rPr>
          <w:rFonts w:ascii="Times New Roman" w:cs="Times New Roman" w:eastAsia="Times New Roman" w:hAnsi="Times New Roman"/>
          <w:sz w:val="21"/>
          <w:szCs w:val="21"/>
          <w:u w:val="single" w:color="auto"/>
          <w:color w:val="auto"/>
        </w:rPr>
        <w:t>Conversion and Continuation Options.</w:t>
      </w:r>
    </w:p>
    <w:p>
      <w:pPr>
        <w:spacing w:after="0" w:line="220" w:lineRule="exact"/>
        <w:rPr>
          <w:sz w:val="20"/>
          <w:szCs w:val="20"/>
          <w:color w:val="auto"/>
        </w:rPr>
      </w:pPr>
    </w:p>
    <w:p>
      <w:pPr>
        <w:jc w:val="both"/>
        <w:ind w:firstLine="1304"/>
        <w:spacing w:after="0" w:line="252" w:lineRule="auto"/>
        <w:tabs>
          <w:tab w:leader="none" w:pos="175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elect from time to time to convert any outstanding Revolving Credit Loan denominated in Dollars from one Type to another and any outstanding Incremental Term Loan as provided in the applicable Incremental Term Loan Facility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with respect to any such conversion of a Term SOFR Loan to a Base Rate Loan or a Daily SOFR Loan, the Borrower shall submit a Conversion Request to the Agent at least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287" w:right="339" w:bottom="1440" w:gutter="0" w:footer="0" w:header="0"/>
        </w:sectPr>
      </w:pPr>
    </w:p>
    <w:bookmarkStart w:id="186" w:name="page187"/>
    <w:bookmarkEnd w:id="186"/>
    <w:p>
      <w:pPr>
        <w:jc w:val="both"/>
        <w:ind w:firstLine="8"/>
        <w:spacing w:after="0" w:line="248" w:lineRule="auto"/>
        <w:tabs>
          <w:tab w:leader="none" w:pos="34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prior to such election, which Conversion Request must be received by the Agent by 11:00 a.m. on any Business Day; (ii) subject to the proviso at the end of this §2.5(a) and subject to §2.5(d), with respect to any conversion of a Base Rate Loan or a Daily SOFR Loan to a Term SOFR Loan, the Borrower shall submit a Conversion Request to the Agent at least three (3) Business Days’ prior to such election, which Conversion Request must be received by the Agent by 11:00 a.m. on any Business Day; (iii) with respect to any such conversion of a Base Rate Loan to a Daily SOFR Loan or a Daily SOFR Loan to a Base Rate Loan, the Conversion Request must be received by the Agent by 11:00 a.m. on the Business Day of such conversion; and (iv) no Loan (whether denominated in Dollars or any Alternative Currency) may be converted into a SOFR Loan when any Default or Event of Default has occurred and is continuing. Following receipt of such Conversion Request from the Borrower, the Agent shall promptly notify each Revolving Credit Bank or each Term Bank, as applicable, of such request by the Borrower. All or any part of the outstanding Revolving Credit Loans and Incremental Term Loans of any Type may be converted as provided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Conversion Request relating to the conversion of a Base Rate Loan or a Daily SOFR Loan to a Term SOFR Loan shall be for an amount equal to $2,000,000 or an integral multiple of $100,000 in excess thereof and shall be irrevocable by the Borrower.</w:t>
      </w:r>
    </w:p>
    <w:p>
      <w:pPr>
        <w:spacing w:after="0" w:line="192"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18" w:val="left"/>
        </w:tabs>
        <w:numPr>
          <w:ilvl w:val="1"/>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Term Rate Committed Loan may be continued as such upon the expiration of the Interest Period with respect thereto, subject to the proviso at the end of this §2.5(b) and §2.5(d), automatically as set forth in §2.5(c), or by compliance by the Borrower with the notice provisions contained in §2.5(a)(i);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Term Rate Committed Loan denominated in Dollars may be continued as such when any Default or Event of Default has occurred and is continuing but shall be automatically converted to a Base Rate Loan on the last day of the first Interest Period relating thereto ending during the continuance of any Default or Event of Default;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Term Rate Committed Loan denominated in any Alternative Currency may be continued as such when any Default or Event of Default has occurred and is continuing without the consent of the Required Banks, and the Required Banks may demand that any or all of the then outstanding Term Rate Committed Loans denominated in an Alternative Currency be prepaid, or redenominated into Dollars and converted into Base Rate Loans in the amount of the Dollar Equivalent thereof, on the last day of the first Interest Period relating thereto ending during the continuance of any Default or Event of Default. In addition, no Loan may be converted to a Daily SOFR Loan or an Alternative Currency Daily Rate Loan when any Default or Event of Default has occurred and is continuing without the consent of the Required Banks, and all such Daily SOFR Loans shall be automatically converted to Base Rate Loans, and the Required Banks may demand that any or all of the then outstanding Alternative Currency Daily Rate Loans be prepaid, or redenominated into Dollars and converted into Base Rate Loans in the amount of the Dollar Equivalent thereof, immediately.</w:t>
      </w:r>
    </w:p>
    <w:p>
      <w:pPr>
        <w:spacing w:after="0" w:line="198"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792" w:val="left"/>
        </w:tabs>
        <w:numPr>
          <w:ilvl w:val="1"/>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the provisions of §2.5(a), §2.5(b) and §2.5(d), in the event that the Borrower does not notify the Agent of its election hereunder with respect to any Term Rate Committed Loan, such Loan shall be automatically converted to (or continued as) a Term Rate Committed Loan in its original currency having a 1-month Interest Period, at the end of the applicable Interest Period. Subject to §5.1.1 and §5.4, no Committed Loan may be converted into or continued as a Committed Loan denominated in a different currency, but instead must be prepaid in the original currency of such Loan and reborrowed in the other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287" w:right="339" w:bottom="1440" w:gutter="0" w:footer="0" w:header="0"/>
        </w:sectPr>
      </w:pPr>
    </w:p>
    <w:bookmarkStart w:id="187" w:name="page188"/>
    <w:bookmarkEnd w:id="187"/>
    <w:p>
      <w:pPr>
        <w:jc w:val="both"/>
        <w:ind w:firstLine="1304"/>
        <w:spacing w:after="0" w:line="248" w:lineRule="auto"/>
        <w:tabs>
          <w:tab w:leader="none" w:pos="1845" w:val="left"/>
        </w:tabs>
        <w:numPr>
          <w:ilvl w:val="0"/>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may not request or elect a Term Rate Committed Loan pursuant to §2.4, elect to convert a Base Rate Loan or Daily SOFR Loan to a Term SOFR Loan pursuant to §2.5(a) or elect to continue a Term Rate Committed Loan pursuant to §2.5(b) and no Loan shall be automatically converted to or continued as a Term Rate Committed Loan, if, after giving effect thereto, there would be greater than ten (10) Term Rate Committed Loans then outstanding. Any Completed Loan Request (including any Conversion Request) for a Term Rate Committed Loan that would create greater than ten (10) Term Rate Committed Loans outstanding shall be deemed to be a Completed Loan Request or Conversion Request for a Daily SOFR Loan in Dollars in the Dollar Equivalent of the amount of such Loan. By way of explanation of the foregoing, in the event that the Borrower wishes to convert or continue two or more Loans into one Term Rate Committed Loan on the same day and for identical Interest Periods (or borrow an additional Revolving Credit Loan simultaneously with converting or continuing a Revolving Credit Loan for identical Interest Periods), such Term Rate Committed Loan shall constitute one single Term Rate Committed Loan for purposes of this clause (d).</w:t>
      </w:r>
    </w:p>
    <w:p>
      <w:pPr>
        <w:spacing w:after="0" w:line="188"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792" w:val="left"/>
        </w:tabs>
        <w:numPr>
          <w:ilvl w:val="0"/>
          <w:numId w:val="12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 respect to any of SOFR, Daily Simple SOFR, Term SOFR, any Alternative Currency Daily Rate, any Alternative Currency Term Rate, any Relevant Rate, the Canadian Benchmark, any Canadian Benchmark Replacement or any other Successor Rate, the Administrative Agent will have the right to make Conforming Changes or Canadian Benchmark Replacement Conforming Changes, as applicable, from time to time and, notwithstanding anything to the contrary herein or in any other Loan Document, any amendments implementing such Conforming Changes or Canadian Benchmark Replacement Conforming Changes, as applicable, will become effective without any further action or consent of any other party to this Agreement or any other Loan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such amendment effected, the Administrative Agent shall post each such amendment implementing such Conforming Changes or Canadian Benchmark Replacement Conforming Changes, as applicable, to the Borrower and the Banks reasonably promptly after such amendment becomes effective.</w:t>
      </w:r>
    </w:p>
    <w:p>
      <w:pPr>
        <w:spacing w:after="0" w:line="169" w:lineRule="exact"/>
        <w:rPr>
          <w:rFonts w:ascii="Times New Roman" w:cs="Times New Roman" w:eastAsia="Times New Roman" w:hAnsi="Times New Roman"/>
          <w:sz w:val="21"/>
          <w:szCs w:val="21"/>
          <w:color w:val="010000"/>
        </w:rPr>
      </w:pPr>
    </w:p>
    <w:p>
      <w:pPr>
        <w:ind w:left="1740" w:hanging="436"/>
        <w:spacing w:after="0"/>
        <w:tabs>
          <w:tab w:leader="none" w:pos="1740" w:val="left"/>
        </w:tabs>
        <w:numPr>
          <w:ilvl w:val="0"/>
          <w:numId w:val="12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anything to the contrary contained herein, in the Amended Credit Agreement or elsewhere,</w:t>
      </w:r>
    </w:p>
    <w:p>
      <w:pPr>
        <w:spacing w:after="0" w:line="217" w:lineRule="exact"/>
        <w:rPr>
          <w:rFonts w:ascii="Times New Roman" w:cs="Times New Roman" w:eastAsia="Times New Roman" w:hAnsi="Times New Roman"/>
          <w:sz w:val="21"/>
          <w:szCs w:val="21"/>
          <w:color w:val="010000"/>
        </w:rPr>
      </w:pPr>
    </w:p>
    <w:p>
      <w:pPr>
        <w:jc w:val="both"/>
        <w:ind w:left="1300" w:firstLine="652"/>
        <w:spacing w:after="0"/>
        <w:tabs>
          <w:tab w:leader="none" w:pos="2368"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each Eurocurrency Rate Loan (as defined in the First Amendment Effective Date Agreement) that is denominated in Dollars and outstanding on the First Amendment Effective Date (each, an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Eurocurrency Rate Loan</w:t>
      </w:r>
      <w:r>
        <w:rPr>
          <w:rFonts w:ascii="Times New Roman" w:cs="Times New Roman" w:eastAsia="Times New Roman" w:hAnsi="Times New Roman"/>
          <w:sz w:val="22"/>
          <w:szCs w:val="22"/>
          <w:color w:val="auto"/>
        </w:rPr>
        <w:t>”) shall continue to accrue interest at the per annum interest rate that would apply to such Effective Date Eurocurrency Rate Loan under the First Amendment Effective Date Agreement, and such interest shall be payable on the dates that such interest would be payable under the First Amendment Effective Date Agreement and otherwise in accordance with the terms thereof and (B) on the last day of the Interest Period (solely for purposes of this paragraph, as defined in the First Amendment Effective Date Agreement) in effect on the First Amendment Effective Date with respect to each Effective Date Eurocurrency Rate Loan, each such Effective Date Eurocurrency Rate Loan shall be converted to a Term SOFR Loan, Daily SOFR Loan or Base Rate Loan as requested by the Borrower in accordance with §2.5. In the event that the Borrower fails to provide a Conversion Request with respect to the conversion of any such Effective Date Eurocurrency Rate Loan in accordance with §2.5(a), each such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287" w:right="339" w:bottom="1440" w:gutter="0" w:footer="0" w:header="0"/>
        </w:sectPr>
      </w:pPr>
    </w:p>
    <w:bookmarkStart w:id="188" w:name="page189"/>
    <w:bookmarkEnd w:id="188"/>
    <w:p>
      <w:pPr>
        <w:ind w:left="1300"/>
        <w:spacing w:after="0"/>
        <w:rPr>
          <w:sz w:val="20"/>
          <w:szCs w:val="20"/>
          <w:color w:val="auto"/>
        </w:rPr>
      </w:pPr>
      <w:r>
        <w:rPr>
          <w:rFonts w:ascii="Times New Roman" w:cs="Times New Roman" w:eastAsia="Times New Roman" w:hAnsi="Times New Roman"/>
          <w:sz w:val="22"/>
          <w:szCs w:val="22"/>
          <w:color w:val="auto"/>
        </w:rPr>
        <w:t>Eurocurrency Rate Loan shall be converted to a Base Rate Loan at the end of the relevant Interest Period.</w:t>
      </w:r>
    </w:p>
    <w:p>
      <w:pPr>
        <w:spacing w:after="0" w:line="220" w:lineRule="exact"/>
        <w:rPr>
          <w:sz w:val="20"/>
          <w:szCs w:val="20"/>
          <w:color w:val="auto"/>
        </w:rPr>
      </w:pPr>
    </w:p>
    <w:p>
      <w:pPr>
        <w:jc w:val="both"/>
        <w:ind w:left="1300" w:firstLine="652"/>
        <w:spacing w:after="0" w:line="243" w:lineRule="auto"/>
        <w:tabs>
          <w:tab w:leader="none" w:pos="2644" w:val="left"/>
        </w:tabs>
        <w:numPr>
          <w:ilvl w:val="0"/>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LIBOR Floating Rate Loan (as defined in the First Amendment Effective Date Credit Agreement) that is outstanding on the First Amendment Effective Date shall be converted to a Term SOFR Loan, Daily SOFR Loan or Base Rate Loan as requested by the Borrower in accordance with §2.5. In the event that the Borrower fails to provide a Borrowing Request with respect to the conversion of any such LIBOR Floating Rate Loan in accordance with §2.5(a), such LIBOR Floating Rate Loan shall be converted to a Base Rate Loan on the First Amendment Effective Date.</w:t>
      </w:r>
    </w:p>
    <w:p>
      <w:pPr>
        <w:spacing w:after="0" w:line="17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010000"/>
        </w:rPr>
        <w:t xml:space="preserve">§2.6 </w:t>
      </w:r>
      <w:r>
        <w:rPr>
          <w:rFonts w:ascii="Times New Roman" w:cs="Times New Roman" w:eastAsia="Times New Roman" w:hAnsi="Times New Roman"/>
          <w:sz w:val="22"/>
          <w:szCs w:val="22"/>
          <w:u w:val="single" w:color="auto"/>
          <w:color w:val="000000"/>
        </w:rPr>
        <w:t>Funds for Committed Loans.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Subject to the other provisions of this §2, not later than 1:00 p.m. in the case of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Committed Loan denominated in Dollars, and not later than the Applicable Time specified by the Agent in the case of any Committed Loan denominated in an Alternative Currency, in each case on the proposed Drawdown Date, each applicable Bank will make available to the Agent, at the Agent’s Funding Office for the applicable currency, in Same Day Funds, the amount of such Bank’s applicable Commitment Percentage of the amount of the requested Committed Loan. Upon receipt from each applicable Bank of such amount and satisfaction of the applicable conditions set forth in §13 (and, if such Loan is the initial advance hereunder, §12), the Agent will make available to the Borrower the aggregate amount of such Committed Loan made available to the Agent by the Banks either (at the Borrower’s election) by (i) crediting the account of the Borrower on the books of Bank of America with the amount of such funds or (ii) wire transfer of such funds, in each case in accordance with Borrower’s instructions set forth in the Completed Loan Request and reasonably acceptable to the Agent;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if, on the Drawdown Date with respect to a Revolving Credit Loan there are Reimbursement Obligations outstanding pursuant to §3.3(b), then the proceeds of such Revolving Credit Loan, first, shall be applied to the payment in full of any such Reimbursement Obligations, and, second, shall be made available to the Borrower as provided herein. Subject to the foregoing, all such funds received by the Agent by 1:00 p.m. on any Business Day will be made available to the Borrower not later than 2:00 p.m. on the same Business Day; funds received after such time will be made available by not later than 1:00 p.m. on the next Business Day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as to any Bank which is required to fund Revolving Credit Loans or Incremental Term Loans from its head office located in the Pacific Time Zone (U.S.), the preceding reference to “1:00 p.m.” shall be deemed to be a reference to “3:00 p.m.” and the preceding reference to “2:00 p.m.” shall be deemed to be a reference to “4:00 p.m.”). The failure or refusal of any Bank to make available to the Agent at the aforesaid time and place on any Drawdown Date the amount of its applicable Commitment Percentage of the requested Committed Loan shall not relieve any other Bank from its several obligation hereunder to make available to the Agent the amount of its applicable Commitment Percentage of any requested Committed Loan but in no event shall the Agent (in its capacity as the Agent) have any obligation to make any funding or shall any Bank be obligated to fund more than its applicable Commitment Percentage of the requested Committed Loan or to increase its applicable Commitment Percentage on account of such failure or otherwise.</w:t>
      </w:r>
    </w:p>
    <w:p>
      <w:pPr>
        <w:spacing w:after="0" w:line="1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§2.7 </w:t>
      </w:r>
      <w:r>
        <w:rPr>
          <w:rFonts w:ascii="Times New Roman" w:cs="Times New Roman" w:eastAsia="Times New Roman" w:hAnsi="Times New Roman"/>
          <w:sz w:val="22"/>
          <w:szCs w:val="22"/>
          <w:u w:val="single" w:color="auto"/>
          <w:color w:val="000000"/>
        </w:rPr>
        <w:t>Reduction or Termination of Commitments.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shall have the right at any time and from time to time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upon five (5) Business Days’ prior written notice to the Agent to reduce by $500,000 or an integral multiple thereof or terminate entirely the unborrowed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273" w:right="339" w:bottom="1440" w:gutter="0" w:footer="0" w:header="0"/>
        </w:sectPr>
      </w:pPr>
    </w:p>
    <w:bookmarkStart w:id="189" w:name="page190"/>
    <w:bookmarkEnd w:id="189"/>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the then Total Revolving Credit Commitment, whereupon the Revolving Credit Commitments of the Revolving Credit Banks shall be reduced pro rata in accordance with their respective Commitment Percentages by the amount specified in such notice or, as the case may be, terminated,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after giving effect to any reduction of the Total Revolving Credit Commitment, the Bid Rate Maximum Amount or the Letter of Credit Sublimit exceeds the amount of the Total Revolving Credit Commitment, then the Bid Rate Maximum Amount or the Letter of Credit Sublimit, as applicable, shall be automatically reduced by the amount of such excess. Upon the effective date of any such reduction or termination, the Borrower shall pay to the Agent for the respective accounts of the Banks the full amount of the Facility Fee then accrued and unpaid on the amount of the reduction. No reduction or termination of the Commitments may be reinstated. In the event the Total Revolving Credit Commitments of the Banks have been reduced to zero ($0), no Letters of Credit are then issued and outstanding hereunder, and the Revolving Credit Loans and all other Obligations outstanding or due hereunder have been paid or repaid in full in cash, this Agreement, the revolving credit facility shall automatically terminate (except as to those provisions hereof which expressly survive such termination), unless otherwise agreed to in writing by the Agent and the Borrower. The Agent shall promptly provide each applicable Bank with copies of any notices received by the Agent from the Borrower under this §2.7.</w:t>
      </w:r>
    </w:p>
    <w:p>
      <w:pPr>
        <w:spacing w:after="0" w:line="17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§2.8</w:t>
      </w:r>
      <w:r>
        <w:rPr>
          <w:sz w:val="20"/>
          <w:szCs w:val="20"/>
          <w:color w:val="auto"/>
        </w:rPr>
        <w:tab/>
      </w:r>
      <w:r>
        <w:rPr>
          <w:rFonts w:ascii="Times New Roman" w:cs="Times New Roman" w:eastAsia="Times New Roman" w:hAnsi="Times New Roman"/>
          <w:sz w:val="21"/>
          <w:szCs w:val="21"/>
          <w:color w:val="auto"/>
        </w:rPr>
        <w:t>I</w:t>
      </w:r>
      <w:r>
        <w:rPr>
          <w:rFonts w:ascii="Times New Roman" w:cs="Times New Roman" w:eastAsia="Times New Roman" w:hAnsi="Times New Roman"/>
          <w:sz w:val="21"/>
          <w:szCs w:val="21"/>
          <w:u w:val="single" w:color="auto"/>
          <w:color w:val="auto"/>
        </w:rPr>
        <w:t>ntentionally Deleted.</w:t>
      </w:r>
    </w:p>
    <w:p>
      <w:pPr>
        <w:spacing w:after="0" w:line="22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§2.9</w:t>
      </w:r>
      <w:r>
        <w:rPr>
          <w:sz w:val="20"/>
          <w:szCs w:val="20"/>
          <w:color w:val="auto"/>
        </w:rPr>
        <w:tab/>
      </w:r>
      <w:r>
        <w:rPr>
          <w:rFonts w:ascii="Times New Roman" w:cs="Times New Roman" w:eastAsia="Times New Roman" w:hAnsi="Times New Roman"/>
          <w:sz w:val="21"/>
          <w:szCs w:val="21"/>
          <w:u w:val="single" w:color="auto"/>
          <w:color w:val="auto"/>
        </w:rPr>
        <w:t>Bid Rate Advances.</w:t>
      </w:r>
    </w:p>
    <w:p>
      <w:pPr>
        <w:spacing w:after="0" w:line="220" w:lineRule="exact"/>
        <w:rPr>
          <w:sz w:val="20"/>
          <w:szCs w:val="20"/>
          <w:color w:val="auto"/>
        </w:rPr>
      </w:pPr>
    </w:p>
    <w:p>
      <w:pPr>
        <w:jc w:val="both"/>
        <w:ind w:firstLine="1304"/>
        <w:spacing w:after="0" w:line="249" w:lineRule="auto"/>
        <w:tabs>
          <w:tab w:leader="none" w:pos="1806" w:val="left"/>
        </w:tabs>
        <w:numPr>
          <w:ilvl w:val="1"/>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terms and conditions set forth herein, each Bank agrees that the Borrower may from time to time request the Banks to submit offers to make Bid Rate Loans, in Dollars or in one or more Alternative Currencies, to the Borrower prior to the Maturity Date pursuant to this §2.9;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after giving effect to any Bid Rate Advance, (i) the Outstanding Amount of all Revolving Credit Loans, Bid Rate Loans and Letter of Credit Obligations shall not at any time exceed the Total Revolving Credit Commitment and (ii) the aggregate amount of all Bid Rate Advances then outstanding (including the requested Bid Rate Advance) shall not exceed the Bid Rate Maximum Amount. There shall not be more than ten</w:t>
      </w:r>
    </w:p>
    <w:p>
      <w:pPr>
        <w:spacing w:after="0" w:line="1" w:lineRule="exact"/>
        <w:rPr>
          <w:rFonts w:ascii="Times New Roman" w:cs="Times New Roman" w:eastAsia="Times New Roman" w:hAnsi="Times New Roman"/>
          <w:sz w:val="22"/>
          <w:szCs w:val="22"/>
          <w:color w:val="010000"/>
        </w:rPr>
      </w:pPr>
    </w:p>
    <w:p>
      <w:pPr>
        <w:ind w:left="420" w:hanging="412"/>
        <w:spacing w:after="0"/>
        <w:tabs>
          <w:tab w:leader="none" w:pos="42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different Interest Periods in effect with respect to Bid Rate Loans at any time.</w:t>
      </w:r>
    </w:p>
    <w:p>
      <w:pPr>
        <w:spacing w:after="0" w:line="209"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04" w:val="left"/>
        </w:tabs>
        <w:numPr>
          <w:ilvl w:val="1"/>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Borrower may request the submission of Competitive Bids by delivering a notice, in the form attached hereto as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Bid Rate Advance Borrowing Notice</w:t>
      </w:r>
      <w:r>
        <w:rPr>
          <w:rFonts w:ascii="Times New Roman" w:cs="Times New Roman" w:eastAsia="Times New Roman" w:hAnsi="Times New Roman"/>
          <w:sz w:val="22"/>
          <w:szCs w:val="22"/>
          <w:color w:val="auto"/>
        </w:rPr>
        <w:t>”) to the Agent not later than 12:00 noon (A) one (1) Business Day prior to the requested date of any Bid Rate Advance that is to consist of Absolute Rate Loans in Dollars, (B) four (4) Business Days prior to the requested date of any Bid Rate Advance that is to consist of Index Rate Loans in Dollars or Canadian Dollars, and (C) five (5) Business Days (or six (6) Business Days in the case of a Special Notice Currency) prior to the date of any proposed Bid Rate Advance that is to consist of Absolute Rate Loans or Index Rate Loans in an Alternative Currency other than Canadian Dollars. Each Bid Rate Advance Borrowing Notice shall specify (I) the requested date of the Bid Rate Advance (which shall be a Business Day), (II) the aggregate principal amount of Bid Rate Loans requested (which must be $5,000,000 or a whole multiple of $1,000,000 in excess thereof), (III) the Type of Bid Rate Loans requested, (IV) the duration of the Interest Period with respect thereto, and (V) whether such Bid Rate Advance is to be advanced in an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287" w:right="339" w:bottom="1440" w:gutter="0" w:footer="0" w:header="0"/>
        </w:sectPr>
      </w:pPr>
    </w:p>
    <w:bookmarkStart w:id="190" w:name="page191"/>
    <w:bookmarkEnd w:id="190"/>
    <w:p>
      <w:pPr>
        <w:jc w:val="both"/>
        <w:spacing w:after="0" w:line="263" w:lineRule="auto"/>
        <w:rPr>
          <w:sz w:val="20"/>
          <w:szCs w:val="20"/>
          <w:color w:val="auto"/>
        </w:rPr>
      </w:pPr>
      <w:r>
        <w:rPr>
          <w:rFonts w:ascii="Times New Roman" w:cs="Times New Roman" w:eastAsia="Times New Roman" w:hAnsi="Times New Roman"/>
          <w:sz w:val="22"/>
          <w:szCs w:val="22"/>
          <w:color w:val="auto"/>
        </w:rPr>
        <w:t>Currency and, if so, which Alternative Currency, and shall be signed by an Authorized Officer of the Borrower. No Bid Rate Advance Borrowing Notice shall contain a request for (A) more than one Type of Bid Rate Loan or (B) Bid Rate Loans having more than three different Interest Periods.</w:t>
      </w:r>
    </w:p>
    <w:p>
      <w:pPr>
        <w:spacing w:after="0" w:line="154" w:lineRule="exact"/>
        <w:rPr>
          <w:sz w:val="20"/>
          <w:szCs w:val="20"/>
          <w:color w:val="auto"/>
        </w:rPr>
      </w:pPr>
    </w:p>
    <w:p>
      <w:pPr>
        <w:ind w:left="1760" w:hanging="456"/>
        <w:spacing w:after="0"/>
        <w:tabs>
          <w:tab w:leader="none" w:pos="1760"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procedures for the submission of Competitive Bids by the Banks are as follows:</w:t>
      </w:r>
    </w:p>
    <w:p>
      <w:pPr>
        <w:spacing w:after="0" w:line="219" w:lineRule="exact"/>
        <w:rPr>
          <w:rFonts w:ascii="Times New Roman" w:cs="Times New Roman" w:eastAsia="Times New Roman" w:hAnsi="Times New Roman"/>
          <w:sz w:val="22"/>
          <w:szCs w:val="22"/>
          <w:color w:val="010000"/>
        </w:rPr>
      </w:pPr>
    </w:p>
    <w:p>
      <w:pPr>
        <w:ind w:left="1300" w:firstLine="652"/>
        <w:spacing w:after="0" w:line="258" w:lineRule="auto"/>
        <w:tabs>
          <w:tab w:leader="none" w:pos="2381"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Agent shall promptly notify each Bank of each Bid Rate Advance Borrowing Notice received by it from the Borrower and the contents of such Bid Rate Advance Borrowing Notice.</w:t>
      </w:r>
    </w:p>
    <w:p>
      <w:pPr>
        <w:spacing w:after="0" w:line="171" w:lineRule="exact"/>
        <w:rPr>
          <w:rFonts w:ascii="Times New Roman" w:cs="Times New Roman" w:eastAsia="Times New Roman" w:hAnsi="Times New Roman"/>
          <w:sz w:val="22"/>
          <w:szCs w:val="22"/>
          <w:color w:val="010000"/>
        </w:rPr>
      </w:pPr>
    </w:p>
    <w:p>
      <w:pPr>
        <w:jc w:val="both"/>
        <w:ind w:left="1300" w:firstLine="652"/>
        <w:spacing w:after="0" w:line="250" w:lineRule="auto"/>
        <w:tabs>
          <w:tab w:leader="none" w:pos="2509" w:val="left"/>
        </w:tabs>
        <w:numPr>
          <w:ilvl w:val="1"/>
          <w:numId w:val="1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Bank may (but shall have no obligation to) submit a Competitive Bid containing an offer to make one or more Bid Rate Loans in response to such Bid Rate Advance Borrowing Notice. Such Competitive Bid must be delivered to the Agent not later than 10:30 a.m. (A) on the requested date of any Bid Rate Advance that is to consist of Absolute Rate Loans in Dollars, (B) three (3) Business Days prior to the requested date of any Bid Rate Advance that is to consist of Index Rate Loans in Dollars or Canadian Dollars, and (C) four (4) Business Days (or five (5) Business Days in the case of a Special Notice Currency) prior to the requested date of any Bid Rate Advance that is to consist of Absolute Rate Loans or Index Rate Loans in an Alternative Currency other than Canadian Dollars;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Competitive Bid submitted by BOA in its capacity as a Bank in response to any Bid Rate Advance Borrowing Notice must be submitted to the Agent not later than 10:15 a.m. on the date on which Competitive Bids are required to be delivered by the other Banks in response to such Bid Rate Advance Borrowing Notice. Each Competitive Bid shall specify (A) the proposed date of the Bid Rate Advance;</w:t>
      </w:r>
    </w:p>
    <w:p>
      <w:pPr>
        <w:spacing w:after="0" w:line="11" w:lineRule="exact"/>
        <w:rPr>
          <w:rFonts w:ascii="Times New Roman" w:cs="Times New Roman" w:eastAsia="Times New Roman" w:hAnsi="Times New Roman"/>
          <w:sz w:val="21"/>
          <w:szCs w:val="21"/>
          <w:color w:val="010000"/>
        </w:rPr>
      </w:pPr>
    </w:p>
    <w:p>
      <w:pPr>
        <w:jc w:val="both"/>
        <w:ind w:left="1300"/>
        <w:spacing w:after="0" w:line="237"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(B) the principal amount of each Bid Rate Loan for which such Competitive Bid is being made, which principal amount (x) may be equal to, greater than or less than the Commitment of the bidding Bank, (y) must be $1,000,000 or a whole multiple of $1,000,000 in excess thereof, and (z) may not exceed the principal amount of Bid Rate Loans for which Competitive Bids were requested; (C) if the proposed Bid Rate Advance is to consist of Absolute Rate Bid Rate Loans, the Absolute Rate offered for each such Bid Rate Loan and the Interest Period applicable thereto; (D) if the proposed Bid Rate Advance is to consist of Index Rate Loans, the Index Rate Bid Margin with respect to each such Index Rate Loan and the Interest Period applicable thereto; (E) the identity of the bidding Bank; and (F) if the proposed Bid Rate Advance is to be advanced in an Alternative Currency, specifying which Alternative Currency.</w:t>
      </w:r>
    </w:p>
    <w:p>
      <w:pPr>
        <w:spacing w:after="0" w:line="198" w:lineRule="exact"/>
        <w:rPr>
          <w:rFonts w:ascii="Times New Roman" w:cs="Times New Roman" w:eastAsia="Times New Roman" w:hAnsi="Times New Roman"/>
          <w:sz w:val="21"/>
          <w:szCs w:val="21"/>
          <w:color w:val="010000"/>
        </w:rPr>
      </w:pPr>
    </w:p>
    <w:p>
      <w:pPr>
        <w:jc w:val="both"/>
        <w:ind w:left="1300" w:firstLine="652"/>
        <w:spacing w:after="0" w:line="241" w:lineRule="auto"/>
        <w:tabs>
          <w:tab w:leader="none" w:pos="2528"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Competitive Bid shall be disregarded if it (A) is received after the applicable time specified in clause (ii) above, (B) is not substantially in the form of a Competitive Bid as specified herein, (C) contains qualifying, conditional or similar language, (D) proposes terms other than or in addition to those set forth in the applicable Bid Rate Advance Borrowing Notice, or (E) is otherwise not responsive to such Bid Rate Advance Borrowing Notice. Any Bank may correct a Competitive Bid containing a manifest error by submitting a corrected Competitive Bid (identified as such) not later than the applicable time required for submission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287" w:right="339" w:bottom="1440" w:gutter="0" w:footer="0" w:header="0"/>
        </w:sectPr>
      </w:pPr>
    </w:p>
    <w:bookmarkStart w:id="191" w:name="page192"/>
    <w:bookmarkEnd w:id="191"/>
    <w:p>
      <w:pPr>
        <w:jc w:val="both"/>
        <w:ind w:left="1300"/>
        <w:spacing w:after="0" w:line="248" w:lineRule="auto"/>
        <w:rPr>
          <w:sz w:val="20"/>
          <w:szCs w:val="20"/>
          <w:color w:val="auto"/>
        </w:rPr>
      </w:pPr>
      <w:r>
        <w:rPr>
          <w:rFonts w:ascii="Times New Roman" w:cs="Times New Roman" w:eastAsia="Times New Roman" w:hAnsi="Times New Roman"/>
          <w:sz w:val="22"/>
          <w:szCs w:val="22"/>
          <w:color w:val="auto"/>
        </w:rPr>
        <w:t>of Competitive Bids. Any such submission of a corrected Competitive Bid shall constitute a revocation of the Competitive Bid that contained the manifest error. The Agent may, but shall not be required to, notify any Bank of any manifest error it detects in such Bank’s Competitive Bid. The Agent shall promptly notify the Borrower of any disregarded Competitive Bid.</w:t>
      </w:r>
    </w:p>
    <w:p>
      <w:pPr>
        <w:spacing w:after="0" w:line="183" w:lineRule="exact"/>
        <w:rPr>
          <w:sz w:val="20"/>
          <w:szCs w:val="20"/>
          <w:color w:val="auto"/>
        </w:rPr>
      </w:pPr>
    </w:p>
    <w:p>
      <w:pPr>
        <w:ind w:left="1300" w:firstLine="652"/>
        <w:spacing w:after="0" w:line="258" w:lineRule="auto"/>
        <w:tabs>
          <w:tab w:leader="none" w:pos="2476" w:val="left"/>
        </w:tabs>
        <w:numPr>
          <w:ilvl w:val="1"/>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only to the provisions of §§5.4, 5.5 and 13 and clause (iii) above, each Competitive Bid shall be irrevocable.</w:t>
      </w:r>
    </w:p>
    <w:p>
      <w:pPr>
        <w:spacing w:after="0" w:line="171" w:lineRule="exact"/>
        <w:rPr>
          <w:rFonts w:ascii="Times New Roman" w:cs="Times New Roman" w:eastAsia="Times New Roman" w:hAnsi="Times New Roman"/>
          <w:sz w:val="22"/>
          <w:szCs w:val="22"/>
          <w:color w:val="010000"/>
        </w:rPr>
      </w:pPr>
    </w:p>
    <w:p>
      <w:pPr>
        <w:jc w:val="both"/>
        <w:ind w:firstLine="1304"/>
        <w:spacing w:after="0" w:line="241" w:lineRule="auto"/>
        <w:tabs>
          <w:tab w:leader="none" w:pos="1831"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 later than 11:00 a.m. (i) on the requested date of any Bid Rate Advance that is to consist of Absolute Rate Loans in Dollars, (ii) three Business Days prior to the requested date of any Bid Rate Advance that is to consist of Index Rate Loans in Dollars or Canadian Dollars, or (iii) four (4) Business Days (or five (5) Business Days in the case of a Special Notice Currency) prior to the requested date of any Bid Rate Advance that is to consist of Absolute Rate Loans or Index Rate Loans in an Alternative Currency other than Canadian Dollars, the Agent shall notify the Borrower of the identity of each Bank that has submitted a Competitive Bid that complies with §2.9(c) and of the terms of the offers contained in each such Competitive Bid.</w:t>
      </w:r>
    </w:p>
    <w:p>
      <w:pPr>
        <w:spacing w:after="0" w:line="192" w:lineRule="exact"/>
        <w:rPr>
          <w:rFonts w:ascii="Times New Roman" w:cs="Times New Roman" w:eastAsia="Times New Roman" w:hAnsi="Times New Roman"/>
          <w:sz w:val="22"/>
          <w:szCs w:val="22"/>
          <w:color w:val="010000"/>
        </w:rPr>
      </w:pPr>
    </w:p>
    <w:p>
      <w:pPr>
        <w:jc w:val="both"/>
        <w:ind w:firstLine="1304"/>
        <w:spacing w:after="0"/>
        <w:tabs>
          <w:tab w:leader="none" w:pos="1819" w:val="left"/>
        </w:tabs>
        <w:numPr>
          <w:ilvl w:val="0"/>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 later than 11:30 a.m. (i) on the requested date of any Bid Rate Advance that is to consist of Absolute Rate Loans in Dollars, (ii) three (3) Business Days prior to the requested date of any Bid Rate Advance that is to consist of Index Rate Loans in Dollars or Canadian Dollars, or (iii) four (4) Business Days (or five (5) Business Days in the case of a Special Notice Currency) prior to the requested date of any Bid Rate Advance that is to consist of Absolute Rate Loans or Index Rate Loans in an Alternative Currency other than Canadian Dollars, the Borrower shall notify the Agent of its acceptance or rejection of the offers of which it was notified pursuant to §2.9(d). The Borrower shall be under no obligation to accept any Competitive Bid and may choose to reject all Competitive Bids. In the case of acceptance, such notice shall specify the aggregate principal amount of Competitive Bids for each Interest Period that is accepted. The Borrower may accept any Competitive Bid in whole or in part;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0" w:lineRule="exact"/>
        <w:rPr>
          <w:rFonts w:ascii="Times New Roman" w:cs="Times New Roman" w:eastAsia="Times New Roman" w:hAnsi="Times New Roman"/>
          <w:sz w:val="22"/>
          <w:szCs w:val="22"/>
          <w:color w:val="010000"/>
        </w:rPr>
      </w:pPr>
    </w:p>
    <w:p>
      <w:pPr>
        <w:ind w:left="1300" w:right="20" w:firstLine="652"/>
        <w:spacing w:after="0" w:line="271" w:lineRule="auto"/>
        <w:tabs>
          <w:tab w:leader="none" w:pos="2408" w:val="left"/>
        </w:tabs>
        <w:numPr>
          <w:ilvl w:val="1"/>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aggregate principal amount of each Bid Rate Advance may not exceed the applicable amount set forth in the related Bid Rate Advance Borrowing Notice;</w:t>
      </w:r>
    </w:p>
    <w:p>
      <w:pPr>
        <w:spacing w:after="0" w:line="157" w:lineRule="exact"/>
        <w:rPr>
          <w:rFonts w:ascii="Times New Roman" w:cs="Times New Roman" w:eastAsia="Times New Roman" w:hAnsi="Times New Roman"/>
          <w:sz w:val="22"/>
          <w:szCs w:val="22"/>
          <w:color w:val="010000"/>
        </w:rPr>
      </w:pPr>
    </w:p>
    <w:p>
      <w:pPr>
        <w:ind w:left="1300" w:firstLine="652"/>
        <w:spacing w:after="0" w:line="258" w:lineRule="auto"/>
        <w:tabs>
          <w:tab w:leader="none" w:pos="2428" w:val="left"/>
        </w:tabs>
        <w:numPr>
          <w:ilvl w:val="1"/>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principal amount of each Bid Rate Loan must be $1,000,000 or a whole multiple of $1,000,000 in excess thereof;</w:t>
      </w:r>
    </w:p>
    <w:p>
      <w:pPr>
        <w:spacing w:after="0" w:line="171" w:lineRule="exact"/>
        <w:rPr>
          <w:rFonts w:ascii="Times New Roman" w:cs="Times New Roman" w:eastAsia="Times New Roman" w:hAnsi="Times New Roman"/>
          <w:sz w:val="22"/>
          <w:szCs w:val="22"/>
          <w:color w:val="010000"/>
        </w:rPr>
      </w:pPr>
    </w:p>
    <w:p>
      <w:pPr>
        <w:ind w:left="1300" w:right="20" w:firstLine="652"/>
        <w:spacing w:after="0" w:line="258" w:lineRule="auto"/>
        <w:tabs>
          <w:tab w:leader="none" w:pos="2528" w:val="left"/>
        </w:tabs>
        <w:numPr>
          <w:ilvl w:val="1"/>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acceptance of offers may be made only on the basis of ascending Absolute Rates or Index Rate Bid Margins within each Interest Period; and</w:t>
      </w:r>
    </w:p>
    <w:p>
      <w:pPr>
        <w:spacing w:after="0" w:line="171" w:lineRule="exact"/>
        <w:rPr>
          <w:rFonts w:ascii="Times New Roman" w:cs="Times New Roman" w:eastAsia="Times New Roman" w:hAnsi="Times New Roman"/>
          <w:sz w:val="22"/>
          <w:szCs w:val="22"/>
          <w:color w:val="010000"/>
        </w:rPr>
      </w:pPr>
    </w:p>
    <w:p>
      <w:pPr>
        <w:ind w:left="1300" w:firstLine="652"/>
        <w:spacing w:after="0" w:line="258" w:lineRule="auto"/>
        <w:tabs>
          <w:tab w:leader="none" w:pos="2584" w:val="left"/>
        </w:tabs>
        <w:numPr>
          <w:ilvl w:val="1"/>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may not accept any offer that is described in §2.9(c)(iii) or that otherwise fails to comply with the requirements hereof.</w:t>
      </w:r>
    </w:p>
    <w:p>
      <w:pPr>
        <w:spacing w:after="0" w:line="171" w:lineRule="exact"/>
        <w:rPr>
          <w:rFonts w:ascii="Times New Roman" w:cs="Times New Roman" w:eastAsia="Times New Roman" w:hAnsi="Times New Roman"/>
          <w:sz w:val="22"/>
          <w:szCs w:val="22"/>
          <w:color w:val="010000"/>
        </w:rPr>
      </w:pPr>
    </w:p>
    <w:p>
      <w:pPr>
        <w:jc w:val="both"/>
        <w:ind w:firstLine="1304"/>
        <w:spacing w:after="0" w:line="268" w:lineRule="auto"/>
        <w:tabs>
          <w:tab w:leader="none" w:pos="1728" w:val="left"/>
        </w:tabs>
        <w:numPr>
          <w:ilvl w:val="0"/>
          <w:numId w:val="1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two or more Banks have submitted Competitive Bids at the same Absolute Rate or Index Rate Bid Margin, as the case may be, for the same Interest Period, and the result of accepting all of such Competitive Bids in whole (together with any other Competitive Bids at lower Absolute Rates or Index Rate Bid Margins, as the case may be, accepted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273" w:right="339" w:bottom="1440" w:gutter="0" w:footer="0" w:header="0"/>
        </w:sectPr>
      </w:pPr>
    </w:p>
    <w:bookmarkStart w:id="192" w:name="page193"/>
    <w:bookmarkEnd w:id="192"/>
    <w:p>
      <w:pPr>
        <w:jc w:val="both"/>
        <w:spacing w:after="0" w:line="247" w:lineRule="auto"/>
        <w:rPr>
          <w:sz w:val="20"/>
          <w:szCs w:val="20"/>
          <w:color w:val="auto"/>
        </w:rPr>
      </w:pPr>
      <w:r>
        <w:rPr>
          <w:rFonts w:ascii="Times New Roman" w:cs="Times New Roman" w:eastAsia="Times New Roman" w:hAnsi="Times New Roman"/>
          <w:sz w:val="22"/>
          <w:szCs w:val="22"/>
          <w:color w:val="auto"/>
        </w:rPr>
        <w:t>Interest Period in conformity with the requirements of §2.9(e)(iii)) would be to cause the aggregate outstanding principal amount of the applicable Bid Rate Advance to exceed the amount specified therefor in the related Bid Rate Advance Borrowing Notice, then, unless otherwise agreed by the Borrower, the Agent and such Banks, such Competitive Bids shall be accepted as nearly as possible in proportion to the amount offered by each such Bank in respect of such Interest Period, with such accepted amounts being rounded to the nearest whole multiple of $1,000,000.</w:t>
      </w:r>
    </w:p>
    <w:p>
      <w:pPr>
        <w:spacing w:after="0" w:line="183" w:lineRule="exact"/>
        <w:rPr>
          <w:sz w:val="20"/>
          <w:szCs w:val="20"/>
          <w:color w:val="auto"/>
        </w:rPr>
      </w:pPr>
    </w:p>
    <w:p>
      <w:pPr>
        <w:jc w:val="both"/>
        <w:ind w:firstLine="1304"/>
        <w:spacing w:after="0" w:line="256" w:lineRule="auto"/>
        <w:tabs>
          <w:tab w:leader="none" w:pos="1791"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Agent shall promptly notify each Bank having submitted a Competitive Bid whether or not its offer has been accepted and, if its offer has been accepted, of the amount of the Bid Rate Loan or Bid Rate Loans to be made by it on the date of the applicable Bid Rate Advance. Any Competitive Bid or portion thereof that is not accepted by the Borrower by the applicable time specified in §2.9(e) shall be deemed rejected.</w:t>
      </w:r>
    </w:p>
    <w:p>
      <w:pPr>
        <w:spacing w:after="0" w:line="176"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872"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Bid Rate Advance is to consist of Index Rate Loans, the Agent shall determine Term SOFR, the Alternative Currency Daily Rate or the Alternative Currency Term Rate, as applicable, for the relevant Interest Period, and promptly after making such determination, shall notify the Borrower and the Banks that will be participating in such Bid Rate Advance of such rate.</w:t>
      </w:r>
    </w:p>
    <w:p>
      <w:pPr>
        <w:spacing w:after="0" w:line="192"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756"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Bank that has received notice pursuant to §2.9(g) that all or a portion of its Competitive Bid has been accepted by the Borrower shall make the amount of its Bid Rate Loan(s) available to the Agent in Same Day Funds at the Agent’s Funding Office not later than 1:00 p.m. on the date of the requested Bid Rate Advance. Upon satisfaction of the applicable conditions set forth in §13, the Agent shall make all funds so received available to the Borrower in like funds as received by the Agent.</w:t>
      </w:r>
    </w:p>
    <w:p>
      <w:pPr>
        <w:spacing w:after="0" w:line="194"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756"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After each Competitive Bid auction pursuant to this §2.9, the Agent shall notify each Bank that submitted a Competitive Bid in such auction of the ranges of bids submitted (without the bidder’s name) and accepted for each Bid Rate Loan and the aggregate amount of each Bid Rate Advance.</w:t>
      </w:r>
    </w:p>
    <w:p>
      <w:pPr>
        <w:spacing w:after="0" w:line="172" w:lineRule="exact"/>
        <w:rPr>
          <w:rFonts w:ascii="Times New Roman" w:cs="Times New Roman" w:eastAsia="Times New Roman" w:hAnsi="Times New Roman"/>
          <w:sz w:val="22"/>
          <w:szCs w:val="22"/>
          <w:color w:val="010000"/>
        </w:rPr>
      </w:pPr>
    </w:p>
    <w:p>
      <w:pPr>
        <w:ind w:right="20" w:firstLine="1304"/>
        <w:spacing w:after="0" w:line="271" w:lineRule="auto"/>
        <w:tabs>
          <w:tab w:leader="none" w:pos="1831"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Within the limits and on the conditions set forth in this §2.9, the Borrower may from time to time borrow under this §2.9, repay pursuant to §2.9(f), and reborrow under this §2.9.</w:t>
      </w:r>
    </w:p>
    <w:p>
      <w:pPr>
        <w:spacing w:after="0" w:line="171"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797"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Bid Rate Loan shall bear interest on the outstanding principal amount thereof for the Interest Period therefor at a rate per annum equal to Term SOFR, the Alternative Currency Daily Rate or the Alternative Currency Term Rate, as applicable, for such Interest Period plus (or minus) the Index Rate Bid Margin, or at the Absolute Rate for such Interest Period, as the case may be. Interest on Bid Rate Loans shall be calculated for actual days elapsed on the basis of a 360-day year. The Borrower hereby absolutely and unconditionally promises to pay to the Agent for the account of each Bank which has made a Bid Rate Loan to it, on the last day of the Interest Period in respect thereof or such earlier date to which the maturity of such Bid Rate Loan has been accelerated hereunder, the then unpaid principal amount of such Bid Rate Loan and all accrued but unpaid interest thereon. The Borrower shall have no right to prepay any principal amount of any Bid Rate Loan unless, and then only on the terms, specified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273" w:right="339" w:bottom="1440" w:gutter="0" w:footer="0" w:header="0"/>
        </w:sectPr>
      </w:pPr>
    </w:p>
    <w:bookmarkStart w:id="193" w:name="page194"/>
    <w:bookmarkEnd w:id="193"/>
    <w:p>
      <w:pPr>
        <w:spacing w:after="0" w:line="284" w:lineRule="auto"/>
        <w:rPr>
          <w:sz w:val="20"/>
          <w:szCs w:val="20"/>
          <w:color w:val="auto"/>
        </w:rPr>
      </w:pPr>
      <w:r>
        <w:rPr>
          <w:rFonts w:ascii="Times New Roman" w:cs="Times New Roman" w:eastAsia="Times New Roman" w:hAnsi="Times New Roman"/>
          <w:sz w:val="22"/>
          <w:szCs w:val="22"/>
          <w:color w:val="auto"/>
        </w:rPr>
        <w:t>Borrower for such Bid Rate Loan in the related Bid Rate Advance Borrowing Notice and subject to payment of Breakage Costs and other compensation, if any, as provided in §5.9.</w:t>
      </w:r>
    </w:p>
    <w:p>
      <w:pPr>
        <w:spacing w:after="0" w:line="144" w:lineRule="exact"/>
        <w:rPr>
          <w:sz w:val="20"/>
          <w:szCs w:val="20"/>
          <w:color w:val="auto"/>
        </w:rPr>
      </w:pPr>
    </w:p>
    <w:p>
      <w:pPr>
        <w:jc w:val="both"/>
        <w:ind w:firstLine="1304"/>
        <w:spacing w:after="0" w:line="248" w:lineRule="auto"/>
        <w:tabs>
          <w:tab w:leader="none" w:pos="1837"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Bid Rate Loans shall be evidenced by one or more accounts or records maintained by the Banks and by the Agent in the ordinary course of business. The accounts or records maintained by the Agent and the Banks shall be </w:t>
      </w:r>
      <w:r>
        <w:rPr>
          <w:rFonts w:ascii="Times New Roman" w:cs="Times New Roman" w:eastAsia="Times New Roman" w:hAnsi="Times New Roman"/>
          <w:sz w:val="22"/>
          <w:szCs w:val="22"/>
          <w:u w:val="single" w:color="auto"/>
          <w:color w:val="auto"/>
        </w:rPr>
        <w:t>prima facie</w:t>
      </w:r>
      <w:r>
        <w:rPr>
          <w:rFonts w:ascii="Times New Roman" w:cs="Times New Roman" w:eastAsia="Times New Roman" w:hAnsi="Times New Roman"/>
          <w:sz w:val="22"/>
          <w:szCs w:val="22"/>
          <w:color w:val="auto"/>
        </w:rPr>
        <w:t xml:space="preserve"> evidence of the amount of the Bid Rate Loans made by the Banks to the Borrower and the interest and payments thereon. Any failure to so record or any error in doing so shall not, however, limit or otherwise affect the obligation of the Borrower hereunder to pay any amount owing with respect to the Bid Rate Loans. In the event of any conflict between the accounts and records maintained by any Bank and the accounts and records of the Agent in respect of such matters, the accounts and records of the Agent shall control in the absence of manifest error. Upon the request of any Bank made through the Agent, the Borrower shall execute and deliver to such Bank (through the Agent) a Bid Rate Note payable to the order of such Bank in an aggregate principal amount equal to such Bank’s Bid Rate Loans, which shall evidence such Bank’s Bid Rate Loans in addition to such accounts or records. Each Bank may attach schedules to its Bid Rate Note and endorse thereon the date the date, Type (if applicable), amount and maturity of its Bid Rate Loans and payments with respect thereto.</w:t>
      </w:r>
    </w:p>
    <w:p>
      <w:pPr>
        <w:spacing w:after="0" w:line="188" w:lineRule="exact"/>
        <w:rPr>
          <w:rFonts w:ascii="Times New Roman" w:cs="Times New Roman" w:eastAsia="Times New Roman" w:hAnsi="Times New Roman"/>
          <w:sz w:val="22"/>
          <w:szCs w:val="22"/>
          <w:color w:val="010000"/>
        </w:rPr>
      </w:pPr>
    </w:p>
    <w:p>
      <w:pPr>
        <w:ind w:right="20" w:firstLine="1304"/>
        <w:spacing w:after="0" w:line="271" w:lineRule="auto"/>
        <w:tabs>
          <w:tab w:leader="none" w:pos="1764"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Existing Bid Rate Advance, upon the effectiveness of this Agreement, shall automatically be deemed to be a Bid Rate Advance made under and pursuant to this Agreement for all purposes.</w:t>
      </w:r>
    </w:p>
    <w:p>
      <w:pPr>
        <w:spacing w:after="0" w:line="144"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§2.10</w:t>
      </w:r>
      <w:r>
        <w:rPr>
          <w:sz w:val="20"/>
          <w:szCs w:val="20"/>
          <w:color w:val="auto"/>
        </w:rPr>
        <w:tab/>
      </w:r>
      <w:r>
        <w:rPr>
          <w:rFonts w:ascii="Times New Roman" w:cs="Times New Roman" w:eastAsia="Times New Roman" w:hAnsi="Times New Roman"/>
          <w:sz w:val="21"/>
          <w:szCs w:val="21"/>
          <w:u w:val="single" w:color="auto"/>
          <w:color w:val="auto"/>
        </w:rPr>
        <w:t>Increases in Total Commitment.</w:t>
      </w:r>
    </w:p>
    <w:p>
      <w:pPr>
        <w:spacing w:after="0" w:line="220" w:lineRule="exact"/>
        <w:rPr>
          <w:sz w:val="20"/>
          <w:szCs w:val="20"/>
          <w:color w:val="auto"/>
        </w:rPr>
      </w:pPr>
    </w:p>
    <w:p>
      <w:pPr>
        <w:jc w:val="both"/>
        <w:ind w:firstLine="1304"/>
        <w:spacing w:after="0" w:line="239" w:lineRule="auto"/>
        <w:tabs>
          <w:tab w:leader="none" w:pos="1765" w:val="left"/>
        </w:tabs>
        <w:numPr>
          <w:ilvl w:val="0"/>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shall have the right, from time to time prior to the Maturity Date, to request an increase in the Total Revolving Credit Commitment (each such increase, an “</w:t>
      </w:r>
      <w:r>
        <w:rPr>
          <w:rFonts w:ascii="Times New Roman" w:cs="Times New Roman" w:eastAsia="Times New Roman" w:hAnsi="Times New Roman"/>
          <w:sz w:val="22"/>
          <w:szCs w:val="22"/>
          <w:u w:val="single" w:color="auto"/>
          <w:color w:val="auto"/>
        </w:rPr>
        <w:t>Incremental Revolving Increase</w:t>
      </w:r>
      <w:r>
        <w:rPr>
          <w:rFonts w:ascii="Times New Roman" w:cs="Times New Roman" w:eastAsia="Times New Roman" w:hAnsi="Times New Roman"/>
          <w:sz w:val="22"/>
          <w:szCs w:val="22"/>
          <w:color w:val="auto"/>
        </w:rPr>
        <w:t>”) and/or, to add one or more tranches of term loans (each an “</w:t>
      </w:r>
      <w:r>
        <w:rPr>
          <w:rFonts w:ascii="Times New Roman" w:cs="Times New Roman" w:eastAsia="Times New Roman" w:hAnsi="Times New Roman"/>
          <w:sz w:val="22"/>
          <w:szCs w:val="22"/>
          <w:u w:val="single" w:color="auto"/>
          <w:color w:val="auto"/>
        </w:rPr>
        <w:t>Incremental Term Loan Facility</w:t>
      </w:r>
      <w:r>
        <w:rPr>
          <w:rFonts w:ascii="Times New Roman" w:cs="Times New Roman" w:eastAsia="Times New Roman" w:hAnsi="Times New Roman"/>
          <w:sz w:val="22"/>
          <w:szCs w:val="22"/>
          <w:color w:val="auto"/>
        </w:rPr>
        <w:t>”; each Incremental Term Loan Facility and each Incremental Revolving Increase are collectively referred to as an “</w:t>
      </w:r>
      <w:r>
        <w:rPr>
          <w:rFonts w:ascii="Times New Roman" w:cs="Times New Roman" w:eastAsia="Times New Roman" w:hAnsi="Times New Roman"/>
          <w:sz w:val="22"/>
          <w:szCs w:val="22"/>
          <w:u w:val="single" w:color="auto"/>
          <w:color w:val="auto"/>
        </w:rPr>
        <w:t>Increase</w:t>
      </w:r>
      <w:r>
        <w:rPr>
          <w:rFonts w:ascii="Times New Roman" w:cs="Times New Roman" w:eastAsia="Times New Roman" w:hAnsi="Times New Roman"/>
          <w:sz w:val="22"/>
          <w:szCs w:val="22"/>
          <w:color w:val="auto"/>
        </w:rPr>
        <w:t xml:space="preserve">”) in each case, in minimum increments of $50,000,000, up to an aggregate increase amount not at any time exceeding $500,000,000 for all increases after giving effect to such Increase, in which event the Agent will amend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to reflect the increased Commitment of each existing Bank, if any, that has agreed in writing to an Increase and to add any third party financial institution that may have become a party to, and a “Bank” under, this Agreement in connection with an Increase and the Commitment Percentages of each Bank after giving effect to such Increase;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it shall be a condition precedent to the effectiveness of the Increase that the Increase Conditions shall have been satisfied and the Borrower shall have delivered to the Agent a certificate of the Borrower dated as of the effective date of such Increase signed by an Authorized Officer (x) certifying and attaching the resolutions adopted by the Borrower approving or consenting to such Increase, and (y) certifying that the Increase Conditions have been satisfied as of such date. In the event that an Increase results in any change to any Commitment Percentage of any Bank, then on the effective date of such Increase (i) any new Bank, and any existing Bank whose Commitment has increased, shall pay to the Agent such amounts as are necessary to fund its new or increased Commitment Percentage of all existing Revolving Credit Loans or to fund its term loan under the Incremental Term Loan Facility, (ii) in the case of an Incremental Revolving Increase, the Agent will use the proceeds thereof to pay to all Revolving Credit Banks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287" w:right="339" w:bottom="1440" w:gutter="0" w:footer="0" w:header="0"/>
        </w:sectPr>
      </w:pPr>
    </w:p>
    <w:bookmarkStart w:id="194" w:name="page195"/>
    <w:bookmarkEnd w:id="194"/>
    <w:p>
      <w:pPr>
        <w:jc w:val="both"/>
        <w:spacing w:after="0" w:line="243" w:lineRule="auto"/>
        <w:rPr>
          <w:sz w:val="20"/>
          <w:szCs w:val="20"/>
          <w:color w:val="auto"/>
        </w:rPr>
      </w:pPr>
      <w:r>
        <w:rPr>
          <w:rFonts w:ascii="Times New Roman" w:cs="Times New Roman" w:eastAsia="Times New Roman" w:hAnsi="Times New Roman"/>
          <w:sz w:val="22"/>
          <w:szCs w:val="22"/>
          <w:color w:val="auto"/>
        </w:rPr>
        <w:t>Commitment Percentage is decreasing such amounts as are necessary so that each such Revolving Credit Bank’s participation in existing Revolving Credit Loans will be equal to its adjusted Commitment Percentage, and (iii) if the effective date of such Increase occurs on a date other than the last day of an Interest Period applicable to any outstanding Term Rate Committed Loan, the Borrower will be responsible for Breakage Costs and any other amounts payable pursuant to §5.9 on account of the payments made pursuant to clause (ii) above. Each such Increase will be syndicated by the Arrangers using best efforts, but in no event shall any Bank be required to participate in any Increase.</w:t>
      </w:r>
    </w:p>
    <w:p>
      <w:pPr>
        <w:spacing w:after="0" w:line="191" w:lineRule="exact"/>
        <w:rPr>
          <w:sz w:val="20"/>
          <w:szCs w:val="20"/>
          <w:color w:val="auto"/>
        </w:rPr>
      </w:pPr>
    </w:p>
    <w:p>
      <w:pPr>
        <w:ind w:left="1780" w:hanging="476"/>
        <w:spacing w:after="0"/>
        <w:tabs>
          <w:tab w:leader="none" w:pos="1780"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§2.10 shall supersede any provisions in §5.1.7 or §28 to the contrary.</w:t>
      </w:r>
    </w:p>
    <w:p>
      <w:pPr>
        <w:spacing w:after="0" w:line="206"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765"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that any Increase shall take the form of an Incremental Term Loan Facility, this Agreement and the other Loan Documents may be amended as necessary or appropriate, as reasonably agreed to by the Administrative Agent and the Borrower, to effect the provisions of this with the consent of the Administrative Agent, each Bank providing such Increase and the Borrower, to give effect to or to evidence the terms of such Incremental Term Loan Facility.</w:t>
      </w:r>
    </w:p>
    <w:p>
      <w:pPr>
        <w:spacing w:after="0" w:line="183"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010000"/>
        </w:rPr>
        <w:t>§3</w:t>
      </w:r>
      <w:r>
        <w:rPr>
          <w:sz w:val="20"/>
          <w:szCs w:val="20"/>
          <w:color w:val="auto"/>
        </w:rPr>
        <w:tab/>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§3.1</w:t>
      </w:r>
      <w:r>
        <w:rPr>
          <w:sz w:val="20"/>
          <w:szCs w:val="20"/>
          <w:color w:val="auto"/>
        </w:rPr>
        <w:tab/>
      </w:r>
      <w:r>
        <w:rPr>
          <w:rFonts w:ascii="Times New Roman" w:cs="Times New Roman" w:eastAsia="Times New Roman" w:hAnsi="Times New Roman"/>
          <w:sz w:val="21"/>
          <w:szCs w:val="21"/>
          <w:u w:val="single" w:color="auto"/>
          <w:color w:val="auto"/>
        </w:rPr>
        <w:t>Letter of Credit Commitments.</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22"/>
          <w:szCs w:val="22"/>
          <w:color w:val="010000"/>
        </w:rPr>
        <w:t>§3.1.1</w:t>
      </w:r>
      <w:r>
        <w:rPr>
          <w:sz w:val="20"/>
          <w:szCs w:val="20"/>
          <w:color w:val="auto"/>
        </w:rPr>
        <w:tab/>
      </w:r>
      <w:r>
        <w:rPr>
          <w:rFonts w:ascii="Times New Roman" w:cs="Times New Roman" w:eastAsia="Times New Roman" w:hAnsi="Times New Roman"/>
          <w:sz w:val="21"/>
          <w:szCs w:val="21"/>
          <w:u w:val="single" w:color="auto"/>
          <w:color w:val="auto"/>
        </w:rPr>
        <w:t>Commitment to Issue Letters of Credit.</w:t>
      </w:r>
    </w:p>
    <w:p>
      <w:pPr>
        <w:spacing w:after="0" w:line="206" w:lineRule="exact"/>
        <w:rPr>
          <w:sz w:val="20"/>
          <w:szCs w:val="20"/>
          <w:color w:val="auto"/>
        </w:rPr>
      </w:pPr>
    </w:p>
    <w:p>
      <w:pPr>
        <w:jc w:val="both"/>
        <w:ind w:firstLine="1304"/>
        <w:spacing w:after="0" w:line="251" w:lineRule="auto"/>
        <w:tabs>
          <w:tab w:leader="none" w:pos="1752" w:val="left"/>
        </w:tabs>
        <w:numPr>
          <w:ilvl w:val="0"/>
          <w:numId w:val="1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Subject to the terms and conditions set forth herein and the execution and delivery by the Borrower of a letter of credit application on the applicable Fronting Bank’s customary form (a “</w:t>
      </w:r>
      <w:r>
        <w:rPr>
          <w:rFonts w:ascii="Times New Roman" w:cs="Times New Roman" w:eastAsia="Times New Roman" w:hAnsi="Times New Roman"/>
          <w:sz w:val="21"/>
          <w:szCs w:val="21"/>
          <w:u w:val="single" w:color="auto"/>
          <w:color w:val="auto"/>
        </w:rPr>
        <w:t>Letter of Credit Application</w:t>
      </w:r>
      <w:r>
        <w:rPr>
          <w:rFonts w:ascii="Times New Roman" w:cs="Times New Roman" w:eastAsia="Times New Roman" w:hAnsi="Times New Roman"/>
          <w:sz w:val="21"/>
          <w:szCs w:val="21"/>
          <w:color w:val="auto"/>
        </w:rPr>
        <w:t>”), (i) each Fronting Bank on behalf of the Revolving Credit Banks and in reliance upon the agreement of the Revolving Credit Banks set forth in §3.1.4 and upon the representations and warranties of the Borrower contained herein, agrees, in its individual capacity (x) from time to time on any Business Day during the period from the Closing Date until the Maturity Date, to issue, extend and renew for the account of the Borrower (or, so long as the Borrower remains fully liable on the applicable Letter of Credit Application, for the account of a Wholly-owned Subsidiary of the Borrower or a Partially-Owned Entity) one or more standby letters of credit denominated in Dollars or in one or more Alternative Currencies providing for the payment of cash (in Dollars or such Alternative Currency, as applicable) upon the honoring of a presentation thereunder (individually, a “</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xml:space="preserve">”), in such form as may be requested from time to time by the Borrower and reasonably agreed to by the applicable Fronting Bank, and to amend Letters of Credit previously issued by it, in accordance with §3.1.2, and (y) to honor drawings under the Letters of Credit issued by it; and (ii) the Revolving Credit Banks severally agree to participate in such Letters of Credit and any drawings thereunder;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after giving effect to such Letter of Credit Application (and upon issuance, amendment, extension, reinstatement or renewal of such Letter of Credit the Borrower shall be deemed to represent and warrant that), (1) the Outstanding Amount of all Revolving Credit Loans and Letter of Credit Obligations shall not at any time exceed the Total Revolving Credit Commitment, (2) the Revolving Credit Exposure of any Bank (exclusive of such Bank’s Bid Rate Loans) shall not at any time exceed such Bank’s Revolving Credit Commitment, and (3) the Outstanding Amount of all Letter of Credit Obligations shall not at any time exceed the Letter of Credit Sublimit. It is acknowledged that the Existing Letters of Credit are to be treated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273" w:right="339" w:bottom="1440" w:gutter="0" w:footer="0" w:header="0"/>
        </w:sectPr>
      </w:pPr>
    </w:p>
    <w:bookmarkStart w:id="195" w:name="page196"/>
    <w:bookmarkEnd w:id="195"/>
    <w:p>
      <w:pPr>
        <w:jc w:val="both"/>
        <w:spacing w:after="0" w:line="248" w:lineRule="auto"/>
        <w:rPr>
          <w:sz w:val="20"/>
          <w:szCs w:val="20"/>
          <w:color w:val="auto"/>
        </w:rPr>
      </w:pPr>
      <w:r>
        <w:rPr>
          <w:rFonts w:ascii="Times New Roman" w:cs="Times New Roman" w:eastAsia="Times New Roman" w:hAnsi="Times New Roman"/>
          <w:sz w:val="22"/>
          <w:szCs w:val="22"/>
          <w:color w:val="auto"/>
        </w:rPr>
        <w:t>Letters of Credit hereunder for all purposes, including, without limitation, with respect to the Reimbursement Obligations of the Borrower under §3.2 and the funding obligations of the Revolving Credit Banks under §3.3. As this Agreement constitutes an entire amendment and restatement of the Existing Credit Agreement, it is acknowledged and agreed that no Fronting Bank shall, or shall have any obligation to, issue any further Letters of Credit under the Existing Credit Agreement.</w:t>
      </w:r>
    </w:p>
    <w:p>
      <w:pPr>
        <w:spacing w:after="0" w:line="183" w:lineRule="exact"/>
        <w:rPr>
          <w:sz w:val="20"/>
          <w:szCs w:val="20"/>
          <w:color w:val="auto"/>
        </w:rPr>
      </w:pPr>
    </w:p>
    <w:p>
      <w:pPr>
        <w:ind w:left="1780" w:hanging="476"/>
        <w:spacing w:after="0"/>
        <w:tabs>
          <w:tab w:leader="none" w:pos="1780" w:val="left"/>
        </w:tabs>
        <w:numPr>
          <w:ilvl w:val="0"/>
          <w:numId w:val="1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Fronting Bank shall be under any obligation to issue, extend, increase or renew, as applicable, any Letter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Credit:</w:t>
      </w:r>
    </w:p>
    <w:p>
      <w:pPr>
        <w:spacing w:after="0" w:line="196" w:lineRule="exact"/>
        <w:rPr>
          <w:sz w:val="20"/>
          <w:szCs w:val="20"/>
          <w:color w:val="auto"/>
        </w:rPr>
      </w:pPr>
    </w:p>
    <w:p>
      <w:pPr>
        <w:ind w:left="2600" w:hanging="648"/>
        <w:spacing w:after="0" w:line="241" w:lineRule="auto"/>
        <w:tabs>
          <w:tab w:leader="none" w:pos="2493"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Revolving Credit Bank is at that time a Delinquent Bank, unless such Fronting Bank has entered into arrangements, including the delivery of Cash Collateral, satisfactory to such Fronting Bank (in its sole discretion) with the Borrower or such Bank to eliminate such Fronting Bank’s actual or potential Fronting Exposure (after giving effect to §5.12.1(d)) with respect to the Delinquent Bank arising from either the Letter of Credit then proposed to be issued or that Letter of Credit and all other Letter of Credit Obligations as to which such Fronting Bank has actual or potential Fronting Exposure, as it may elect in its sole discretion;</w:t>
      </w:r>
    </w:p>
    <w:p>
      <w:pPr>
        <w:spacing w:after="0" w:line="192" w:lineRule="exact"/>
        <w:rPr>
          <w:rFonts w:ascii="Times New Roman" w:cs="Times New Roman" w:eastAsia="Times New Roman" w:hAnsi="Times New Roman"/>
          <w:sz w:val="22"/>
          <w:szCs w:val="22"/>
          <w:color w:val="010000"/>
        </w:rPr>
      </w:pPr>
    </w:p>
    <w:p>
      <w:pPr>
        <w:ind w:left="2600" w:hanging="648"/>
        <w:spacing w:after="0" w:line="258" w:lineRule="auto"/>
        <w:tabs>
          <w:tab w:leader="none" w:pos="2513"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except as otherwise agreed by the Agent and such Fronting Bank, the Letter of Credit is to be denominated in a currency other than Dollars or an Alternative Currency;</w:t>
      </w:r>
    </w:p>
    <w:p>
      <w:pPr>
        <w:spacing w:after="0" w:line="171" w:lineRule="exact"/>
        <w:rPr>
          <w:rFonts w:ascii="Times New Roman" w:cs="Times New Roman" w:eastAsia="Times New Roman" w:hAnsi="Times New Roman"/>
          <w:sz w:val="22"/>
          <w:szCs w:val="22"/>
          <w:color w:val="010000"/>
        </w:rPr>
      </w:pPr>
    </w:p>
    <w:p>
      <w:pPr>
        <w:ind w:left="2600" w:hanging="648"/>
        <w:spacing w:after="0" w:line="258" w:lineRule="auto"/>
        <w:tabs>
          <w:tab w:leader="none" w:pos="2519"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such Fronting Bank does not as of the issuance date of the requested Letter of Credit issue letters of credit in the requested Alternative Currency;</w:t>
      </w:r>
    </w:p>
    <w:p>
      <w:pPr>
        <w:spacing w:after="0" w:line="171" w:lineRule="exact"/>
        <w:rPr>
          <w:rFonts w:ascii="Times New Roman" w:cs="Times New Roman" w:eastAsia="Times New Roman" w:hAnsi="Times New Roman"/>
          <w:sz w:val="22"/>
          <w:szCs w:val="22"/>
          <w:color w:val="010000"/>
        </w:rPr>
      </w:pPr>
    </w:p>
    <w:p>
      <w:pPr>
        <w:jc w:val="both"/>
        <w:ind w:left="2600" w:hanging="648"/>
        <w:spacing w:after="0" w:line="239" w:lineRule="auto"/>
        <w:tabs>
          <w:tab w:leader="none" w:pos="2601"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order, judgment or decree of any Governmental Authority or arbitrator shall by its terms purport to enjoin or restrain such Fronting Bank from issuing the Letter of Credit, or any Law applicable to such Fronting Bank or any request (but only to the extent that such request is applied to the Borrower in a non-discriminatory manner, as determined in good faith by such Fronting Bank without any obligation to disclose the identity of any other borrower, letter of credit beneficiary or credit facility) or directive (in each case whether or not having the force of law) from any Governmental Authority with jurisdiction over such Fronting Bank shall prohibit, or request that such Fronting Bank refrain from, the issuance of letters of credit generally or the Letter of Credit in particular or shall impose upon such Fronting Bank with respect to the Letter of Credit any restriction, reserve or capital requirement (for which such Fronting Bank is not otherwise compensated hereunder) not in effect on the Closing Date, or shall impose upon such Fronting Bank any unreimbursed loss, cost or expense which was not applicable on the Closing Date and which such Fronting Bank in good faith deems material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273" w:right="339" w:bottom="1440" w:gutter="0" w:footer="0" w:header="0"/>
        </w:sectPr>
      </w:pPr>
    </w:p>
    <w:bookmarkStart w:id="196" w:name="page197"/>
    <w:bookmarkEnd w:id="196"/>
    <w:p>
      <w:pPr>
        <w:jc w:val="both"/>
        <w:ind w:left="2600" w:hanging="648"/>
        <w:spacing w:after="0" w:line="247" w:lineRule="auto"/>
        <w:tabs>
          <w:tab w:leader="none" w:pos="2528" w:val="left"/>
        </w:tabs>
        <w:numPr>
          <w:ilvl w:val="1"/>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issuance of the Letter of Credit would violate one or more policies of such Fronting Bank applicable to letters of credit generally (but only to the extent that any such policy is applied to the Borrower in a non-discriminatory manner, as determined in good faith by such Fronting Bank without any obligation to disclose the identity of any other borrower, letter of credit beneficiary or credit facility); or</w:t>
      </w:r>
    </w:p>
    <w:p>
      <w:pPr>
        <w:spacing w:after="0" w:line="169" w:lineRule="exact"/>
        <w:rPr>
          <w:rFonts w:ascii="Times New Roman" w:cs="Times New Roman" w:eastAsia="Times New Roman" w:hAnsi="Times New Roman"/>
          <w:sz w:val="22"/>
          <w:szCs w:val="22"/>
          <w:color w:val="010000"/>
        </w:rPr>
      </w:pPr>
    </w:p>
    <w:p>
      <w:pPr>
        <w:jc w:val="both"/>
        <w:ind w:left="2600" w:hanging="648"/>
        <w:spacing w:after="0" w:line="243" w:lineRule="auto"/>
        <w:tabs>
          <w:tab w:leader="none" w:pos="2561" w:val="left"/>
        </w:tabs>
        <w:numPr>
          <w:ilvl w:val="1"/>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after giving effect to the issuance of the Letter of Credit, the Letter of Credit Obligations with respect to all Letters of Credit issued by such Fronting Bank would exceed such Fronting Bank’s Letter of Credit Commitment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the limitations set forth in the proviso to the first sentence of §3.1.1(a), any Fronting Bank may issue Letters of Credit in excess of such Fronting Bank’s Letter of Credit Commitment Amount;</w:t>
      </w:r>
    </w:p>
    <w:p>
      <w:pPr>
        <w:spacing w:after="0" w:line="190" w:lineRule="exact"/>
        <w:rPr>
          <w:rFonts w:ascii="Times New Roman" w:cs="Times New Roman" w:eastAsia="Times New Roman" w:hAnsi="Times New Roman"/>
          <w:sz w:val="22"/>
          <w:szCs w:val="22"/>
          <w:color w:val="010000"/>
        </w:rPr>
      </w:pPr>
    </w:p>
    <w:p>
      <w:pPr>
        <w:jc w:val="both"/>
        <w:ind w:left="2600" w:hanging="648"/>
        <w:spacing w:after="0" w:line="241" w:lineRule="auto"/>
        <w:tabs>
          <w:tab w:leader="none" w:pos="2553" w:val="left"/>
        </w:tabs>
        <w:numPr>
          <w:ilvl w:val="1"/>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(in connection with the initial Loan or Letter of Credit or other extension of credit) all of the conditions contained in §12 have been satisfied (except to the extent any such condition has been waived and/or deferred in writing by the Agent and the Required Revolving Credit Banks) as of the Closing Date and unless all of the conditions set forth in §13 have been met at the time of any request for the issuance, or extension of the expiry date of, or the increase of the amount of, a Letter of Credit (except to the extent any such condition has been waived and/or deferred in writing by the Agent and the Required Revolving Credit Banks); or</w:t>
      </w:r>
    </w:p>
    <w:p>
      <w:pPr>
        <w:spacing w:after="0" w:line="192" w:lineRule="exact"/>
        <w:rPr>
          <w:rFonts w:ascii="Times New Roman" w:cs="Times New Roman" w:eastAsia="Times New Roman" w:hAnsi="Times New Roman"/>
          <w:sz w:val="22"/>
          <w:szCs w:val="22"/>
          <w:color w:val="010000"/>
        </w:rPr>
      </w:pPr>
    </w:p>
    <w:p>
      <w:pPr>
        <w:jc w:val="both"/>
        <w:ind w:left="2600" w:hanging="648"/>
        <w:spacing w:after="0" w:line="260" w:lineRule="auto"/>
        <w:tabs>
          <w:tab w:leader="none" w:pos="2721" w:val="left"/>
        </w:tabs>
        <w:numPr>
          <w:ilvl w:val="1"/>
          <w:numId w:val="1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in the case of an amendment to a Letter of Credit, (A) such Fronting Bank would have no obligation at such time to issue such Letter of Credit in its amended form under the terms hereof, or</w:t>
      </w:r>
    </w:p>
    <w:p>
      <w:pPr>
        <w:ind w:left="2600"/>
        <w:spacing w:after="0" w:line="237"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(B) the beneficiary of such Letter of Credit does not accept the proposed amendment to such Letter of Credit.</w:t>
      </w:r>
    </w:p>
    <w:p>
      <w:pPr>
        <w:spacing w:after="0" w:line="191" w:lineRule="exact"/>
        <w:rPr>
          <w:rFonts w:ascii="Times New Roman" w:cs="Times New Roman" w:eastAsia="Times New Roman" w:hAnsi="Times New Roman"/>
          <w:sz w:val="21"/>
          <w:szCs w:val="21"/>
          <w:color w:val="010000"/>
        </w:rPr>
      </w:pPr>
    </w:p>
    <w:p>
      <w:pPr>
        <w:ind w:firstLine="1304"/>
        <w:spacing w:after="0" w:line="258" w:lineRule="auto"/>
        <w:tabs>
          <w:tab w:leader="none" w:pos="1752"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Fronting Bank shall amend any Letter of Credit issued by it if such Fronting Bank would not be permitted at such time to issue such Letter of Credit in its amended form under the terms hereof.</w:t>
      </w:r>
    </w:p>
    <w:p>
      <w:pPr>
        <w:spacing w:after="0" w:line="185"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764"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Borrower so requests in any applicable Letter of Credit Application, the applicable Fronting Bank may, in its sole discretion, agree to issue a Letter of Credit that has automatic extension provisions (each, an “</w:t>
      </w:r>
      <w:r>
        <w:rPr>
          <w:rFonts w:ascii="Times New Roman" w:cs="Times New Roman" w:eastAsia="Times New Roman" w:hAnsi="Times New Roman"/>
          <w:sz w:val="22"/>
          <w:szCs w:val="22"/>
          <w:u w:val="single" w:color="auto"/>
          <w:color w:val="auto"/>
        </w:rPr>
        <w:t>Auto-Extension Letter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Auto-Extension Letter of Credit must permit such Fronting Bank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2"/>
          <w:szCs w:val="22"/>
          <w:u w:val="single" w:color="auto"/>
          <w:color w:val="auto"/>
        </w:rPr>
        <w:t>Non-Extension Notice Date</w:t>
      </w:r>
      <w:r>
        <w:rPr>
          <w:rFonts w:ascii="Times New Roman" w:cs="Times New Roman" w:eastAsia="Times New Roman" w:hAnsi="Times New Roman"/>
          <w:sz w:val="22"/>
          <w:szCs w:val="22"/>
          <w:color w:val="auto"/>
        </w:rPr>
        <w:t>”) in each such twelve-month period to be agreed upon at the time such Letter of Credit is issued. Unless otherwise directed by the applicable Fronting Bank, the Borrower shall not be required to make a specific request to such Fronting Bank for any such extension. Once an Auto-Extension Letter of Credit has been issued, the Revolving Credit Banks shall be deemed to have authorized (but may not require) the applicable Fronting Bank to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273" w:right="339" w:bottom="1440" w:gutter="0" w:footer="0" w:header="0"/>
        </w:sectPr>
      </w:pPr>
    </w:p>
    <w:bookmarkStart w:id="197" w:name="page198"/>
    <w:bookmarkEnd w:id="197"/>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the extension of such Letter of Credit at any time to an expiry date not later than the Letter of Credit Expiration Date, subject to the requirements of §5.11.1;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Fronting Bank shall have any obligation to permit any such extension if such Fronting Bank has determined that it would have no obligation at such time to issue such Letter of Credit in its revised form (as extended) under the terms hereof (by reason of the provisions of §3.1.1(b) or otherwise);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Fronting Bank shall permit any such extension if (i) such Fronting Bank has determined that it would not be permitted at such time to issue such Letter of Credit in its revised form (as extended) under the terms hereof, or (ii) it has received notice (which may be in writing or by telephone (if promptly confirmed in writing)) on or before the day that is seven Business Days before the Non-Extension Notice Date from the Agent or the Borrower that one or more of the applicable conditions specified in §13 is not then satisfied (accompanied by reasonably detailed documented evidence supporting such determination), and in each such case directing such Fronting Bank not to permit such extension.</w:t>
      </w:r>
    </w:p>
    <w:p>
      <w:pPr>
        <w:spacing w:after="0" w:line="183" w:lineRule="exact"/>
        <w:rPr>
          <w:sz w:val="20"/>
          <w:szCs w:val="20"/>
          <w:color w:val="auto"/>
        </w:rPr>
      </w:pPr>
    </w:p>
    <w:p>
      <w:pPr>
        <w:ind w:firstLine="1304"/>
        <w:spacing w:after="0" w:line="271" w:lineRule="auto"/>
        <w:tabs>
          <w:tab w:leader="none" w:pos="1806"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shall, subject to the provisos to the first sentence of §3.1.2(a), have the right to select which Fronting Bank shall issue any Letter of Credit hereunder.</w:t>
      </w:r>
    </w:p>
    <w:p>
      <w:pPr>
        <w:spacing w:after="0" w:line="171" w:lineRule="exact"/>
        <w:rPr>
          <w:sz w:val="20"/>
          <w:szCs w:val="20"/>
          <w:color w:val="auto"/>
        </w:rPr>
      </w:pPr>
    </w:p>
    <w:p>
      <w:pPr>
        <w:jc w:val="center"/>
        <w:ind w:right="-59"/>
        <w:spacing w:after="0"/>
        <w:tabs>
          <w:tab w:leader="none" w:pos="200" w:val="left"/>
        </w:tabs>
        <w:rPr>
          <w:sz w:val="20"/>
          <w:szCs w:val="20"/>
          <w:color w:val="auto"/>
        </w:rPr>
      </w:pPr>
      <w:r>
        <w:rPr>
          <w:rFonts w:ascii="Times New Roman" w:cs="Times New Roman" w:eastAsia="Times New Roman" w:hAnsi="Times New Roman"/>
          <w:sz w:val="22"/>
          <w:szCs w:val="22"/>
          <w:color w:val="010000"/>
        </w:rPr>
        <w:t>§3.1.2</w:t>
      </w:r>
      <w:r>
        <w:rPr>
          <w:sz w:val="20"/>
          <w:szCs w:val="20"/>
          <w:color w:val="auto"/>
        </w:rPr>
        <w:tab/>
      </w:r>
      <w:r>
        <w:rPr>
          <w:rFonts w:ascii="Times New Roman" w:cs="Times New Roman" w:eastAsia="Times New Roman" w:hAnsi="Times New Roman"/>
          <w:sz w:val="21"/>
          <w:szCs w:val="21"/>
          <w:u w:val="single" w:color="auto"/>
          <w:color w:val="auto"/>
        </w:rPr>
        <w:t>Letter of Credit Applications; Procedures for Issuance and Amendment of Letters of Credit.</w:t>
      </w:r>
    </w:p>
    <w:p>
      <w:pPr>
        <w:spacing w:after="0" w:line="206" w:lineRule="exact"/>
        <w:rPr>
          <w:sz w:val="20"/>
          <w:szCs w:val="20"/>
          <w:color w:val="auto"/>
        </w:rPr>
      </w:pPr>
    </w:p>
    <w:p>
      <w:pPr>
        <w:jc w:val="both"/>
        <w:ind w:firstLine="1304"/>
        <w:spacing w:after="0" w:line="239" w:lineRule="auto"/>
        <w:tabs>
          <w:tab w:leader="none" w:pos="1806"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Letter of Credit shall be issued or amended, as the case may be, by a single Fronting Bank upon the request of the Borrower delivered to such Fronting Bank (with a copy to the Agent) in the form of a Letter of Credit Application completed to the reasonable satisfaction of the Agent and such Fronting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requests for Letters of Credit denominated in an Alternative Currency shall, in the first instance, be directed to Bank of America, in its capacity as a Fronting Bank, and, if Bank of America declines to issue a Letter of Credit denominated in an Alternative Currency, the Borrower may then deliver a request for such Letter of Credit denominated in an Alternative Currency to another Fronting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there shall not be more than one Fronting Bank, in addition to Bank of America, with Letters of Credit outstanding in an Alternative Currency at any time. A Letter of Credit Application may be sent by facsimile, by United States mail, by overnight courier, by electronic transmission using the system provided by the applicable Fronting Bank, by personal delivery or by any other means acceptable to such Fronting Bank. In the event that any provision of any Issuer Document shall be inconsistent with any provision of this Agreement, then the provisions of this Agreement shall, to the extent of any such inconsistency, govern. Such Letter of Credit Application must be received by the applicable Fronting Bank and the Agent not later than 11:00 a.m. at least two Business Days (or such later date and time as the Agent and such Fronting Bank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Fronting Bank: (i) the proposed issuance date of the requested Letter of Credit (which shall be a Business Day); (ii) the amount and currency thereof; (iii) the expiry date thereof; (iv) the name and address of the beneficiary thereof; (v) the documents to be presented by such beneficiary in case of any drawing thereunder; (vi) the full text of any certificate to be presented by such beneficiary in case of any drawing thereunder; (vii) the purpose and nature of the requested Letter of Credit; and (viii) such other matters as such Fronting Bank may reasonably require. In the case of a request for an amendment of any outstanding Letter of Credit, such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287" w:right="339" w:bottom="1440" w:gutter="0" w:footer="0" w:header="0"/>
        </w:sectPr>
      </w:pPr>
    </w:p>
    <w:bookmarkStart w:id="198" w:name="page199"/>
    <w:bookmarkEnd w:id="198"/>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of Credit Application shall specify in form and detail satisfactory to the applicable Fronting Bank (i) the Letter of Credit to be amended; (ii) the proposed date of amendment thereof (which shall be a Business Day); (iii) the nature of the proposed amendment; and (iv) such other matters as such Fronting Bank may reasonably require. In the event that after giving effect to the requested issuance or amendment of a Letter of Credit, Consolidated Total Indebtedness will exceed 60% (without exceeding 65%) of Consolidated Total Adjusted Asset Value (with Consolidated Total Indebtedness and Consolidated Total Adjusted Asset Value being adjusted as set forth in §10.1) or Unsecured Consolidated Total Indebtedness will exceed 60% (without exceeding 65%) of Consolidated Unencumbered Asset Value (with Unsecured Consolidated Total Indebtedness and Consolidated Unencumbered Asset Value being adjusted as set forth in §10.4), then the Borrower shall also deliver to the Agent the certificate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in accordance with §§10.1 and 10.4. Additionally, the Borrower shall furnish to the applicable Fronting Bank and the Agent such other documents and information pertaining to such requested Letter of Credit issuance or amendment, including any Issuer Documents, as such Fronting Bank or the Agent may reasonably require. Each request for the issuance of, extension of the expiry date of, or increase of the amount of a Letter of Credit made pursuant to §3.1 on and as of the Closing Date shall constitute a representation and warranty by the Borrower that the conditions set forth in §12 have been satisfied (except to the extent any such condition has been waived and/or deferred in writing by the Agent and the Required Revolving Credit Banks) as of the Closing Date. Each request for the issuance of, extension of the expiry date of, or increase of the amount of a Letter of Credit made pursuant to §3.1 after the Closing Date shall constitute a representation and warranty by the Borrower that the conditions set forth in §13 have been satisfied (except to the extent any such condition has been waived and/or deferred in writing by the Agent and the Required Revolving Credit Banks) on the date of such request and will be satisfied (except to the extent any such condition has been waived and/or deferred in writing by the Agent and the Required Revolving Credit Banks) on the proposed date of issuance, extension, increase or renewal of such Letter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making of such representation and warranty by the Borrower shall not limit the right of any Fronting Bank not to issue any Letter of Credit if such conditions have not been met.</w:t>
      </w:r>
    </w:p>
    <w:p>
      <w:pPr>
        <w:spacing w:after="0" w:line="182" w:lineRule="exact"/>
        <w:rPr>
          <w:sz w:val="20"/>
          <w:szCs w:val="20"/>
          <w:color w:val="auto"/>
        </w:rPr>
      </w:pPr>
    </w:p>
    <w:p>
      <w:pPr>
        <w:jc w:val="both"/>
        <w:ind w:firstLine="1304"/>
        <w:spacing w:after="0"/>
        <w:tabs>
          <w:tab w:leader="none" w:pos="1818" w:val="left"/>
        </w:tabs>
        <w:numPr>
          <w:ilvl w:val="0"/>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Promptly after receipt of any Letter of Credit Application, the applicable Fronting Bank will confirm with the Agent (by telephone or in writing) that the Agent has received a copy of such Letter of Credit Application from the Borrower and, if not, such Fronting Bank will provide the Agent with a copy thereof. Unless such Fronting Bank has received written notice from any Revolving Credit Bank, the Agent or the Borrower, at least one Business Day prior to the requested date of issuance or amendment of the applicable Letter of Credit, that one or more applicable conditions contained in §13 (or in the case of issuance or amendment on the Closing Date, contained in §12) shall not then be satisfied, then, subject to the terms and conditions hereof, such Fronting Bank shall, on the requested date, issue a Letter of Credit for the account of the Borrower (or the applicable Wholly-owned Subsidiary or Partially-Owned Entity) or enter into the applicable amendment, as the case may be, in each case in accordance with such Fronting Bank’s usual and customary business practices. Immediately upon the issuance of each Letter of Credit, each Revolving Credit Bank shall be deemed to, and hereby irrevocably and unconditionally agrees to, purchase from such Fronting Bank a risk participation in such Letter of Credit in an amount equal to the product of such Revolving Credit Bank’s Commitment Percentage times the amount of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273" w:right="339" w:bottom="1440" w:gutter="0" w:footer="0" w:header="0"/>
        </w:sectPr>
      </w:pPr>
    </w:p>
    <w:bookmarkStart w:id="199" w:name="page200"/>
    <w:bookmarkEnd w:id="199"/>
    <w:p>
      <w:pPr>
        <w:jc w:val="both"/>
        <w:ind w:right="20" w:firstLine="1304"/>
        <w:spacing w:after="0" w:line="250" w:lineRule="auto"/>
        <w:tabs>
          <w:tab w:leader="none" w:pos="1752" w:val="left"/>
        </w:tabs>
        <w:numPr>
          <w:ilvl w:val="0"/>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Promptly after its delivery of any Letter of Credit or any amendment to a Letter of Credit to an advising bank with respect thereto or to the beneficiary thereof, such Fronting Bank will also deliver to the Borrower and the Agent a true and complete copy of such Letter of Credit or amendment.</w:t>
      </w:r>
    </w:p>
    <w:p>
      <w:pPr>
        <w:spacing w:after="0" w:line="181"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010000"/>
        </w:rPr>
        <w:t xml:space="preserve">§3.1.3 </w:t>
      </w:r>
      <w:r>
        <w:rPr>
          <w:rFonts w:ascii="Times New Roman" w:cs="Times New Roman" w:eastAsia="Times New Roman" w:hAnsi="Times New Roman"/>
          <w:sz w:val="22"/>
          <w:szCs w:val="22"/>
          <w:u w:val="single" w:color="auto"/>
          <w:color w:val="000000"/>
        </w:rPr>
        <w:t>Terms of Letters of Credit; Limitation of Liability.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Letter of Credit issued, extended or renewed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hereunder shall, among other things, (i) provide for the payment of sight drafts for honor thereunder when presented in accordance with the terms thereof and when accompanied by the documents described therein, and (ii) have an expiry date no later than the earlier of (x) the date that is twelve months after the date of the issuance of such Letter of Credit (or, in the case of any extension of the expiration date thereof, whether automatic or by amendment, twelve months after the then current expiration date of such Letter of Credit) and (y) the Letter of Credit Expiration Date, subject in each case to the requirements of §5.11.1. Unless otherwise expressly agreed by a Fronting Bank and the Borrower when a Letter of Credit is issued (including any such agreement applicable to an Existing Letter of Credit), the rules of the ISP shall apply to each Letter of Credit (or the UCP if required, subject to the applicable Fronting Bank’s approval). Notwithstanding the foregoing, no Fronting Bank shall be responsible to the Borrower for, and no Fronting Bank’s rights and remedies against the Borrower shall be impaired by, any action or inaction of such Fronting Bank required or permitted under any law, order, or practice that is required or permitted to be applied to any Letter of Credit or this Agreement, including the Law or any order of a jurisdiction where such Fronting Bank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 As between the Borrower and any Fronting Bank, in the event of any conflict between the terms of this Agreement and the terms of any Issuer Document, the terms of this Agreement shall control.</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1"/>
          <w:szCs w:val="21"/>
          <w:color w:val="010000"/>
        </w:rPr>
        <w:t xml:space="preserve">§3.1.4 </w:t>
      </w:r>
      <w:r>
        <w:rPr>
          <w:rFonts w:ascii="Times New Roman" w:cs="Times New Roman" w:eastAsia="Times New Roman" w:hAnsi="Times New Roman"/>
          <w:sz w:val="21"/>
          <w:szCs w:val="21"/>
          <w:u w:val="single" w:color="auto"/>
          <w:color w:val="000000"/>
        </w:rPr>
        <w:t>Obligations of Revolving Credit Banks with respect to Letters of Credit.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Each Revolving Credit Bank</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severally agrees that it shall be absolutely liable, without regard to (A) any setoff, counterclaim, recoupment, defense or other right which such Bank may have against any Fronting Bank, the Borrower or any other Person for any reason whatsoever, (B) the occurrence of any Default or Event of Default, or (C) any other occurrence, event or condition, whether or not similar to any of the foregoing, to the extent of such Revolving Credit Bank’s Commitment Percentage, to reimburse each Fronting Bank on demand pursuant to §3.3 for the amount of each draft paid by such Fronting Bank under each Letter of Credit issued by such Fronting Bank to the extent that such amount is not reimbursed by the Borrower pursuant to §3.2. No such reimbursement shall relieve or otherwise impair the obligation of the Borrower to reimburse any Fronting Bank for the amount of any payment made by such Fronting Bank under any Letter of Credit, together with interest as provided herein, subject to the terms of §§3.2 and 3.3.</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22"/>
          <w:szCs w:val="22"/>
          <w:color w:val="010000"/>
        </w:rPr>
        <w:t>§3.1.5</w:t>
      </w:r>
      <w:r>
        <w:rPr>
          <w:sz w:val="20"/>
          <w:szCs w:val="20"/>
          <w:color w:val="auto"/>
        </w:rPr>
        <w:tab/>
      </w:r>
      <w:r>
        <w:rPr>
          <w:rFonts w:ascii="Times New Roman" w:cs="Times New Roman" w:eastAsia="Times New Roman" w:hAnsi="Times New Roman"/>
          <w:sz w:val="21"/>
          <w:szCs w:val="21"/>
          <w:u w:val="single" w:color="auto"/>
          <w:color w:val="auto"/>
        </w:rPr>
        <w:t>Fronting Banks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57" w:lineRule="auto"/>
        <w:tabs>
          <w:tab w:leader="none" w:pos="1765"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definition of Fronting Bank but subject to the provisos to the first sentence of §3.1.2(a), in the event that the Borrower reasonably determines that it would be beneficial to have a Letter of Credit issued by a Revolving Credit Bank with a higher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273" w:right="339" w:bottom="1440" w:gutter="0" w:footer="0" w:header="0"/>
        </w:sectPr>
      </w:pPr>
    </w:p>
    <w:bookmarkStart w:id="200" w:name="page201"/>
    <w:bookmarkEnd w:id="200"/>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rating than each of the then existing Fronting Banks has at any applicable time of reference (as determined by Moody’s or S&amp;P), or if any Fronting Bank is not able or willing to issue a Letter of Credit in an Alternative Currency, or for any other reason acceptable to the Agent, the Borrower shall have the right to elect any Revolving Credit Bank having a higher rating than each of the then existing Fronting Banks, or able and willing to issue a Letter of Credit in such Alternative Currency, or such other applicable Revolving Credit Bank, as the Fronting Bank for that particular Letter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Bank other than BOA and JPChase shall be required to be a Fronting Bank;</w:t>
      </w:r>
    </w:p>
    <w:p>
      <w:pPr>
        <w:spacing w:after="0" w:line="191" w:lineRule="exact"/>
        <w:rPr>
          <w:sz w:val="20"/>
          <w:szCs w:val="20"/>
          <w:color w:val="auto"/>
        </w:rPr>
      </w:pPr>
    </w:p>
    <w:p>
      <w:pPr>
        <w:ind w:left="1820" w:hanging="516"/>
        <w:spacing w:after="0"/>
        <w:tabs>
          <w:tab w:leader="none" w:pos="1820"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[intentionally deleted]; and</w:t>
      </w:r>
    </w:p>
    <w:p>
      <w:pPr>
        <w:spacing w:after="0" w:line="219"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806"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that any Bank other than BOA or JPChase issues any Letter of Credit pursuant to this §3.1.5, such Bank shall be entitled to the various benefits of a Fronting Bank under this Agreement as issuer of such Letter of Credit, and each other Bank shall have the obligations set forth herein to such issuing Bank with respect to such Letter of Credit.</w:t>
      </w:r>
    </w:p>
    <w:p>
      <w:pPr>
        <w:spacing w:after="0" w:line="16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010000"/>
        </w:rPr>
        <w:t xml:space="preserve">§3.2 </w:t>
      </w:r>
      <w:r>
        <w:rPr>
          <w:rFonts w:ascii="Times New Roman" w:cs="Times New Roman" w:eastAsia="Times New Roman" w:hAnsi="Times New Roman"/>
          <w:sz w:val="21"/>
          <w:szCs w:val="21"/>
          <w:u w:val="single" w:color="auto"/>
          <w:color w:val="000000"/>
        </w:rPr>
        <w:t>Reimbursement Obligation of the Borrower.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 order to induce the Fronting Banks to issue, extend, increase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renew Letters of Credit and the Revolving Credit Banks to participate therein, the Borrower hereby agrees, except as contemplated in §3.3, to reimburse or pay to the Agent, for the account of the applicable Fronting Bank or (as the case may be) the Revolving Credit Banks, with respect to each Letter of Credit issued, extended or renewed by such Fronting Bank hereunder,</w:t>
      </w:r>
    </w:p>
    <w:p>
      <w:pPr>
        <w:spacing w:after="0" w:line="177" w:lineRule="exact"/>
        <w:rPr>
          <w:sz w:val="20"/>
          <w:szCs w:val="20"/>
          <w:color w:val="auto"/>
        </w:rPr>
      </w:pPr>
    </w:p>
    <w:p>
      <w:pPr>
        <w:jc w:val="both"/>
        <w:ind w:firstLine="1304"/>
        <w:spacing w:after="0" w:line="252" w:lineRule="auto"/>
        <w:tabs>
          <w:tab w:leader="none" w:pos="1792"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expressly provided in §3.2(b) and (c) or §3.3, promptly upon notification by a Fronting Bank or the Agent that any draft presented under such Letter of Credit is honored by such Fronting Bank, or such Fronting Bank otherwise makes a payment with respect thereto, (i) the amount paid by such Fronting Bank under or with respect to such Letter of Credit, and (ii) any amounts payable pursuant to §5.6 under, or with respect to, such Letter of Credit,</w:t>
      </w:r>
    </w:p>
    <w:p>
      <w:pPr>
        <w:spacing w:after="0" w:line="179"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804"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reduction (but not termination) of the Total Revolving Credit Commitment to an amount less than the then Outstanding Amount of all Letter of Credit Obligations, an amount equal to such difference, which amount shall be held by the Agent in an interest-bearing account (with interest to be added to such account) as Cash Collateral for the benefit of the Revolving Credit Banks and the Agent for all Reimbursement Obligations, and</w:t>
      </w:r>
    </w:p>
    <w:p>
      <w:pPr>
        <w:spacing w:after="0" w:line="176" w:lineRule="exact"/>
        <w:rPr>
          <w:rFonts w:ascii="Times New Roman" w:cs="Times New Roman" w:eastAsia="Times New Roman" w:hAnsi="Times New Roman"/>
          <w:sz w:val="22"/>
          <w:szCs w:val="22"/>
          <w:color w:val="010000"/>
        </w:rPr>
      </w:pPr>
    </w:p>
    <w:p>
      <w:pPr>
        <w:jc w:val="both"/>
        <w:ind w:firstLine="1304"/>
        <w:spacing w:after="0" w:line="272" w:lineRule="auto"/>
        <w:tabs>
          <w:tab w:leader="none" w:pos="1792" w:val="left"/>
        </w:tabs>
        <w:numPr>
          <w:ilvl w:val="0"/>
          <w:numId w:val="1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the termination of the Total Revolving Credit Commitment, or the acceleration of the Reimbursement Obligations with respect to all Letters of Credit in accordance with §14, an amount equal to the then Outstanding Amount of all Letter of Credit Obligations, which amount shall be held by the Agent in an interest-bearing account (with interest to be added to such account) as Cash Collateral for the benefit of the Revolving Credit Banks and the Agent for all Reimbursement Obligations.</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Each such payment shall be made to the Agent for the benefit of the Revolving Credit Banks at the Agent’s Funding Office for the applicable currency in Same Day Funds. In the case of a Letter of Credit denominated in an Alternative Currency, the Borrower shall reimburse the applicable Fronting Bank in such Alternative Currency, unless (A) such Fronting Bank (at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273" w:right="339" w:bottom="1440" w:gutter="0" w:footer="0" w:header="0"/>
        </w:sectPr>
      </w:pPr>
    </w:p>
    <w:bookmarkStart w:id="201" w:name="page202"/>
    <w:bookmarkEnd w:id="201"/>
    <w:p>
      <w:pPr>
        <w:jc w:val="both"/>
        <w:spacing w:after="0" w:line="248" w:lineRule="auto"/>
        <w:rPr>
          <w:sz w:val="20"/>
          <w:szCs w:val="20"/>
          <w:color w:val="auto"/>
        </w:rPr>
      </w:pPr>
      <w:r>
        <w:rPr>
          <w:rFonts w:ascii="Times New Roman" w:cs="Times New Roman" w:eastAsia="Times New Roman" w:hAnsi="Times New Roman"/>
          <w:sz w:val="22"/>
          <w:szCs w:val="22"/>
          <w:color w:val="auto"/>
        </w:rPr>
        <w:t>option) shall have specified in such notice that it will require reimbursement in Dollars, or (B) in the absence of any such requirement for reimbursement in Dollars, the Borrower shall have notified such Fronting Bank promptly following receipt of the notice of drawing that the Borrower will reimburse such Fronting Bank in Dollars. In the case of any such reimbursement in Dollars of a drawing under a Letter of Credit denominated in an Alternative Currency, the applicable Fronting Bank shall notify the Borrower of the Dollar Equivalent of the amount of the drawing promptly following the determination thereof. In the event that (A) a drawing denominated in an Alternative Currency is to be reimbursed in Dollars pursuant to the second sentence in this §3.2 and (B) the Dollar amount paid by the Borrower shall not be adequate on the date of that payment to purchase in accordance with normal banking procedures a sum denominated in the Alternative Currency equal to the drawing, the Borrower agrees, as a separate and independent obligation, to indemnify such Fronting Bank for the loss resulting from its inability on that date to purchase the Alternative Currency in the full amount of the drawing. Interest on any and all amounts not converted to a Revolving Credit Loan pursuant to §3.3 and remaining unpaid by the Borrower under this §3.2 at any time from the date such amounts become due and payable (whether as stated in this §3.2, by acceleration or otherwise) until payment in full (whether before or after judgment) shall be payable to the Agent for the benefit of the Revolving Credit Banks on demand at the rate specified in §5.10 for overdue principal on the Loans.</w:t>
      </w:r>
    </w:p>
    <w:p>
      <w:pPr>
        <w:spacing w:after="0" w:line="18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§3.3</w:t>
      </w:r>
      <w:r>
        <w:rPr>
          <w:sz w:val="20"/>
          <w:szCs w:val="20"/>
          <w:color w:val="auto"/>
        </w:rPr>
        <w:tab/>
      </w:r>
      <w:r>
        <w:rPr>
          <w:rFonts w:ascii="Times New Roman" w:cs="Times New Roman" w:eastAsia="Times New Roman" w:hAnsi="Times New Roman"/>
          <w:sz w:val="21"/>
          <w:szCs w:val="21"/>
          <w:u w:val="single" w:color="auto"/>
          <w:color w:val="auto"/>
        </w:rPr>
        <w:t>Letter of Credit Payments; Funding of a Loan.</w:t>
      </w:r>
    </w:p>
    <w:p>
      <w:pPr>
        <w:spacing w:after="0" w:line="206" w:lineRule="exact"/>
        <w:rPr>
          <w:sz w:val="20"/>
          <w:szCs w:val="20"/>
          <w:color w:val="auto"/>
        </w:rPr>
      </w:pPr>
    </w:p>
    <w:p>
      <w:pPr>
        <w:jc w:val="both"/>
        <w:ind w:firstLine="1304"/>
        <w:spacing w:after="0" w:line="239" w:lineRule="auto"/>
        <w:tabs>
          <w:tab w:leader="none" w:pos="1819"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draft shall be presented or other demand for payment shall be made under any Letter of Credit, the applicable Fronting Bank will use its best efforts to notify the Borrower and the Agent (who will use its best efforts to promptly notify each of the Revolving Credit Banks), on or before the date such Fronting Bank intends to honor such drawing, of the date and amount of the draft presented or demand for payment and of the date and time when it expects to pay such draft or honor such demand for payment and, except to the extent the amount of such draft becomes a Revolving Credit Loan as set forth in this §3.3, the Borrower shall reimburse the Agent, as set forth in §3.2. Notwithstanding anything contained in §3.2 or this §3.3 to the contrary, however, unless the Borrower shall have notified the Agent and the applicable Fronting Bank prior to 11:00 a.m. on the Business Day immediately prior to the date of such drawing that the Borrower intends to reimburse such Fronting Bank for the amount of such drawing with funds other than the proceeds of Revolving Credit Loans, subject to satisfaction of the conditions set forth in §§2.4 and 13 (other than delivery to the Agent of a Completed Loan Request), the Borrower shall be deemed to have timely given a Completed Loan Request pursuant to §2.4 to the Agent, requesting a Base Rate Loan on the date on which such drawing is honored and in an amount equal to the amount of such drawing (or in an amount equal to the Dollar Equivalent of such drawing in the case of a Letter of Credit denominated in an Alternative Currency), without regard to the minimum and multiples specified in §2.4(i) for the principal amount of Revolving Credit Loans. The Borrower may thereafter convert any such Base Rate Loan to a Revolving Credit Loan of another Type in accordance with §2.5. Each Fronting Bank is irrevocably authorized by the Borrower and each of the Revolving Credit Banks to honor draws on each Letter of Credit issued by it by the beneficiary thereof in accordance with the terms of such Letter of Credit. Each Revolving Credit Bank, the Agent and the Borrower agree that, in paying any drawing under a Letter of Credit, no Fronting Bank shall have any responsibility to obtain any document (other than any sight draft, certificates and documents expressly required by the Letter of Credit) or to ascertain or inquire as to the validity or accuracy of any such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287" w:right="339" w:bottom="1440" w:gutter="0" w:footer="0" w:header="0"/>
        </w:sectPr>
      </w:pPr>
    </w:p>
    <w:bookmarkStart w:id="202" w:name="page203"/>
    <w:bookmarkEnd w:id="202"/>
    <w:p>
      <w:pPr>
        <w:jc w:val="both"/>
        <w:spacing w:after="0" w:line="243" w:lineRule="auto"/>
        <w:rPr>
          <w:sz w:val="20"/>
          <w:szCs w:val="20"/>
          <w:color w:val="auto"/>
        </w:rPr>
      </w:pPr>
      <w:r>
        <w:rPr>
          <w:rFonts w:ascii="Times New Roman" w:cs="Times New Roman" w:eastAsia="Times New Roman" w:hAnsi="Times New Roman"/>
          <w:sz w:val="22"/>
          <w:szCs w:val="22"/>
          <w:color w:val="auto"/>
        </w:rPr>
        <w:t>or the authority of the Person executing or delivering any such document. In furtherance of the foregoing and the provisions of §3.4, and without limiting the generality thereof, the parties agree that, with respect to documents presented which appear on their face to be in substantial compliance with the terms of a Letter of Credit, the applicable Fronting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1" w:lineRule="exact"/>
        <w:rPr>
          <w:sz w:val="20"/>
          <w:szCs w:val="20"/>
          <w:color w:val="auto"/>
        </w:rPr>
      </w:pPr>
    </w:p>
    <w:p>
      <w:pPr>
        <w:jc w:val="both"/>
        <w:ind w:firstLine="1304"/>
        <w:spacing w:after="0" w:line="252" w:lineRule="auto"/>
        <w:tabs>
          <w:tab w:leader="none" w:pos="1845" w:val="left"/>
        </w:tabs>
        <w:numPr>
          <w:ilvl w:val="0"/>
          <w:numId w:val="1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 respect to any payment under any Letter of Credit that is not fully refinanced by a Base Rate Loan because the conditions set forth in §13 cannot be satisfied or for any other reason, the Borrower shall be deemed to have incurred from the Fronting Bank that issued such Letter of Credit a Reimbursement Obligation in the amount that is not so refinanced, which Reimbursement Obligation shall be due and payable on demand (together with interest) and shall bear interest at the Default Rate from and after the date that is five (5) Business Days after the date of such demand. In such event, each Revolving Credit Bank’s payment to the Agent for the account of the applicable Fronting Bank pursuant to §3.3(c) shall be deemed payment in respect of its participation in such Reimbursement Obligation and shall constitute an advance from such Bank in satisfaction of its participation obligation pursuant to §3.1.4 (a “</w:t>
      </w:r>
      <w:r>
        <w:rPr>
          <w:rFonts w:ascii="Times New Roman" w:cs="Times New Roman" w:eastAsia="Times New Roman" w:hAnsi="Times New Roman"/>
          <w:sz w:val="21"/>
          <w:szCs w:val="21"/>
          <w:u w:val="single" w:color="auto"/>
          <w:color w:val="auto"/>
        </w:rPr>
        <w:t>Letter of Credit Participation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all cases subject to §5.12.1(d), in respect of any payment under a Letter of Credit, the maximum amount that any Revolving Credit Bank shall be required to fund, whether as a Base Rate Loan pursuant to §3.3(a) or as a participation in a Reimbursement Obligation pursuant to this §3.3(b), shall not exceed such Revolving Credit Bank’s Commitment Percentage of such payment.</w:t>
      </w:r>
    </w:p>
    <w:p>
      <w:pPr>
        <w:spacing w:after="0" w:line="180" w:lineRule="exact"/>
        <w:rPr>
          <w:rFonts w:ascii="Times New Roman" w:cs="Times New Roman" w:eastAsia="Times New Roman" w:hAnsi="Times New Roman"/>
          <w:sz w:val="21"/>
          <w:szCs w:val="21"/>
          <w:color w:val="010000"/>
        </w:rPr>
      </w:pPr>
    </w:p>
    <w:p>
      <w:pPr>
        <w:jc w:val="both"/>
        <w:ind w:firstLine="1304"/>
        <w:spacing w:after="0" w:line="239" w:lineRule="auto"/>
        <w:tabs>
          <w:tab w:leader="none" w:pos="1792"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Borrower is deemed to have requested a Revolving Credit Loan pursuant to §3.3(a) or has incurred a Reimbursement Obligation pursuant to §3.3(b), the Agent shall promptly notify each Revolving Credit Bank of the amount of the unreimbursed drawing (expressed in Dollars in the amount of the Dollar Equivalent thereof in the case of a Letter of Credit denominated in an Alternative Currency) and the amount of such Revolving Credit Bank’s Commitment Percentage thereof. Each Revolving Credit Bank shall, upon receipt of any such notice and in accordance with §2.6, make available on the Business Day specified in such notice by the Agent, in Dollars, such Revolving Credit Bank’s Commitment Percentage of such unreimbursed drawing at the Agent’s Funding Office for Dollar denominated payments (and the Agent may apply Cash Collateral provided for this purpose), the proceeds of which shall be applied directly by the Agent to reimburse the applicable Fronting Bank in Dollars for such amount. Until each Revolving Credit Bank funds its Commitment Percentage pursuant to this §3.3(c) to reimburse such Fronting Bank for any amount drawn under any Letter of Credit, interest in respect of such Revolving Credit Bank’s Commitment Percentage of such amount shall be solely for the account of such Fronting Bank.</w:t>
      </w:r>
    </w:p>
    <w:p>
      <w:pPr>
        <w:spacing w:after="0" w:line="198" w:lineRule="exact"/>
        <w:rPr>
          <w:rFonts w:ascii="Times New Roman" w:cs="Times New Roman" w:eastAsia="Times New Roman" w:hAnsi="Times New Roman"/>
          <w:sz w:val="22"/>
          <w:szCs w:val="22"/>
          <w:color w:val="010000"/>
        </w:rPr>
      </w:pPr>
    </w:p>
    <w:p>
      <w:pPr>
        <w:jc w:val="both"/>
        <w:ind w:firstLine="1304"/>
        <w:spacing w:after="0" w:line="241" w:lineRule="auto"/>
        <w:tabs>
          <w:tab w:leader="none" w:pos="1818"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Revolving Credit Bank fails to make available to the Agent for the account of a Fronting Bank any amount required to be paid by such Bank pursuant to §3.3(c), then, without limiting the other provisions of this Agreement, such Fronting Bank shall be entitled to recover from such Bank (acting through the Agent), on demand, such amount with interest thereon for the period from the date such payment is required to the date on which such payment is immediately available to such Fronting Bank at a rate per annum equal to the applicable Overnight Rate from time to time in effect, plus any administrative, processing or similar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273" w:right="339" w:bottom="1440" w:gutter="0" w:footer="0" w:header="0"/>
        </w:sectPr>
      </w:pPr>
    </w:p>
    <w:bookmarkStart w:id="203" w:name="page204"/>
    <w:bookmarkEnd w:id="203"/>
    <w:p>
      <w:pPr>
        <w:jc w:val="both"/>
        <w:spacing w:after="0" w:line="247" w:lineRule="auto"/>
        <w:rPr>
          <w:sz w:val="20"/>
          <w:szCs w:val="20"/>
          <w:color w:val="auto"/>
        </w:rPr>
      </w:pPr>
      <w:r>
        <w:rPr>
          <w:rFonts w:ascii="Times New Roman" w:cs="Times New Roman" w:eastAsia="Times New Roman" w:hAnsi="Times New Roman"/>
          <w:sz w:val="22"/>
          <w:szCs w:val="22"/>
          <w:color w:val="auto"/>
        </w:rPr>
        <w:t>customarily charged by such Fronting Bank in connection with the foregoing. If such Revolving Credit Bank pays such amount (with interest and fees as aforesaid), the amount so paid shall constitute such Revolving Credit Bank’s Commitment Percentage included in the relevant Revolving Credit Loan or Reimbursement Obligation, as the case may be. A certificate of such Fronting Bank submitted to any Revolving Credit Bank (through the Agent) with respect to any amounts owing under this clause (d) shall be conclusive absent manifest error.</w:t>
      </w:r>
    </w:p>
    <w:p>
      <w:pPr>
        <w:spacing w:after="0" w:line="183" w:lineRule="exact"/>
        <w:rPr>
          <w:sz w:val="20"/>
          <w:szCs w:val="20"/>
          <w:color w:val="auto"/>
        </w:rPr>
      </w:pPr>
    </w:p>
    <w:p>
      <w:pPr>
        <w:jc w:val="both"/>
        <w:ind w:firstLine="1304"/>
        <w:spacing w:after="0" w:line="248" w:lineRule="auto"/>
        <w:tabs>
          <w:tab w:leader="none" w:pos="1765"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any time after a Fronting Bank has made a payment under any Letter of Credit and has received from any Revolving Credit Bank such Bank’s Commitment Percentage of any Reimbursement Obligation in respect of such payment in accordance with §3.3(c), if the Agent receives for the account of such Fronting Bank any payment in respect of the related Reimbursement Obligation or interest thereon (whether directly from the Borrower or otherwise, including proceeds of Cash Collateral applied thereto by the Agent), the Agent will distribute to such Revolving Credit Bank its Commitment Percentage thereof in Dollars and in the same funds as those received by the Agent. If any payment received by the Agent for the account of a Fronting Bank pursuant to this §3.3(e) is required to be returned under any of the circumstances described in §18 (including pursuant to any settlement entered into by such Fronting Bank in its discretion), each Revolving Credit Bank shall pay to the Agent for the account of such Fronting Bank its Commitment Percentage thereof on demand of the Agent, plus interest thereon from the date of such demand to the date such amount is returned by such Revolving Credit Bank, at a rate per annum equal to the applicable Overnight Rate from time to time in effect. The obligations of the Revolving Credit Banks under this clause shall survive the payment in full of the Obligations and the termination of this Agreement.</w:t>
      </w:r>
    </w:p>
    <w:p>
      <w:pPr>
        <w:spacing w:after="0" w:line="18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§3.4 </w:t>
      </w:r>
      <w:r>
        <w:rPr>
          <w:rFonts w:ascii="Times New Roman" w:cs="Times New Roman" w:eastAsia="Times New Roman" w:hAnsi="Times New Roman"/>
          <w:sz w:val="22"/>
          <w:szCs w:val="22"/>
          <w:u w:val="single" w:color="auto"/>
          <w:color w:val="000000"/>
        </w:rPr>
        <w:t>Obligations Absolute.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Borrower’s obligations under this §3 shall be absolute, unconditional and irrevocable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under any and all circumstances and irrespective of: the account party in whose name a Letter of Credit is issued pursuant to a Letter of Credit Application executed by the Borrower, the occurrence of any Default or Event of Default or any condition precedent whatsoever, any setoff, counterclaim or defense to payment or other right which the Borrower may have or have had against the Agent, any Revolving Credit Bank or any beneficiary or any transferee of a Letter of Credit (or any Person for whom any such beneficiary or any such transferee may be acting) or any other Person, the waiver by any Fronting Bank of any requirement that exists for such Fronting Bank’s protection and not the protection of the Borrower or any waiver by any Fronting Bank which does not in fact materially prejudice the Borrower, honor of a demand for payment presented electronically even if such Letter of Credit required that demand be in the form of a draft, or any adverse change in the relevant exchange rates or in the availability of the relevant Alternative Currency to the Borrower or in the relevant currency markets generally. The Borrower further agrees with the Agent, the Fronting Banks and the Revolving Credit Banks that the Agent, the Fronting Banks and the Revolving Credit Banks shall not be liable or responsible for, and the Borrower’s Reimbursement Obligations under §3.2 shall not be affected by, among other things, the validity or enforceability of any Letter of Credit, this Agreement, or any other Loan Document, or any term or provision herein or therein, the validity or genuineness of any draft, demand, certificate or other document or of any endorsements thereon presented under any Letter of Credit (so long as such draft, demand, certificate or other document delivered under such Letter of Credit in connection with such presentment shall be in the form required by, and in substantial compliance with, such Letter of Credit), even if such draft,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273" w:right="339" w:bottom="1440" w:gutter="0" w:footer="0" w:header="0"/>
        </w:sectPr>
      </w:pPr>
    </w:p>
    <w:bookmarkStart w:id="204" w:name="page205"/>
    <w:bookmarkEnd w:id="204"/>
    <w:p>
      <w:pPr>
        <w:jc w:val="both"/>
        <w:spacing w:after="0" w:line="252" w:lineRule="auto"/>
        <w:rPr>
          <w:sz w:val="20"/>
          <w:szCs w:val="20"/>
          <w:color w:val="auto"/>
        </w:rPr>
      </w:pPr>
      <w:r>
        <w:rPr>
          <w:rFonts w:ascii="Times New Roman" w:cs="Times New Roman" w:eastAsia="Times New Roman" w:hAnsi="Times New Roman"/>
          <w:sz w:val="22"/>
          <w:szCs w:val="22"/>
          <w:color w:val="auto"/>
        </w:rPr>
        <w:t>certificate or other document (or any statement therein) should in fact prove to be in any or all respects invalid, fraudulent, forged, insufficient, untrue or inaccurate, any dispute between or among the Borrower, the beneficiary of any Letter of Credit or any financing institution or other party to whom any Letter of Credit may be transferred, or any claims or defenses whatsoever of the Borrower against the beneficiary of any Letter of Credit or any such transferee (or any Person for whom any such beneficiary or any such transferee may be acting), any payment made by any Fronting Bank in respect of an otherwise complying item presented after the date specified as the expiration date of, or the date by which documents must be received under, a Letter of Credit if presentation after such date is authorized by the UCC, the ISP or the UCP, as applicable.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applicable Fronting Bank. The Borrower shall be conclusively deemed to have waived any such claim against each Fronting Bank and its correspondents unless such notice is given as aforesaid.</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The Agent, the Fronting Banks, the Banks and their Related Parties shall not be liable or responsible for any error, omission, interruption, loss or delay in transmission, dispatch or delivery of any message, advice or document, however transmitted, in connection with any Letter of Credit or required to make a drawing under any Letter of Credit, any error in interpretation of technical terms, any error in translation or any consequence arising from causes beyond the control of the applicable Fronting Bank, any payment by a Fronting Bank under a Letter of Credit against presentation of a draft, certificate or other document that does not strictly comply with the terms of such Letter of Credit, or any payment made by a Fronting Bank under a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Laws, or any other circumstance or happening whatsoever, whether or not similar to any of the foregoing, including any other circumstance that might otherwise constitute a defense available to, or a discharge of, or provide a right of setoff against, the Borrower or any Subsidiary.</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Borrower agrees that any action taken or omitted by the Agent, any Fronting Bank or any Bank under or in connection with each Letter of Credit and the related drafts, demands, certificates or other documents, absent gross negligence or willful misconduct (as determined by a court of competent jurisdiction by final and nonappealable judgment), shall be binding upon the Borrower, shall not result in any liability on the part of the Agent, any Fronting Bank or any Bank to the Borrower, and that:</w:t>
      </w:r>
    </w:p>
    <w:p>
      <w:pPr>
        <w:spacing w:after="0" w:line="181" w:lineRule="exact"/>
        <w:rPr>
          <w:sz w:val="20"/>
          <w:szCs w:val="20"/>
          <w:color w:val="auto"/>
        </w:rPr>
      </w:pPr>
    </w:p>
    <w:p>
      <w:pPr>
        <w:ind w:left="1300" w:right="20" w:firstLine="652"/>
        <w:spacing w:after="0" w:line="309" w:lineRule="auto"/>
        <w:tabs>
          <w:tab w:leader="none" w:pos="2489" w:val="left"/>
        </w:tabs>
        <w:numPr>
          <w:ilvl w:val="0"/>
          <w:numId w:val="1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Fronting Bank may replace a purportedly lost, stolen, or destroyed original Letter of Credit or missing amendment thereto with a certified true copy marked as such or waive a requirement for its presentation;</w:t>
      </w:r>
    </w:p>
    <w:p>
      <w:pPr>
        <w:spacing w:after="0" w:line="120" w:lineRule="exact"/>
        <w:rPr>
          <w:rFonts w:ascii="Times New Roman" w:cs="Times New Roman" w:eastAsia="Times New Roman" w:hAnsi="Times New Roman"/>
          <w:sz w:val="21"/>
          <w:szCs w:val="21"/>
          <w:color w:val="010000"/>
        </w:rPr>
      </w:pPr>
    </w:p>
    <w:p>
      <w:pPr>
        <w:jc w:val="both"/>
        <w:ind w:left="1300" w:firstLine="652"/>
        <w:spacing w:after="0" w:line="257" w:lineRule="auto"/>
        <w:tabs>
          <w:tab w:leader="none" w:pos="2441"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Fronting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287" w:right="339" w:bottom="1440" w:gutter="0" w:footer="0" w:header="0"/>
        </w:sectPr>
      </w:pPr>
    </w:p>
    <w:bookmarkStart w:id="205" w:name="page206"/>
    <w:bookmarkEnd w:id="205"/>
    <w:p>
      <w:pPr>
        <w:ind w:left="1300"/>
        <w:spacing w:after="0" w:line="284" w:lineRule="auto"/>
        <w:rPr>
          <w:sz w:val="20"/>
          <w:szCs w:val="20"/>
          <w:color w:val="auto"/>
        </w:rPr>
      </w:pPr>
      <w:r>
        <w:rPr>
          <w:rFonts w:ascii="Times New Roman" w:cs="Times New Roman" w:eastAsia="Times New Roman" w:hAnsi="Times New Roman"/>
          <w:sz w:val="22"/>
          <w:szCs w:val="22"/>
          <w:color w:val="auto"/>
        </w:rPr>
        <w:t>on their face to be in substantial compliance with the terms of such Letter of Credit and without regard to any non-documentary condition in such Letter of Credit;</w:t>
      </w:r>
    </w:p>
    <w:p>
      <w:pPr>
        <w:spacing w:after="0" w:line="144" w:lineRule="exact"/>
        <w:rPr>
          <w:sz w:val="20"/>
          <w:szCs w:val="20"/>
          <w:color w:val="auto"/>
        </w:rPr>
      </w:pPr>
    </w:p>
    <w:p>
      <w:pPr>
        <w:ind w:left="1300" w:firstLine="652"/>
        <w:spacing w:after="0" w:line="295" w:lineRule="auto"/>
        <w:tabs>
          <w:tab w:leader="none" w:pos="2515" w:val="left"/>
        </w:tabs>
        <w:numPr>
          <w:ilvl w:val="0"/>
          <w:numId w:val="1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Fronting Bank shall have the right, in its sole discretion, to decline to accept such documents and to make such payment if such documents are not in strict compliance with the terms of such Letter of Credit; and</w:t>
      </w:r>
    </w:p>
    <w:p>
      <w:pPr>
        <w:spacing w:after="0" w:line="135" w:lineRule="exact"/>
        <w:rPr>
          <w:rFonts w:ascii="Times New Roman" w:cs="Times New Roman" w:eastAsia="Times New Roman" w:hAnsi="Times New Roman"/>
          <w:sz w:val="21"/>
          <w:szCs w:val="21"/>
          <w:color w:val="010000"/>
        </w:rPr>
      </w:pPr>
    </w:p>
    <w:p>
      <w:pPr>
        <w:jc w:val="both"/>
        <w:ind w:left="1300" w:firstLine="652"/>
        <w:spacing w:after="0" w:line="256" w:lineRule="auto"/>
        <w:tabs>
          <w:tab w:leader="none" w:pos="2692"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sentence shall establish the standard of care to be exercised by a Fronting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Without limiting the foregoing, none of the Agent, the Banks, any Fronting Bank, or any of their Related Parties shall have any liability or responsibility by reason of (i) any presentation that includes forged or fraudulent documents or that is otherwise affected by the fraudulent, bad faith, or illegal conduct of the beneficiary or other Person, (ii) a Fronting Bank declining to take-up documents and make payment (A) against documents that are fraudulent, forged, or for other reasons by which that it is entitled not to honor or (B) following the Borrower’s waiver of discrepancies with respect to such documents or request for honor of such documents or (iii) a Fronting Bank retaining proceeds of a Letter of Credit based on an apparently applicable attachment order, blocking regulation, or third-party claim notified to such Fronting Bank.</w:t>
      </w:r>
    </w:p>
    <w:p>
      <w:pPr>
        <w:spacing w:after="0" w:line="16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010000"/>
        </w:rPr>
        <w:t xml:space="preserve">§3.5 </w:t>
      </w:r>
      <w:r>
        <w:rPr>
          <w:rFonts w:ascii="Times New Roman" w:cs="Times New Roman" w:eastAsia="Times New Roman" w:hAnsi="Times New Roman"/>
          <w:sz w:val="22"/>
          <w:szCs w:val="22"/>
          <w:u w:val="single" w:color="auto"/>
          <w:color w:val="000000"/>
        </w:rPr>
        <w:t>Reliance by Issuer.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Fronting Bank shall act on behalf of the Revolving Credit Banks with respect to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Letters of Credit issued by it and the documents associated therewith, and each Fronting Bank shall have all of the benefits and immunities (A) provided to the Agent in §16 with respect to any acts taken or omissions suffered by such Fronting Bank in connection with Letters of Credit issued by it or proposed to be issued by it and Issuer Documents pertaining to such Letters of Credit as fully as if the term “Agent” as used in §16 included the Fronting Banks with respect to such acts or omissions, and (B) as additionally provided herein with respect to each Fronting Bank. To the extent not inconsistent with §3.4, the Agent and any Fronting Bank shall be entitled to rely, and shall be fully protected in relying upon, any Letter of Credit, draft, writing, resolution, notice, consent, certificate, affidavit, letter, cablegram, telegram, telecopy, telex or teletype message, statement, order or other document believed by it to be genuine and correct and to have been signed, sent or made by the proper Person or Persons and upon advice and statements of legal counsel, independent accountants and other experts selected by the Agent. The Agent and any Fronting Bank shall be fully justified in failing or refusing to take any action under this §3 (other than the issuance of a Letter of Credit pursuant to a Letter of Credit Application and otherwise in accordance with the terms of this Agreement) unless it shall first have received such advice or concurrence of the Required Revolving Credit Banks (or such other number or percentage of the Banks as may be required by this Agreement) as it reasonably deems appropriate or it shall first be indemnified to its reasonable satisfaction by the Revolving Credit Banks against any and all liability and expense which may be incurred by it by reason of taking or continuing to take any such action. The Agent and any Fronting Bank shall in all cases be fully protected by the Revolving Credit Banks in acting, or in refraining from acting, under this §3 in accordance with a request of the Required Revolving Credit Banks (or such other number or percentage of the Banks as may be required by this Agreement), and such request and any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287" w:right="339" w:bottom="1440" w:gutter="0" w:footer="0" w:header="0"/>
        </w:sectPr>
      </w:pPr>
    </w:p>
    <w:bookmarkStart w:id="206" w:name="page207"/>
    <w:bookmarkEnd w:id="206"/>
    <w:p>
      <w:pPr>
        <w:jc w:val="both"/>
        <w:spacing w:after="0" w:line="248" w:lineRule="auto"/>
        <w:rPr>
          <w:sz w:val="20"/>
          <w:szCs w:val="20"/>
          <w:color w:val="auto"/>
        </w:rPr>
      </w:pPr>
      <w:r>
        <w:rPr>
          <w:rFonts w:ascii="Times New Roman" w:cs="Times New Roman" w:eastAsia="Times New Roman" w:hAnsi="Times New Roman"/>
          <w:sz w:val="22"/>
          <w:szCs w:val="22"/>
          <w:color w:val="auto"/>
        </w:rPr>
        <w:t>taken or failure to act pursuant thereto shall be binding upon the Banks and all future holders of the Notes or of a participation in any Letter of Credit Obligations. Any Fronting Bank may send a Letter of Credit or conduct any communication to or from the beneficiary via the Society for Worldwide Interbank Financial Telecommunication (“</w:t>
      </w:r>
      <w:r>
        <w:rPr>
          <w:rFonts w:ascii="Times New Roman" w:cs="Times New Roman" w:eastAsia="Times New Roman" w:hAnsi="Times New Roman"/>
          <w:sz w:val="22"/>
          <w:szCs w:val="22"/>
          <w:u w:val="single" w:color="auto"/>
          <w:color w:val="auto"/>
        </w:rPr>
        <w:t>SWIFT</w:t>
      </w:r>
      <w:r>
        <w:rPr>
          <w:rFonts w:ascii="Times New Roman" w:cs="Times New Roman" w:eastAsia="Times New Roman" w:hAnsi="Times New Roman"/>
          <w:sz w:val="22"/>
          <w:szCs w:val="22"/>
          <w:color w:val="auto"/>
        </w:rPr>
        <w:t>”) message or overnight courier, or any other commercially reasonable means of communicating with a beneficiary.</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010000"/>
        </w:rPr>
        <w:t xml:space="preserve">§3.6 </w:t>
      </w:r>
      <w:r>
        <w:rPr>
          <w:rFonts w:ascii="Times New Roman" w:cs="Times New Roman" w:eastAsia="Times New Roman" w:hAnsi="Times New Roman"/>
          <w:sz w:val="21"/>
          <w:szCs w:val="21"/>
          <w:u w:val="single" w:color="auto"/>
          <w:color w:val="000000"/>
        </w:rPr>
        <w:t>Letter of Credit Fee.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Borrower shall pay to the Agent a fee (in each case, a “</w:t>
      </w:r>
      <w:r>
        <w:rPr>
          <w:rFonts w:ascii="Times New Roman" w:cs="Times New Roman" w:eastAsia="Times New Roman" w:hAnsi="Times New Roman"/>
          <w:sz w:val="21"/>
          <w:szCs w:val="21"/>
          <w:u w:val="single" w:color="auto"/>
          <w:color w:val="000000"/>
        </w:rPr>
        <w:t>Letter of Credit Fee</w:t>
      </w:r>
      <w:r>
        <w:rPr>
          <w:rFonts w:ascii="Times New Roman" w:cs="Times New Roman" w:eastAsia="Times New Roman" w:hAnsi="Times New Roman"/>
          <w:sz w:val="21"/>
          <w:szCs w:val="21"/>
          <w:color w:val="000000"/>
        </w:rPr>
        <w:t>”), in Dollars,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with respect to each Letter of Credit in an amount equal to the Applicable Letter of Credit Percentage of the Dollar Equivalent of the maximum aggregate amount available to be drawn under such Letter of Credit (excluding, at any time of determination, amounts that have been drawn under such Letter of Credit and are not available to be re-drawn), which fee (a) shall be payable quarterly in arrears on the first day of each calendar quarter for the immediately preceding calendar quarter, with a final payment on the expiry date of such Letter of Credit or any earlier date on which the Commitments shall terminate (which Letter of Credit Fee shall be pro-rated for any calendar quarter in which such Letter of Credit is issued, drawn upon or otherwise reduced or terminated) and (b) subject to §5.12, shall be for the accounts of the Revolving Credit Banks as follows: (i) an amount equal to 0.125% per annum of the Letter of Credit Fee shall be for the account of the Fronting Bank that issued such Letter of Credit and</w:t>
      </w:r>
    </w:p>
    <w:p>
      <w:pPr>
        <w:spacing w:after="0" w:line="6" w:lineRule="exact"/>
        <w:rPr>
          <w:sz w:val="20"/>
          <w:szCs w:val="20"/>
          <w:color w:val="auto"/>
        </w:rPr>
      </w:pPr>
    </w:p>
    <w:p>
      <w:pPr>
        <w:jc w:val="both"/>
        <w:ind w:firstLine="8"/>
        <w:spacing w:after="0" w:line="237" w:lineRule="auto"/>
        <w:tabs>
          <w:tab w:leader="none" w:pos="33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the Letter of Credit Fee shall be for the accounts of the Revolving Credit Banks (including each Fronting Bank as a Revolving Credit Bank) pro rata in accordance with their respective Commitment Percentages. In addition, the Borrower shall pay to each Fronting Bank, for its own account, in Dollars, an amount equal to such Fronting Bank’s reasonable and customary costs and expenses incurred in connection with the issuance and/or administration of the Letters of Credit.</w:t>
      </w:r>
    </w:p>
    <w:p>
      <w:pPr>
        <w:spacing w:after="0" w:line="19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010000"/>
        </w:rPr>
        <w:t xml:space="preserve">§3.7 </w:t>
      </w:r>
      <w:r>
        <w:rPr>
          <w:rFonts w:ascii="Times New Roman" w:cs="Times New Roman" w:eastAsia="Times New Roman" w:hAnsi="Times New Roman"/>
          <w:sz w:val="22"/>
          <w:szCs w:val="22"/>
          <w:u w:val="single" w:color="auto"/>
          <w:color w:val="000000"/>
        </w:rPr>
        <w:t>Periodic Notification of Outstanding Letters of Credit.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Within five (5) Business Days following the last day of each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calendar month, each Fronting Bank shall provide to the Agent a written report or statement (each an “</w:t>
      </w:r>
      <w:r>
        <w:rPr>
          <w:rFonts w:ascii="Times New Roman" w:cs="Times New Roman" w:eastAsia="Times New Roman" w:hAnsi="Times New Roman"/>
          <w:sz w:val="22"/>
          <w:szCs w:val="22"/>
          <w:u w:val="single" w:color="auto"/>
          <w:color w:val="000000"/>
        </w:rPr>
        <w:t>L/C Statement</w:t>
      </w:r>
      <w:r>
        <w:rPr>
          <w:rFonts w:ascii="Times New Roman" w:cs="Times New Roman" w:eastAsia="Times New Roman" w:hAnsi="Times New Roman"/>
          <w:sz w:val="22"/>
          <w:szCs w:val="22"/>
          <w:color w:val="000000"/>
        </w:rPr>
        <w:t>”) listing all Letters of Credit that were issued by such Fronting Bank and were outstanding as of the last day of such month. Each L/C Statement shall include such detail as is necessary to identify the beneficiary of each Letter of Credit listed thereon and the outstanding face amount thereof. In addition, each Fronting Bank shall from time to time provide to the Agent an updated L/C Statement upon the Agent’s reasonable request.</w:t>
      </w:r>
    </w:p>
    <w:p>
      <w:pPr>
        <w:spacing w:after="0" w:line="19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010000"/>
        </w:rPr>
        <w:t>§4</w:t>
      </w:r>
      <w:r>
        <w:rPr>
          <w:sz w:val="20"/>
          <w:szCs w:val="20"/>
          <w:color w:val="auto"/>
        </w:rPr>
        <w:tab/>
      </w:r>
      <w:r>
        <w:rPr>
          <w:rFonts w:ascii="Times New Roman" w:cs="Times New Roman" w:eastAsia="Times New Roman" w:hAnsi="Times New Roman"/>
          <w:sz w:val="21"/>
          <w:szCs w:val="21"/>
          <w:u w:val="single" w:color="auto"/>
          <w:color w:val="auto"/>
        </w:rPr>
        <w:t>REPAYMENT OF THE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010000"/>
        </w:rPr>
        <w:t xml:space="preserve">§4.1 </w:t>
      </w:r>
      <w:r>
        <w:rPr>
          <w:rFonts w:ascii="Times New Roman" w:cs="Times New Roman" w:eastAsia="Times New Roman" w:hAnsi="Times New Roman"/>
          <w:sz w:val="22"/>
          <w:szCs w:val="22"/>
          <w:u w:val="single" w:color="auto"/>
          <w:color w:val="000000"/>
        </w:rPr>
        <w:t>Maturity.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addition to, and without limiting, the provisions of §2.9(l), the Borrower promises to pay on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Maturity Date, and there shall become absolutely due and payable on the Maturity Date, all unpaid principal of the Revolving Credit Loans and each other Loan, if any, outstanding on such date, together with any and all accrued and unpaid interest thereon, the unpaid balance of the Facility Fee accrued through such date, and any and all other unpaid amounts due under this Agreement, the Notes or any other of the Loan Documents.</w:t>
      </w:r>
    </w:p>
    <w:p>
      <w:pPr>
        <w:spacing w:after="0" w:line="17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§4.2 </w:t>
      </w:r>
      <w:r>
        <w:rPr>
          <w:rFonts w:ascii="Times New Roman" w:cs="Times New Roman" w:eastAsia="Times New Roman" w:hAnsi="Times New Roman"/>
          <w:sz w:val="22"/>
          <w:szCs w:val="22"/>
          <w:u w:val="single" w:color="auto"/>
          <w:color w:val="000000"/>
        </w:rPr>
        <w:t>Optional Repayments of Committed Loans.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shall have the right, at its election, to prepay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outstanding amount of the Revolving Credit Loans and Incremental Term Loans, if any, in whole or in part, at any time without penalty or premium;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the outstanding amount of any Term Rate Committed Loans may not be prepaid unless the Borrower pays the Breakage Costs for each Term Rate Committed Loan so prepaid at the time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273" w:right="339" w:bottom="1440" w:gutter="0" w:footer="0" w:header="0"/>
        </w:sectPr>
      </w:pPr>
    </w:p>
    <w:bookmarkStart w:id="207" w:name="page208"/>
    <w:bookmarkEnd w:id="207"/>
    <w:p>
      <w:pPr>
        <w:jc w:val="both"/>
        <w:spacing w:after="0" w:line="239" w:lineRule="auto"/>
        <w:rPr>
          <w:sz w:val="20"/>
          <w:szCs w:val="20"/>
          <w:color w:val="auto"/>
        </w:rPr>
      </w:pPr>
      <w:r>
        <w:rPr>
          <w:rFonts w:ascii="Times New Roman" w:cs="Times New Roman" w:eastAsia="Times New Roman" w:hAnsi="Times New Roman"/>
          <w:sz w:val="22"/>
          <w:szCs w:val="22"/>
          <w:color w:val="auto"/>
        </w:rPr>
        <w:t>prepayment. The Borrower shall give the Agent no later than 10:00 a.m., at least (A) one (1) Business Day’s prior written notice of any proposed prepayment pursuant to this §4.2 of any Base Rate Loans or Daily SOFR Loans, (B) three (3) Business Days’ prior written notice of any proposed prepayment pursuant to this §4.2 of any Term SOFR Loans or Alternative Currency Term Rate Loans denominated in Canadian Dollars, and (C) four (4) Business Days’ (or five (5) Business Days’, in the case of prepayment of Loans denominated in Special Notice Currencies) prior written notice of any proposed prepayment pursuant to this §4.2 of any Alternative Currency Committed Loans denominated in an Alternative Currency other than Canadian Dollars, in the form of a Notice of Loan Prepayment which shall specify the proposed date of prepayment, which of the Facilities will be prepaid and the principal amount, currency, Type and Interest Period of the Loans to be prepaid. The Agent will promptly notify each Bank of its receipt of each such notice, and of the amount of such Bank’s ratable portion, if any, of such prepayment (based on such Bank’s applicable Commitment Percentage in respect of any prepayment of the Incremental Term Loan Facility and or the Total Revolving Credit Commitment). Each such partial prepayment of the Loans shall be in an amount equal to $500,000 or an integral multiple of $100,000 in excess thereof or, if less, the outstanding balance of the Revolving Credit Loans or Incremental Term Loans, as applicable, then being repaid, shall be accompanied by the payment of all charges, if any, outstanding on all Revolving Credit Loans or Incremental Term Loans, as applicable, so prepaid and of all accrued interest on the principal prepaid to the date of payment, and shall be applied, in the absence of instruction by the Borrower, first to the principal of Base Rate Loans, then to the principal of Daily SOFR Loans and then to the principal of Term Rate Committed Loans. If such notice is given by the Borrower, the Borrower shall make such prepayment and the payment amount specified in such notice shall be due and payable on the date specified therein. Subject to §5.12, each such prepayment shall be promptly paid to the Banks in accordance with their respective applicable Commitment Percentages in respect of any prepayment of any Incremental Term Loan Facility or the Total Revolving Credit Commitment.</w:t>
      </w:r>
    </w:p>
    <w:p>
      <w:pPr>
        <w:spacing w:after="0" w:line="20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§4.3</w:t>
      </w:r>
      <w:r>
        <w:rPr>
          <w:sz w:val="20"/>
          <w:szCs w:val="20"/>
          <w:color w:val="auto"/>
        </w:rPr>
        <w:tab/>
      </w:r>
      <w:r>
        <w:rPr>
          <w:rFonts w:ascii="Times New Roman" w:cs="Times New Roman" w:eastAsia="Times New Roman" w:hAnsi="Times New Roman"/>
          <w:sz w:val="21"/>
          <w:szCs w:val="21"/>
          <w:u w:val="single" w:color="auto"/>
          <w:color w:val="auto"/>
        </w:rPr>
        <w:t>Mandatory Repayment of Loans.</w:t>
      </w:r>
    </w:p>
    <w:p>
      <w:pPr>
        <w:spacing w:after="0" w:line="233" w:lineRule="exact"/>
        <w:rPr>
          <w:sz w:val="20"/>
          <w:szCs w:val="20"/>
          <w:color w:val="auto"/>
        </w:rPr>
      </w:pPr>
    </w:p>
    <w:p>
      <w:pPr>
        <w:jc w:val="both"/>
        <w:ind w:firstLine="1304"/>
        <w:spacing w:after="0" w:line="266" w:lineRule="auto"/>
        <w:tabs>
          <w:tab w:leader="none" w:pos="1806" w:val="left"/>
        </w:tabs>
        <w:numPr>
          <w:ilvl w:val="1"/>
          <w:numId w:val="1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Agent notifies the Borrower at any time that the Outstanding Amount of all Revolving Credit Loans and all Letter of Credit Obligations exceeds the Total Revolving Credit Commitment at such time, the Borrower shall, within two</w:t>
      </w:r>
    </w:p>
    <w:p>
      <w:pPr>
        <w:spacing w:after="0" w:line="1" w:lineRule="exact"/>
        <w:rPr>
          <w:rFonts w:ascii="Times New Roman" w:cs="Times New Roman" w:eastAsia="Times New Roman" w:hAnsi="Times New Roman"/>
          <w:sz w:val="21"/>
          <w:szCs w:val="21"/>
          <w:color w:val="010000"/>
        </w:rPr>
      </w:pPr>
    </w:p>
    <w:p>
      <w:pPr>
        <w:jc w:val="both"/>
        <w:ind w:firstLine="8"/>
        <w:spacing w:after="0" w:line="246" w:lineRule="auto"/>
        <w:tabs>
          <w:tab w:leader="none" w:pos="31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receipt of such notice, prepay the Revolving Credit Loans and/or Cash Collateralize the Letter of Credit Obligations in an aggregate amount not less than the amount by which the aggregate Outstanding Amount of all Revolving Credit Loans and all Letter of Credit Obligations exceeds the Total Revolving Credit Commitment, any such prepayment to be applied, in the absence of instruction by the Borrower, (x) first to the repayment of Revolving Credit Loans and second to the repayment of Bid Rate Loans and (y) with respect to any such payments of Revolving Credit Loans, first to the principal of Base Rate Loans, then to the principal of Daily SOFR Loans and then to the principal of Term Rate Committed Loans. Notwithstanding the foregoing, subject to §5.11.1, the Borrower shall not be required to Cash Collateralize the Letter of Credit Obligations pursuant to this §4.3 unless after the prepayment in full of the Revolving Credit Loans the Outstanding Amount of all Revolving Credit Loans and all Letter of Credit Obligations exceeds the Total Revolving Credit Commitment then in effect. The Agent may, at any time and from time to time after the initial deposit of such Cash Collateral, request that additional Cash Collateral be provided in order to protect against the results of 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273" w:right="339" w:bottom="1440" w:gutter="0" w:footer="0" w:header="0"/>
        </w:sectPr>
      </w:pPr>
    </w:p>
    <w:bookmarkStart w:id="208" w:name="page209"/>
    <w:bookmarkEnd w:id="208"/>
    <w:p>
      <w:pPr>
        <w:jc w:val="both"/>
        <w:ind w:firstLine="1304"/>
        <w:spacing w:after="0" w:line="256" w:lineRule="auto"/>
        <w:tabs>
          <w:tab w:leader="none" w:pos="1764"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Agent notifies the Borrower at any time that the Outstanding Amount of all Bid Rate Loans exceeds an amount equal to 105% of the Bid Rate Maximum Amount, the Borrower shall within two (2) Business Days after receipt of such notice, prepay Bid Rate Loans in an aggregate amount not less than the amount by which the aggregate Outstanding Amount of all Bid Rate Loans exceeds the Bid Rate Maximum Amount.</w:t>
      </w:r>
    </w:p>
    <w:p>
      <w:pPr>
        <w:spacing w:after="0" w:line="176"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010000"/>
        </w:rPr>
        <w:t>§5</w:t>
      </w:r>
      <w:r>
        <w:rPr>
          <w:sz w:val="20"/>
          <w:szCs w:val="20"/>
          <w:color w:val="auto"/>
        </w:rPr>
        <w:tab/>
      </w:r>
      <w:r>
        <w:rPr>
          <w:rFonts w:ascii="Times New Roman" w:cs="Times New Roman" w:eastAsia="Times New Roman" w:hAnsi="Times New Roman"/>
          <w:sz w:val="21"/>
          <w:szCs w:val="21"/>
          <w:u w:val="single" w:color="auto"/>
          <w:color w:val="auto"/>
        </w:rPr>
        <w:t>CERTAIN GENERAL PROVISIONS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§5.1</w:t>
      </w:r>
      <w:r>
        <w:rPr>
          <w:sz w:val="20"/>
          <w:szCs w:val="20"/>
          <w:color w:val="auto"/>
        </w:rPr>
        <w:tab/>
      </w:r>
      <w:r>
        <w:rPr>
          <w:rFonts w:ascii="Times New Roman" w:cs="Times New Roman" w:eastAsia="Times New Roman" w:hAnsi="Times New Roman"/>
          <w:sz w:val="21"/>
          <w:szCs w:val="21"/>
          <w:u w:val="single" w:color="auto"/>
          <w:color w:val="auto"/>
        </w:rPr>
        <w:t>Funds for Payments.</w:t>
      </w:r>
    </w:p>
    <w:p>
      <w:pPr>
        <w:spacing w:after="0" w:line="233"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22"/>
          <w:szCs w:val="22"/>
          <w:color w:val="010000"/>
        </w:rPr>
        <w:t>§5.1.1</w:t>
      </w:r>
      <w:r>
        <w:rPr>
          <w:sz w:val="20"/>
          <w:szCs w:val="20"/>
          <w:color w:val="auto"/>
        </w:rPr>
        <w:tab/>
      </w:r>
      <w:r>
        <w:rPr>
          <w:rFonts w:ascii="Times New Roman" w:cs="Times New Roman" w:eastAsia="Times New Roman" w:hAnsi="Times New Roman"/>
          <w:sz w:val="21"/>
          <w:szCs w:val="21"/>
          <w:u w:val="single" w:color="auto"/>
          <w:color w:val="auto"/>
        </w:rPr>
        <w:t>General.</w:t>
      </w:r>
    </w:p>
    <w:p>
      <w:pPr>
        <w:spacing w:after="0" w:line="220" w:lineRule="exact"/>
        <w:rPr>
          <w:sz w:val="20"/>
          <w:szCs w:val="20"/>
          <w:color w:val="auto"/>
        </w:rPr>
      </w:pPr>
    </w:p>
    <w:p>
      <w:pPr>
        <w:jc w:val="both"/>
        <w:ind w:firstLine="1304"/>
        <w:spacing w:after="0" w:line="247" w:lineRule="auto"/>
        <w:tabs>
          <w:tab w:leader="none" w:pos="1779" w:val="left"/>
        </w:tabs>
        <w:numPr>
          <w:ilvl w:val="0"/>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expressly provided herein and except with respect to principal of and interest on Loans denominated in an Alternative Currency, all payments by the Borrower hereunder or under any of the other Loan Documents shall be made to the Agent, for the respective accounts of the Banks to which such payment is owed or (as the case may be) the Agent, at the Agent’s Funding Office in Dollars and in Same Day Funds not later than 2:00 p.m. on the due date thereof. Except as otherwise expressly provided herein, all payments by the Borrower hereunder or under any of the other Loan Documents with respect to principal and interest on Loans denominated in an Alternative Currency shall be made to the Agent, for the respective accounts of the Banks to which such payment is owed or (as the case may be) the Agent, at the Agent’s Funding Office in such Alternative Currency and in Same Day Funds not later than the Applicable Time specified by the Agent on the due date thereof. Without limiting the generality of the foregoing, the Agent may require that any payments due under this Agreement be made in the United States. If, for any reason, the Borrower is prohibited by any Law from making any required payment hereunder in an Alternative Currency, the Borrower shall make such payment in Dollars in the Dollar Equivalent of the Alternative Currency payment amount. The Agent will promptly distribute to each Bank its applicable Commitment Percentage (or other applicable share as provided herein) of such payment in like funds as received by wire transfer to such Bank’s Lending Office. All payments received by the Agent (i) after 2:00 p.m., in the case of payments in Dollars, or (ii) after the Applicable Time specified by the Agent in the case of payments in an Alternative Currency, shall in each case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87" w:lineRule="exact"/>
        <w:rPr>
          <w:rFonts w:ascii="Times New Roman" w:cs="Times New Roman" w:eastAsia="Times New Roman" w:hAnsi="Times New Roman"/>
          <w:sz w:val="22"/>
          <w:szCs w:val="22"/>
          <w:color w:val="010000"/>
        </w:rPr>
      </w:pPr>
    </w:p>
    <w:p>
      <w:pPr>
        <w:jc w:val="both"/>
        <w:ind w:right="20" w:firstLine="1304"/>
        <w:spacing w:after="0" w:line="257" w:lineRule="auto"/>
        <w:tabs>
          <w:tab w:leader="none" w:pos="1777" w:val="left"/>
        </w:tabs>
        <w:numPr>
          <w:ilvl w:val="0"/>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payments by the Borrower hereunder and under any of the other Loan Documents shall be made without setoff or counterclaim and free and clear of and without deduction for any taxes, levies, imposts, duties, charges, fees, deductions, withholdings, compulsory liens, restrictions or conditions of any nature except as set forth in §5.2.</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010000"/>
        </w:rPr>
        <w:t xml:space="preserve">§5.1.2 </w:t>
      </w:r>
      <w:r>
        <w:rPr>
          <w:rFonts w:ascii="Times New Roman" w:cs="Times New Roman" w:eastAsia="Times New Roman" w:hAnsi="Times New Roman"/>
          <w:sz w:val="22"/>
          <w:szCs w:val="22"/>
          <w:u w:val="single" w:color="auto"/>
          <w:color w:val="000000"/>
        </w:rPr>
        <w:t>Funding by Banks; Presumption by Agent.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Unless the Agent shall have received notice from a Bank prior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the proposed Drawdown Date of any Committed Loan that such Bank will not make available to the Agent the amount of such Bank’s applicable Commitment Percentage of the Committed Loan to be made on such Drawdown Date, the Agent may assume that such Bank has made such share available on such date in accordance with §2.6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287" w:right="339" w:bottom="1440" w:gutter="0" w:footer="0" w:header="0"/>
        </w:sectPr>
      </w:pPr>
    </w:p>
    <w:bookmarkStart w:id="209" w:name="page210"/>
    <w:bookmarkEnd w:id="209"/>
    <w:p>
      <w:pPr>
        <w:jc w:val="both"/>
        <w:spacing w:after="0" w:line="248" w:lineRule="auto"/>
        <w:rPr>
          <w:sz w:val="20"/>
          <w:szCs w:val="20"/>
          <w:color w:val="auto"/>
        </w:rPr>
      </w:pPr>
      <w:r>
        <w:rPr>
          <w:rFonts w:ascii="Times New Roman" w:cs="Times New Roman" w:eastAsia="Times New Roman" w:hAnsi="Times New Roman"/>
          <w:sz w:val="22"/>
          <w:szCs w:val="22"/>
          <w:color w:val="auto"/>
        </w:rPr>
        <w:t>and may, in reliance upon such assumption, make available to the Borrower a corresponding amount. In such event, if a Bank has not in fact made its share of the applicable Committed Loan available to the Agent, then the applicable Bank and the Borrower severally agree to pay to the Agent forthwith on demand such corresponding amount in Same Day Funds with interest thereon, for each day from and including the date such amount is made available to the Borrower to but excluding the date of payment to the Agent, at (A) in the case of a payment to be made by such Bank, the Overnight Rate, plus any administrative, processing or similar fees customarily charged by the Agent in connection with the foregoing, and (B) in the case of a payment to be made by the Borrower, the interest rate applicable to Base Rate Loans. If the Borrower and such Bank shall pay such interest to the Agent for the same or an overlapping period, the Agent shall promptly remit to the Borrower the amount of such interest paid by the Borrower for such period. If such Bank pays its share of the applicable Committed Loan to the Agent (with interest and fees as aforesaid), then the amount so paid shall constitute such Bank’s Committed Loan included in such borrowing. Any payment by the Borrower shall be without prejudice to any claim the Borrower may have against a Bank that shall have failed to make such payment to the Agent.</w:t>
      </w:r>
    </w:p>
    <w:p>
      <w:pPr>
        <w:spacing w:after="0" w:line="19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010000"/>
        </w:rPr>
        <w:t xml:space="preserve">§5.1.3 </w:t>
      </w:r>
      <w:r>
        <w:rPr>
          <w:rFonts w:ascii="Times New Roman" w:cs="Times New Roman" w:eastAsia="Times New Roman" w:hAnsi="Times New Roman"/>
          <w:sz w:val="22"/>
          <w:szCs w:val="22"/>
          <w:u w:val="single" w:color="auto"/>
          <w:color w:val="000000"/>
        </w:rPr>
        <w:t>Payments by Borrower; Presumptions by Agent.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Unless the Agent shall have received notice from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Borrower prior to the date on which any payment is due to the Agent for the account of the Banks or any Fronting Bank hereunder that the Borrower will not make such payment, the Agent may assume that the Borrower has made such payment on such date in accordance herewith and may, in reliance upon such assumption, distribute to the applicable Banks or the applicable Fronting Bank, as the case may be, the amount due.</w:t>
      </w:r>
    </w:p>
    <w:p>
      <w:pPr>
        <w:spacing w:after="0" w:line="19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With respect to any payment that the Agent makes for the account of the applicable Banks or any Fronting Bank hereunder as to which the Agent determines (which determination shall be conclusive absent manifest error) that any of the following applies (such payment referred to as the “</w:t>
      </w:r>
      <w:r>
        <w:rPr>
          <w:rFonts w:ascii="Times New Roman" w:cs="Times New Roman" w:eastAsia="Times New Roman" w:hAnsi="Times New Roman"/>
          <w:sz w:val="21"/>
          <w:szCs w:val="21"/>
          <w:u w:val="single" w:color="auto"/>
          <w:color w:val="auto"/>
        </w:rPr>
        <w:t>Rescindable Amount</w:t>
      </w:r>
      <w:r>
        <w:rPr>
          <w:rFonts w:ascii="Times New Roman" w:cs="Times New Roman" w:eastAsia="Times New Roman" w:hAnsi="Times New Roman"/>
          <w:sz w:val="21"/>
          <w:szCs w:val="21"/>
          <w:color w:val="auto"/>
        </w:rPr>
        <w:t>”): (1) the Borrower has not in fact made such payment;</w:t>
      </w:r>
    </w:p>
    <w:p>
      <w:pPr>
        <w:spacing w:after="0" w:line="3" w:lineRule="exact"/>
        <w:rPr>
          <w:sz w:val="20"/>
          <w:szCs w:val="20"/>
          <w:color w:val="auto"/>
        </w:rPr>
      </w:pPr>
    </w:p>
    <w:p>
      <w:pPr>
        <w:jc w:val="both"/>
        <w:ind w:firstLine="8"/>
        <w:spacing w:after="0" w:line="246" w:lineRule="auto"/>
        <w:tabs>
          <w:tab w:leader="none" w:pos="31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has made a payment in excess of the amount so paid by the Borrower (whether or not then owed); or (3) the Agent has for any reason otherwise erroneously made such payment; then each of the applicable Banks or the applicable Fronting Bank(s), as the case may be, severally agrees to repay to the Agent forthwith on demand the Rescindable Amount so distributed to such Bank or such Fronting Bank, in immediately available funds with interest thereon, for each day from and including the date such amount is distributed to it to but excluding the date of payment to the Agent, at the greater of the Federal Funds Rate and a rate determined by the Agent in accordance with banking industry rules on interbank compensation.</w:t>
      </w:r>
    </w:p>
    <w:p>
      <w:pPr>
        <w:spacing w:after="0" w:line="18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A notice of the Agent to any Bank, Fronting Bank or the Borrower with respect to any amount owing under this §5.1.3 shall be conclusive, absent manifest error.</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010000"/>
        </w:rPr>
        <w:t xml:space="preserve">§5.1.4 </w:t>
      </w:r>
      <w:r>
        <w:rPr>
          <w:rFonts w:ascii="Times New Roman" w:cs="Times New Roman" w:eastAsia="Times New Roman" w:hAnsi="Times New Roman"/>
          <w:sz w:val="22"/>
          <w:szCs w:val="22"/>
          <w:u w:val="single" w:color="auto"/>
          <w:color w:val="000000"/>
        </w:rPr>
        <w:t>Failure to Satisfy Conditions Precedent.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If any Bank makes available to the Agent funds for any Loan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 made by such Bank as provided in §§2 and 3 above, and such funds are not made available to the Borrower by the Agent because the conditions applicable to advance of funds for such Loan set forth in §§12 and 13 are not satisfied or waived in accordance with the terms hereof, the Agent shall return such funds (in like funds as received from such Bank) to such Bank, without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287" w:right="339" w:bottom="1440" w:gutter="0" w:footer="0" w:header="0"/>
        </w:sectPr>
      </w:pPr>
    </w:p>
    <w:bookmarkStart w:id="210" w:name="page211"/>
    <w:bookmarkEnd w:id="210"/>
    <w:p>
      <w:pPr>
        <w:jc w:val="both"/>
        <w:ind w:firstLine="1296"/>
        <w:spacing w:after="0" w:line="251" w:lineRule="auto"/>
        <w:rPr>
          <w:sz w:val="20"/>
          <w:szCs w:val="20"/>
          <w:color w:val="auto"/>
        </w:rPr>
      </w:pPr>
      <w:r>
        <w:rPr>
          <w:rFonts w:ascii="Times New Roman" w:cs="Times New Roman" w:eastAsia="Times New Roman" w:hAnsi="Times New Roman"/>
          <w:sz w:val="22"/>
          <w:szCs w:val="22"/>
          <w:color w:val="010000"/>
        </w:rPr>
        <w:t xml:space="preserve">§5.1.5 </w:t>
      </w:r>
      <w:r>
        <w:rPr>
          <w:rFonts w:ascii="Times New Roman" w:cs="Times New Roman" w:eastAsia="Times New Roman" w:hAnsi="Times New Roman"/>
          <w:sz w:val="22"/>
          <w:szCs w:val="22"/>
          <w:u w:val="single" w:color="auto"/>
          <w:color w:val="000000"/>
        </w:rPr>
        <w:t>Obligations of Banks Several.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obligations of the Banks hereunder to make Revolving Credit Loans,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Incremental Term Loans, to fund participations in Letters of Credit and to make payments pursuant to §17(c) are several and not joint. The failure of any Bank to make any Loan, to fund any such participation or to make any payment under §17(c) on any date required hereunder shall not relieve any other Bank of its corresponding obligation to do so on such date, and no Bank shall be responsible for the failure of any other Bank to so make its Loan, to purchase its participation or to make its payment under §17(c).</w:t>
      </w:r>
    </w:p>
    <w:p>
      <w:pPr>
        <w:spacing w:after="0" w:line="19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010000"/>
        </w:rPr>
        <w:t xml:space="preserve">§5.1.6 </w:t>
      </w:r>
      <w:r>
        <w:rPr>
          <w:rFonts w:ascii="Times New Roman" w:cs="Times New Roman" w:eastAsia="Times New Roman" w:hAnsi="Times New Roman"/>
          <w:sz w:val="22"/>
          <w:szCs w:val="22"/>
          <w:u w:val="single" w:color="auto"/>
          <w:color w:val="000000"/>
        </w:rPr>
        <w:t>Funding Source.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Nothing herein shall be deemed to obligate any Bank to obtain the funds for any Loan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particular place or manner or to constitute a representation by any Bank that it has obtained or will obtain the funds for any Loan in any particular place or manner.</w:t>
      </w:r>
    </w:p>
    <w:p>
      <w:pPr>
        <w:spacing w:after="0" w:line="17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010000"/>
        </w:rPr>
        <w:t xml:space="preserve">§5.1.7 </w:t>
      </w:r>
      <w:r>
        <w:rPr>
          <w:rFonts w:ascii="Times New Roman" w:cs="Times New Roman" w:eastAsia="Times New Roman" w:hAnsi="Times New Roman"/>
          <w:sz w:val="22"/>
          <w:szCs w:val="22"/>
          <w:u w:val="single" w:color="auto"/>
          <w:color w:val="000000"/>
        </w:rPr>
        <w:t>Sharing of Payments by Banks.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If any Bank shall, by exercising any right of setoff or counterclaim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otherwise, obtain payment in respect of any principal of or interest on any of the Loans made by it, or the participations in Letters of Credit held by it resulting in such Bank’s receiving payment of a proportion of the aggregate amount of such Loans or participations and accrued interest thereon greater than its pro rata share thereof as provided herein, then the Bank receiving such greater proportion shall (a) notify the Agent of such fact, and (b) purchase (for cash at face value) participations in the Loans and subparticipations in the Letter of Credit Obligations of the other Banks, or make such other adjustments as shall be equitable, so that the benefit of all such payments shall be shared by the Banks ratably in accordance with the aggregate amount of principal of and accrued interest on their respective Loans and other amounts owing them,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w:t>
      </w:r>
    </w:p>
    <w:p>
      <w:pPr>
        <w:spacing w:after="0" w:line="195" w:lineRule="exact"/>
        <w:rPr>
          <w:sz w:val="20"/>
          <w:szCs w:val="20"/>
          <w:color w:val="auto"/>
        </w:rPr>
      </w:pPr>
    </w:p>
    <w:p>
      <w:pPr>
        <w:jc w:val="both"/>
        <w:ind w:firstLine="1304"/>
        <w:spacing w:after="0" w:line="257" w:lineRule="auto"/>
        <w:tabs>
          <w:tab w:leader="none" w:pos="1752"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2"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777"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Delinquent Bank), (y) the application of Cash Collateral provided for in §5.11.3, or (z) any payment obtained by a Bank as consideration for the assignment of or sale of a participation in any of its Loans or subparticipations in Letter of Credit Obligations to any assignee or participant, other than an assignment to the Borrower or any Affiliate thereof (as to which the provisions of this Section shall apply).</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Borrower consents to the foregoing and agrees, to the extent it may effectively do so under applicable law, that any Bank acquiring a participation pursuant to the foregoing arrangements may exercise against the Borrower rights of setoff and counterclaim with respect to such participation as fully as if such Bank were a direct creditor of the Borrower in the amount of such participation.</w:t>
      </w:r>
    </w:p>
    <w:p>
      <w:pPr>
        <w:spacing w:after="0" w:line="17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§5.2</w:t>
      </w:r>
      <w:r>
        <w:rPr>
          <w:sz w:val="20"/>
          <w:szCs w:val="20"/>
          <w:color w:val="auto"/>
        </w:rPr>
        <w:tab/>
      </w:r>
      <w:r>
        <w:rPr>
          <w:rFonts w:ascii="Times New Roman" w:cs="Times New Roman" w:eastAsia="Times New Roman" w:hAnsi="Times New Roman"/>
          <w:sz w:val="21"/>
          <w:szCs w:val="21"/>
          <w:u w:val="single" w:color="auto"/>
          <w:color w:val="auto"/>
        </w:rPr>
        <w:t xml:space="preserve">Taxes. </w:t>
      </w:r>
      <w:r>
        <w:rPr>
          <w:rFonts w:ascii="Times New Roman" w:cs="Times New Roman" w:eastAsia="Times New Roman" w:hAnsi="Times New Roman"/>
          <w:sz w:val="21"/>
          <w:szCs w:val="21"/>
          <w:color w:val="auto"/>
        </w:rPr>
        <w:t>For purposes of this §5.2, the term “applicable Law” includes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287" w:right="339" w:bottom="1440" w:gutter="0" w:footer="0" w:header="0"/>
        </w:sectPr>
      </w:pPr>
    </w:p>
    <w:bookmarkStart w:id="211" w:name="page212"/>
    <w:bookmarkEnd w:id="211"/>
    <w:p>
      <w:pPr>
        <w:ind w:left="640" w:hanging="456"/>
        <w:spacing w:after="0"/>
        <w:tabs>
          <w:tab w:leader="none" w:pos="640"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Payments Free of Taxes; Obligation to Withhold; Payments on Account of Taxes.</w:t>
      </w:r>
    </w:p>
    <w:p>
      <w:pPr>
        <w:spacing w:after="0" w:line="233" w:lineRule="exact"/>
        <w:rPr>
          <w:rFonts w:ascii="Times New Roman" w:cs="Times New Roman" w:eastAsia="Times New Roman" w:hAnsi="Times New Roman"/>
          <w:sz w:val="22"/>
          <w:szCs w:val="22"/>
          <w:color w:val="010000"/>
        </w:rPr>
      </w:pPr>
    </w:p>
    <w:p>
      <w:pPr>
        <w:ind w:left="1480" w:hanging="648"/>
        <w:spacing w:after="0" w:line="250" w:lineRule="auto"/>
        <w:tabs>
          <w:tab w:leader="none" w:pos="1279" w:val="left"/>
        </w:tabs>
        <w:numPr>
          <w:ilvl w:val="1"/>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and all payments by or on account of any obligation of the Borrower under any Loan Document shall be made without deduction or withholding for any Taxes, except as required by applicable Laws. If any applicable Laws (as determined in the good faith discretion of the Agent or the Borrower) require the deduction or withholding of any Tax from any such payment by the Agent or the Borrower, then the Agent or the Borrower shall be entitled to make such deduction or withholding, upon the basis of the information and documentation to be delivered pursuant to subsection (e) of this §5.2 below.</w:t>
      </w:r>
    </w:p>
    <w:p>
      <w:pPr>
        <w:spacing w:after="0" w:line="180" w:lineRule="exact"/>
        <w:rPr>
          <w:rFonts w:ascii="Times New Roman" w:cs="Times New Roman" w:eastAsia="Times New Roman" w:hAnsi="Times New Roman"/>
          <w:sz w:val="22"/>
          <w:szCs w:val="22"/>
          <w:color w:val="010000"/>
        </w:rPr>
      </w:pPr>
    </w:p>
    <w:p>
      <w:pPr>
        <w:jc w:val="both"/>
        <w:ind w:left="1480" w:hanging="648"/>
        <w:spacing w:after="0" w:line="248" w:lineRule="auto"/>
        <w:tabs>
          <w:tab w:leader="none" w:pos="1474" w:val="left"/>
        </w:tabs>
        <w:numPr>
          <w:ilvl w:val="1"/>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Borrower or the Agent shall be required by the Code to withhold or deduct any Taxes, including both United States Federal backup withholding and withholding taxes, from any payment, then (A) the Agent shall withhold or make such deductions as are determined by the Agent to be required based upon the information and documentation it has received pursuant to subsection (e) of this §5.2 below, (B) the Agent shall timely pay the full amount withheld or deducted to the relevant Governmental Authority in accordance with the Code,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§5.2) the applicable Recipient receives an amount equal to the sum it would have received had no such withholding or deduction been made.</w:t>
      </w:r>
    </w:p>
    <w:p>
      <w:pPr>
        <w:spacing w:after="0" w:line="188" w:lineRule="exact"/>
        <w:rPr>
          <w:rFonts w:ascii="Times New Roman" w:cs="Times New Roman" w:eastAsia="Times New Roman" w:hAnsi="Times New Roman"/>
          <w:sz w:val="22"/>
          <w:szCs w:val="22"/>
          <w:color w:val="010000"/>
        </w:rPr>
      </w:pPr>
    </w:p>
    <w:p>
      <w:pPr>
        <w:jc w:val="both"/>
        <w:ind w:left="1480" w:hanging="648"/>
        <w:spacing w:after="0" w:line="248" w:lineRule="auto"/>
        <w:tabs>
          <w:tab w:leader="none" w:pos="1493" w:val="left"/>
        </w:tabs>
        <w:numPr>
          <w:ilvl w:val="1"/>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Borrower or the Agent shall be required by any applicable Laws other than the Code to withhold or deduct any Taxes from any payment, then (A) the Borrower or the Agent, as required by such Laws, shall withhold or make such deductions as are determined by it to be required based upon the information and documentation it has received pursuant to subsection (e) of this §5.2 below, (B) the Borrower or the Agent, to the extent required by such laws, shall, if applicable, timely pay the full amount withheld or deducted to the relevant Governmental Authority in accordance with such Laws,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§5.2) the applicable Recipient receives an amount equal to the sum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0120"/>
          </w:cols>
          <w:pgMar w:left="1440" w:top="1287" w:right="339" w:bottom="1440" w:gutter="0" w:footer="0" w:header="0"/>
        </w:sectPr>
      </w:pPr>
    </w:p>
    <w:bookmarkStart w:id="212" w:name="page213"/>
    <w:bookmarkEnd w:id="212"/>
    <w:p>
      <w:pPr>
        <w:jc w:val="center"/>
        <w:ind w:right="-99"/>
        <w:spacing w:after="0"/>
        <w:rPr>
          <w:sz w:val="20"/>
          <w:szCs w:val="20"/>
          <w:color w:val="auto"/>
        </w:rPr>
      </w:pPr>
      <w:r>
        <w:rPr>
          <w:rFonts w:ascii="Times New Roman" w:cs="Times New Roman" w:eastAsia="Times New Roman" w:hAnsi="Times New Roman"/>
          <w:sz w:val="22"/>
          <w:szCs w:val="22"/>
          <w:color w:val="auto"/>
        </w:rPr>
        <w:t>would have received had no such withholding or deduction been made.</w:t>
      </w:r>
    </w:p>
    <w:p>
      <w:pPr>
        <w:spacing w:after="0" w:line="233" w:lineRule="exact"/>
        <w:rPr>
          <w:sz w:val="20"/>
          <w:szCs w:val="20"/>
          <w:color w:val="auto"/>
        </w:rPr>
      </w:pPr>
    </w:p>
    <w:p>
      <w:pPr>
        <w:jc w:val="both"/>
        <w:ind w:left="2600" w:hanging="648"/>
        <w:spacing w:after="0" w:line="248" w:lineRule="auto"/>
        <w:tabs>
          <w:tab w:leader="none" w:pos="2547" w:val="left"/>
        </w:tabs>
        <w:numPr>
          <w:ilvl w:val="1"/>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provisions of subsection (i) through (iii) above, (x) the Borrower shall not be required to increase any such amounts payable to any Recipient with respect to any Indemnified Taxes (1) that are attributable to such Person’s failure to comply with the requirements of §5, or (2) that are United States withholding taxes imposed on amounts payable to such Person that are Excluded Taxes; and (y) the Borrower shall not be required to compensate any Recipient pursuant to this Section for any additional sums payable under this Section, including Indemnified Taxes, incurred more than 180 days prior to the date that such Recipient notifies the Borrower of the Change in Law or other event giving rise to such additional sums and of such Recipient’s or the intention to claim compensation therefor.</w:t>
      </w:r>
    </w:p>
    <w:p>
      <w:pPr>
        <w:spacing w:after="0" w:line="185"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885"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Without limiting the provisions of subsection (a) above (but without duplication of amounts payable pursuant to subsection (a) above), the Borrower shall timely pay to the relevant Governmental Authority in accordance with applicable laws, or at the option of the Agent timely reimburse it for the payment of, any Other Taxes.</w:t>
      </w:r>
    </w:p>
    <w:p>
      <w:pPr>
        <w:spacing w:after="0" w:line="176" w:lineRule="exact"/>
        <w:rPr>
          <w:rFonts w:ascii="Times New Roman" w:cs="Times New Roman" w:eastAsia="Times New Roman" w:hAnsi="Times New Roman"/>
          <w:sz w:val="22"/>
          <w:szCs w:val="22"/>
          <w:color w:val="010000"/>
        </w:rPr>
      </w:pPr>
    </w:p>
    <w:p>
      <w:pPr>
        <w:ind w:left="1760" w:hanging="456"/>
        <w:spacing w:after="0"/>
        <w:tabs>
          <w:tab w:leader="none" w:pos="1760"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 Indemnifications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left="2600" w:hanging="648"/>
        <w:spacing w:after="0" w:line="239" w:lineRule="auto"/>
        <w:tabs>
          <w:tab w:leader="none" w:pos="2426" w:val="left"/>
        </w:tabs>
        <w:numPr>
          <w:ilvl w:val="1"/>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shall, and does hereby, indemnify each Recipient, and shall make payment in respect thereof within 10 days after demand therefor, for the full amount of any Indemnified Taxes (including Indemnified Taxes imposed or asserted on or attributable to amounts payable under this §5.2) payable or paid by such Recipient (whether directly or pursuant to §5.2(c)(ii))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Bank or a Fronting Bank (with a copy to the Agent), or by the Agent on its own behalf or on behalf of a Bank or a Fronting Bank, shall be conclusive absent manifest error. The Borrower shall, and does hereby, indemnify the Agent, and shall make payment in respect thereof within 10 days after demand therefor, for any amount which a Bank or a Fronting Bank for any reason fails to pay indefeasibly to the Agent as required pursuant to §5.2(c)(ii). If any amounts paid by the Borrower pursuant to this §5.2(c) shall be recovered and received from a Governmental Authority by the applicable Recipient, the same shall be paid to the Borrower net of all out-of-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287" w:right="339" w:bottom="1440" w:gutter="0" w:footer="0" w:header="0"/>
        </w:sectPr>
      </w:pPr>
    </w:p>
    <w:bookmarkStart w:id="213" w:name="page214"/>
    <w:bookmarkEnd w:id="213"/>
    <w:p>
      <w:pPr>
        <w:jc w:val="both"/>
        <w:ind w:left="2600"/>
        <w:spacing w:after="0" w:line="241" w:lineRule="auto"/>
        <w:rPr>
          <w:sz w:val="20"/>
          <w:szCs w:val="20"/>
          <w:color w:val="auto"/>
        </w:rPr>
      </w:pPr>
      <w:r>
        <w:rPr>
          <w:rFonts w:ascii="Times New Roman" w:cs="Times New Roman" w:eastAsia="Times New Roman" w:hAnsi="Times New Roman"/>
          <w:sz w:val="22"/>
          <w:szCs w:val="22"/>
          <w:color w:val="auto"/>
        </w:rPr>
        <w:t xml:space="preserve">pocket expenses incurred by such Recipient and without interest (other than any interest paid by the relevant Governmental Authority with respect to such amounts). If the Borrower determines in its good faith judgment that a reasonable basis exists for contesting any Indemnified Taxes, the applicable Recipient shall reasonably cooperate with the Borrower in challenging such Indemnified Taxes, and such Recipient shall assign its right to any claim for a refund of such Indemnified Taxes to the Borrower so long as it has determined in its discretion that such assignment would not be adverse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Recipient shall not be required to make available its tax returns (or any other information relating to its Taxes that it deems confidential) to the Borrower or any other Person; and provided further that nothing in this sentence shall require the Agent or such Recipient not to withhold and pay over to the applicable Governmental Authority any Taxes subject to such challenge.</w:t>
      </w:r>
    </w:p>
    <w:p>
      <w:pPr>
        <w:spacing w:after="0" w:line="176" w:lineRule="exact"/>
        <w:rPr>
          <w:sz w:val="20"/>
          <w:szCs w:val="20"/>
          <w:color w:val="auto"/>
        </w:rPr>
      </w:pPr>
    </w:p>
    <w:p>
      <w:pPr>
        <w:jc w:val="both"/>
        <w:ind w:left="2600" w:hanging="648"/>
        <w:spacing w:after="0" w:line="252" w:lineRule="auto"/>
        <w:tabs>
          <w:tab w:leader="none" w:pos="2553" w:val="left"/>
        </w:tabs>
        <w:numPr>
          <w:ilvl w:val="1"/>
          <w:numId w:val="1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Bank and each Fronting Bank shall, and does hereby, severally indemnify, and shall make payment in respect thereof within 10 days after demand therefor, (x) the Agent against any Indemnified Taxes attributable to such Bank or such Fronting Bank (but only to the extent that the Borrower has not already indemnified the Agent for such Indemnified Taxes and without limiting the obligation of the Borrower to do so), (y) the Agent and the Borrower, as applicable, against any Taxes attributable to such Bank’s failure to comply with the provisions of §20.5(b) relating to the maintenance of a Participant Register and (z) the Agent and the Borrower, as applicable, against any Excluded Taxes attributable to such Bank or such Fronting Bank, in each case, that are payable or paid by the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Agent shall be conclusive absent manifest error. Each Bank and each Fronting Bank hereby authorizes the Agent to set off and apply any and all amounts at any time owing to such Bank or such Fronting Bank, as the case may be, under this Agreement or any other Loan Document against any amount due to the Agent under this clause (ii).</w:t>
      </w:r>
    </w:p>
    <w:p>
      <w:pPr>
        <w:spacing w:after="0" w:line="179" w:lineRule="exact"/>
        <w:rPr>
          <w:rFonts w:ascii="Times New Roman" w:cs="Times New Roman" w:eastAsia="Times New Roman" w:hAnsi="Times New Roman"/>
          <w:sz w:val="21"/>
          <w:szCs w:val="21"/>
          <w:color w:val="010000"/>
        </w:rPr>
      </w:pPr>
    </w:p>
    <w:p>
      <w:pPr>
        <w:jc w:val="both"/>
        <w:ind w:firstLine="1304"/>
        <w:spacing w:after="0" w:line="243" w:lineRule="auto"/>
        <w:tabs>
          <w:tab w:leader="none" w:pos="1764" w:val="left"/>
        </w:tabs>
        <w:numPr>
          <w:ilvl w:val="0"/>
          <w:numId w:val="1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Upon request by the Borrower or the Agent, as the case may be, after any payment of Taxes by the Borrower or by the Agent to a Governmental Authority as provided in this §5.2, the Borrower shall deliver to the Agent or the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Agent,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273" w:right="339" w:bottom="1440" w:gutter="0" w:footer="0" w:header="0"/>
        </w:sectPr>
      </w:pPr>
    </w:p>
    <w:bookmarkStart w:id="214" w:name="page215"/>
    <w:bookmarkEnd w:id="214"/>
    <w:p>
      <w:pPr>
        <w:ind w:left="640" w:hanging="456"/>
        <w:spacing w:after="0"/>
        <w:tabs>
          <w:tab w:leader="none" w:pos="640"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Status of Banks: Tax Documentation</w:t>
      </w:r>
    </w:p>
    <w:p>
      <w:pPr>
        <w:spacing w:after="0" w:line="233" w:lineRule="exact"/>
        <w:rPr>
          <w:rFonts w:ascii="Times New Roman" w:cs="Times New Roman" w:eastAsia="Times New Roman" w:hAnsi="Times New Roman"/>
          <w:sz w:val="22"/>
          <w:szCs w:val="22"/>
          <w:color w:val="010000"/>
        </w:rPr>
      </w:pPr>
    </w:p>
    <w:p>
      <w:pPr>
        <w:ind w:left="1480" w:hanging="648"/>
        <w:spacing w:after="0" w:line="247" w:lineRule="auto"/>
        <w:tabs>
          <w:tab w:leader="none" w:pos="1360" w:val="left"/>
        </w:tabs>
        <w:numPr>
          <w:ilvl w:val="1"/>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Bank that is entitled to an exemption from or reduction of withholding Tax with respect to payments made under any Loan Document shall deliver to the Borrower and the Agent, at the time or times prescribed by applicable Law or when reasonably requested by the Borrower or the Agent, such properly completed and executed documentation prescribed by applicable Law or reasonably requested by the Borrower or the Agent as will permit such payments to be made without withholding or at a reduced rate of withholding. In addition, any Bank, if reasonably requested by the Borrower or the Agent, shall deliver such other documentation prescribed by applicable Law or reasonably requested by the Borrower or the Agent as will enable the Borrower or the Agent to determine whether or not such Bank is subject to backup withholding or information reporting requirements. Notwithstanding anything to the contrary in the preceding two sentences, the completion, execution and submission of such documentation (other than such documentation either (x) set forth in §5.2(e)(ii)(A), (ii)(B) and (ii)(D) or (y) required by applicable Law other than the Code or the taxing authorities of the jurisdiction pursuant to such applicable Law to comply with the requirements for exemption or reduction of withholding tax in that jurisdiction) shall not be required if in any Bank’s reasonable judgment such completion, execution or submission would subject such Bank to any material unreimbursed cost or expense or would materially prejudice the legal or commercial position of such Bank.</w:t>
      </w:r>
    </w:p>
    <w:p>
      <w:pPr>
        <w:spacing w:after="0" w:line="177" w:lineRule="exact"/>
        <w:rPr>
          <w:rFonts w:ascii="Times New Roman" w:cs="Times New Roman" w:eastAsia="Times New Roman" w:hAnsi="Times New Roman"/>
          <w:sz w:val="22"/>
          <w:szCs w:val="22"/>
          <w:color w:val="010000"/>
        </w:rPr>
      </w:pPr>
    </w:p>
    <w:p>
      <w:pPr>
        <w:ind w:left="1320" w:hanging="488"/>
        <w:spacing w:after="0"/>
        <w:tabs>
          <w:tab w:leader="none" w:pos="1320" w:val="left"/>
        </w:tabs>
        <w:numPr>
          <w:ilvl w:val="1"/>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Without limiting the generality of the foregoing, in the event that the Borrower is a U.S. Person,</w:t>
      </w:r>
    </w:p>
    <w:p>
      <w:pPr>
        <w:spacing w:after="0" w:line="219" w:lineRule="exact"/>
        <w:rPr>
          <w:rFonts w:ascii="Times New Roman" w:cs="Times New Roman" w:eastAsia="Times New Roman" w:hAnsi="Times New Roman"/>
          <w:sz w:val="22"/>
          <w:szCs w:val="22"/>
          <w:color w:val="010000"/>
        </w:rPr>
      </w:pPr>
    </w:p>
    <w:p>
      <w:pPr>
        <w:ind w:left="2120" w:hanging="640"/>
        <w:spacing w:after="0" w:line="243" w:lineRule="auto"/>
        <w:tabs>
          <w:tab w:leader="none" w:pos="2018"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Bank that is a U.S. Person shall deliver to the Borrower and the Agent on or prior to the date on which such Bank becomes a Bank under this Agreement (and from time to time thereafter upon the reasonable request of the Borrower or the Agent), executed copies of IRS Form W-9 certifying that such Bank is exempt from U.S. federal backup withholding tax;</w:t>
      </w:r>
    </w:p>
    <w:p>
      <w:pPr>
        <w:spacing w:after="0" w:line="177" w:lineRule="exact"/>
        <w:rPr>
          <w:rFonts w:ascii="Times New Roman" w:cs="Times New Roman" w:eastAsia="Times New Roman" w:hAnsi="Times New Roman"/>
          <w:sz w:val="22"/>
          <w:szCs w:val="22"/>
          <w:color w:val="auto"/>
        </w:rPr>
      </w:pPr>
    </w:p>
    <w:p>
      <w:pPr>
        <w:ind w:left="2120" w:hanging="640"/>
        <w:spacing w:after="0" w:line="247" w:lineRule="auto"/>
        <w:tabs>
          <w:tab w:leader="none" w:pos="2015"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Agent (in such number of copies as shall be requested by the recipient) on or prior to the date on which such Foreign Lender becomes a Bank under this Agreement (and from time to time thereafter upon the reasonable request of the Borrower or the Agent),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0120"/>
          </w:cols>
          <w:pgMar w:left="1440" w:top="1273" w:right="339" w:bottom="1440" w:gutter="0" w:footer="0" w:header="0"/>
        </w:sectPr>
      </w:pPr>
    </w:p>
    <w:bookmarkStart w:id="215" w:name="page216"/>
    <w:bookmarkEnd w:id="215"/>
    <w:p>
      <w:pPr>
        <w:ind w:left="2780" w:hanging="652"/>
        <w:spacing w:after="0" w:line="242" w:lineRule="auto"/>
        <w:tabs>
          <w:tab w:leader="none" w:pos="259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75" w:lineRule="exact"/>
        <w:rPr>
          <w:sz w:val="20"/>
          <w:szCs w:val="20"/>
          <w:color w:val="auto"/>
        </w:rPr>
      </w:pPr>
    </w:p>
    <w:p>
      <w:pPr>
        <w:ind w:left="2640" w:hanging="512"/>
        <w:spacing w:after="0"/>
        <w:tabs>
          <w:tab w:leader="none" w:pos="264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220" w:lineRule="exact"/>
        <w:rPr>
          <w:sz w:val="20"/>
          <w:szCs w:val="20"/>
          <w:color w:val="auto"/>
        </w:rPr>
      </w:pPr>
    </w:p>
    <w:p>
      <w:pPr>
        <w:jc w:val="both"/>
        <w:ind w:left="2780" w:hanging="652"/>
        <w:spacing w:after="0" w:line="241" w:lineRule="auto"/>
        <w:tabs>
          <w:tab w:leader="none" w:pos="275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2"/>
          <w:szCs w:val="22"/>
          <w:u w:val="single" w:color="auto"/>
          <w:color w:val="auto"/>
        </w:rPr>
        <w:t>Exhibit H-1</w:t>
      </w:r>
      <w:r>
        <w:rPr>
          <w:rFonts w:ascii="Times New Roman" w:cs="Times New Roman" w:eastAsia="Times New Roman" w:hAnsi="Times New Roman"/>
          <w:sz w:val="22"/>
          <w:szCs w:val="22"/>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2"/>
          <w:szCs w:val="22"/>
          <w:u w:val="single" w:color="auto"/>
          <w:color w:val="auto"/>
        </w:rPr>
        <w:t>U.S.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and (y) executed copies of IRS Form W-8BENE (or W-8BEN, as applicable); or</w:t>
      </w:r>
    </w:p>
    <w:p>
      <w:pPr>
        <w:spacing w:after="0" w:line="182" w:lineRule="exact"/>
        <w:rPr>
          <w:sz w:val="20"/>
          <w:szCs w:val="20"/>
          <w:color w:val="auto"/>
        </w:rPr>
      </w:pPr>
    </w:p>
    <w:p>
      <w:pPr>
        <w:jc w:val="both"/>
        <w:ind w:left="2780" w:hanging="647"/>
        <w:spacing w:after="0" w:line="242" w:lineRule="auto"/>
        <w:tabs>
          <w:tab w:leader="none" w:pos="2760" w:val="left"/>
        </w:tabs>
        <w:rPr>
          <w:sz w:val="20"/>
          <w:szCs w:val="20"/>
          <w:color w:val="auto"/>
        </w:rPr>
      </w:pPr>
      <w:r>
        <w:rPr>
          <w:rFonts w:ascii="Times New Roman" w:cs="Times New Roman" w:eastAsia="Times New Roman" w:hAnsi="Times New Roman"/>
          <w:sz w:val="22"/>
          <w:szCs w:val="22"/>
          <w:color w:val="auto"/>
        </w:rPr>
        <w:t>(IV)</w:t>
        <w:tab/>
        <w:t xml:space="preserve">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H-3</w:t>
      </w:r>
      <w:r>
        <w:rPr>
          <w:rFonts w:ascii="Times New Roman" w:cs="Times New Roman" w:eastAsia="Times New Roman" w:hAnsi="Times New Roman"/>
          <w:sz w:val="22"/>
          <w:szCs w:val="22"/>
          <w:color w:val="auto"/>
        </w:rPr>
        <w:t xml:space="preserve">,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2"/>
          <w:szCs w:val="22"/>
          <w:u w:val="single" w:color="auto"/>
          <w:color w:val="auto"/>
        </w:rPr>
        <w:t>Exhibit H-4</w:t>
      </w:r>
      <w:r>
        <w:rPr>
          <w:rFonts w:ascii="Times New Roman" w:cs="Times New Roman" w:eastAsia="Times New Roman" w:hAnsi="Times New Roman"/>
          <w:sz w:val="22"/>
          <w:szCs w:val="22"/>
          <w:color w:val="auto"/>
        </w:rPr>
        <w:t xml:space="preserve"> on behalf of each such direct and indirect partner;</w:t>
      </w:r>
    </w:p>
    <w:p>
      <w:pPr>
        <w:spacing w:after="0" w:line="188" w:lineRule="exact"/>
        <w:rPr>
          <w:sz w:val="20"/>
          <w:szCs w:val="20"/>
          <w:color w:val="auto"/>
        </w:rPr>
      </w:pPr>
    </w:p>
    <w:p>
      <w:pPr>
        <w:ind w:left="2120" w:hanging="640"/>
        <w:spacing w:after="0" w:line="263" w:lineRule="auto"/>
        <w:tabs>
          <w:tab w:leader="none" w:pos="2015"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Agent (in such number of copies as shall be requested by the recipient) on or prior to the date on which such Foreign Lender becomes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0120"/>
          </w:cols>
          <w:pgMar w:left="1440" w:top="1273" w:right="339" w:bottom="1440" w:gutter="0" w:footer="0" w:header="0"/>
        </w:sectPr>
      </w:pPr>
    </w:p>
    <w:bookmarkStart w:id="216" w:name="page217"/>
    <w:bookmarkEnd w:id="216"/>
    <w:p>
      <w:pPr>
        <w:jc w:val="both"/>
        <w:ind w:left="2120"/>
        <w:spacing w:after="0" w:line="251" w:lineRule="auto"/>
        <w:rPr>
          <w:sz w:val="20"/>
          <w:szCs w:val="20"/>
          <w:color w:val="auto"/>
        </w:rPr>
      </w:pPr>
      <w:r>
        <w:rPr>
          <w:rFonts w:ascii="Times New Roman" w:cs="Times New Roman" w:eastAsia="Times New Roman" w:hAnsi="Times New Roman"/>
          <w:sz w:val="22"/>
          <w:szCs w:val="22"/>
          <w:color w:val="auto"/>
        </w:rPr>
        <w:t>Bank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95" w:lineRule="exact"/>
        <w:rPr>
          <w:sz w:val="20"/>
          <w:szCs w:val="20"/>
          <w:color w:val="auto"/>
        </w:rPr>
      </w:pPr>
    </w:p>
    <w:p>
      <w:pPr>
        <w:jc w:val="both"/>
        <w:ind w:left="2120" w:hanging="640"/>
        <w:spacing w:after="0" w:line="261" w:lineRule="auto"/>
        <w:tabs>
          <w:tab w:leader="none" w:pos="2077"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Bank has complied with such Bank’s obligations under FATCA or to determine the amount to deduct and withhold from such payment. Solely for purposes of this clause (D), “FATCA” shall include any amendments made to FATCA after the date of this Agreement.</w:t>
      </w:r>
    </w:p>
    <w:p>
      <w:pPr>
        <w:spacing w:after="0" w:line="169" w:lineRule="exact"/>
        <w:rPr>
          <w:rFonts w:ascii="Times New Roman" w:cs="Times New Roman" w:eastAsia="Times New Roman" w:hAnsi="Times New Roman"/>
          <w:sz w:val="21"/>
          <w:szCs w:val="21"/>
          <w:color w:val="auto"/>
        </w:rPr>
      </w:pPr>
    </w:p>
    <w:p>
      <w:pPr>
        <w:jc w:val="both"/>
        <w:ind w:left="1480" w:hanging="648"/>
        <w:spacing w:after="0" w:line="257" w:lineRule="auto"/>
        <w:tabs>
          <w:tab w:leader="none" w:pos="1507" w:val="left"/>
        </w:tabs>
        <w:numPr>
          <w:ilvl w:val="0"/>
          <w:numId w:val="1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Bank agrees that if any form or certification it previously delivered pursuant to this §5.2 expires or becomes obsolete or inaccurate in any respect, it shall update such form or certification or promptly notify the Borrower and the Agent in writing of its legal inability to do so.</w:t>
      </w:r>
    </w:p>
    <w:p>
      <w:pPr>
        <w:spacing w:after="0" w:line="172" w:lineRule="exact"/>
        <w:rPr>
          <w:rFonts w:ascii="Times New Roman" w:cs="Times New Roman" w:eastAsia="Times New Roman" w:hAnsi="Times New Roman"/>
          <w:sz w:val="22"/>
          <w:szCs w:val="22"/>
          <w:color w:val="010000"/>
        </w:rPr>
      </w:pPr>
    </w:p>
    <w:p>
      <w:pPr>
        <w:ind w:left="1480" w:hanging="648"/>
        <w:spacing w:after="0" w:line="250" w:lineRule="auto"/>
        <w:tabs>
          <w:tab w:leader="none" w:pos="1360" w:val="left"/>
        </w:tabs>
        <w:numPr>
          <w:ilvl w:val="0"/>
          <w:numId w:val="1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shall not be required to pay any amount pursuant to this §5.2 to any Recipient that is a Foreign Lender and that fails to comply with the requirements of this subsection (e). If any such Recipient fails to deliver the above forms or other documentation to the extent required hereunder, then the Borrower may withhold from such payment to such Recipient such amounts as are required by the Code. In the event of any such failure, if any Governmental Authority asserts that the Borrower did not properly withhold or backup withhold, as the case may be, any tax or other amount from payments made to or for the account of such Recipient,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0120"/>
          </w:cols>
          <w:pgMar w:left="1440" w:top="1287" w:right="339" w:bottom="1440" w:gutter="0" w:footer="0" w:header="0"/>
        </w:sectPr>
      </w:pPr>
    </w:p>
    <w:bookmarkStart w:id="217" w:name="page218"/>
    <w:bookmarkEnd w:id="217"/>
    <w:p>
      <w:pPr>
        <w:jc w:val="both"/>
        <w:ind w:left="2600"/>
        <w:spacing w:after="0" w:line="253" w:lineRule="auto"/>
        <w:rPr>
          <w:sz w:val="20"/>
          <w:szCs w:val="20"/>
          <w:color w:val="auto"/>
        </w:rPr>
      </w:pPr>
      <w:r>
        <w:rPr>
          <w:rFonts w:ascii="Times New Roman" w:cs="Times New Roman" w:eastAsia="Times New Roman" w:hAnsi="Times New Roman"/>
          <w:sz w:val="22"/>
          <w:szCs w:val="22"/>
          <w:color w:val="auto"/>
        </w:rPr>
        <w:t>Recipient shall indemnify the Borrower therefor, including all penalties and interest, any taxes imposed by any jurisdiction on the amounts payable by or to the Borrower under this §5.2, and costs and expenses (including all fees and disbursements of any law firm or other external counsel and the allocated cost of internal legal services and all disbursements of internal counsel) of the Borrower.</w:t>
      </w:r>
    </w:p>
    <w:p>
      <w:pPr>
        <w:spacing w:after="0" w:line="179" w:lineRule="exact"/>
        <w:rPr>
          <w:sz w:val="20"/>
          <w:szCs w:val="20"/>
          <w:color w:val="auto"/>
        </w:rPr>
      </w:pPr>
    </w:p>
    <w:p>
      <w:pPr>
        <w:ind w:left="2600" w:hanging="648"/>
        <w:spacing w:after="0" w:line="256" w:lineRule="auto"/>
        <w:tabs>
          <w:tab w:leader="none" w:pos="2474" w:val="left"/>
        </w:tabs>
        <w:numPr>
          <w:ilvl w:val="1"/>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determining withholding Taxes imposed under FATCA, from and after the Closing Date, the Borrower and the Agent shall treat (and the Banks hereby authorize the Agent to treat) this Agreement as not qualifying as a “grandfathered obligation” within the meaning of Treasury Regulation Section 1.1471-2(b)(2)(i).</w:t>
      </w:r>
    </w:p>
    <w:p>
      <w:pPr>
        <w:spacing w:after="0" w:line="176" w:lineRule="exact"/>
        <w:rPr>
          <w:rFonts w:ascii="Times New Roman" w:cs="Times New Roman" w:eastAsia="Times New Roman" w:hAnsi="Times New Roman"/>
          <w:sz w:val="22"/>
          <w:szCs w:val="22"/>
          <w:color w:val="010000"/>
        </w:rPr>
      </w:pPr>
    </w:p>
    <w:p>
      <w:pPr>
        <w:jc w:val="both"/>
        <w:ind w:firstLine="1304"/>
        <w:spacing w:after="0" w:line="247" w:lineRule="auto"/>
        <w:tabs>
          <w:tab w:leader="none" w:pos="1836" w:val="left"/>
        </w:tabs>
        <w:numPr>
          <w:ilvl w:val="0"/>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Unless required by applicable Laws, at no time shall the Agent have any obligation to file for or otherwise pursue on behalf of a Bank or a Fronting Bank, or have any obligation to pay to any Bank or any Fronting Bank, any refund of Taxes withheld or deducted from funds paid for the account of such Bank or such Fronting Bank, as the case may be. If any Recipient has received a refund of any Taxes as to which it has been indemnified by the Borrower or with respect to which the Borrower has paid additional amounts pursuant to this §5.2, it shall pay to the Borrower an amount equal to such refund (but only to the extent of indemnity payments made, or additional amounts paid, by the Borrower under this §5.2 with respect to the Taxes giving rise to such refund), net of all out-of-pocket expenses incurred by such Recipient,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upon the request of the Recipient, agrees to repay the amount paid over to the Borrower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194"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831" w:val="left"/>
        </w:tabs>
        <w:numPr>
          <w:ilvl w:val="0"/>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Banks’ Confirmation</w:t>
      </w:r>
      <w:r>
        <w:rPr>
          <w:rFonts w:ascii="Times New Roman" w:cs="Times New Roman" w:eastAsia="Times New Roman" w:hAnsi="Times New Roman"/>
          <w:sz w:val="22"/>
          <w:szCs w:val="22"/>
          <w:color w:val="auto"/>
        </w:rPr>
        <w:t>. The Banks, each severally as to itself, hereby certify that on and as of the Effective Date, no payment, or withholding or deduction of amounts, by the Borrower (or the Agent, as applicable) is required pursuant to the terms of this §5.2. To the Banks’ knowledge, each severally as to itself, no such payments, withholding or deduction would be required pursuant to this §5.2 in the absence of a Change of Law as set forth in §5.6 below. In no event shall the Borrower have any obligation to pay any payments to, or for the benefit of, any Delinquent Bank, pursuant to this §5.2.</w:t>
      </w:r>
    </w:p>
    <w:p>
      <w:pPr>
        <w:spacing w:after="0" w:line="178" w:lineRule="exact"/>
        <w:rPr>
          <w:rFonts w:ascii="Times New Roman" w:cs="Times New Roman" w:eastAsia="Times New Roman" w:hAnsi="Times New Roman"/>
          <w:sz w:val="22"/>
          <w:szCs w:val="22"/>
          <w:color w:val="010000"/>
        </w:rPr>
      </w:pPr>
    </w:p>
    <w:p>
      <w:pPr>
        <w:ind w:firstLine="1304"/>
        <w:spacing w:after="0" w:line="271" w:lineRule="auto"/>
        <w:tabs>
          <w:tab w:leader="none" w:pos="1764" w:val="left"/>
        </w:tabs>
        <w:numPr>
          <w:ilvl w:val="0"/>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Each party’s obligations under this §5.2 shall survive the resignation or replacement of the Agent or any assignment of rights by, or the replacement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287" w:right="339" w:bottom="1440" w:gutter="0" w:footer="0" w:header="0"/>
        </w:sectPr>
      </w:pPr>
    </w:p>
    <w:bookmarkStart w:id="218" w:name="page219"/>
    <w:bookmarkEnd w:id="218"/>
    <w:p>
      <w:pPr>
        <w:jc w:val="both"/>
        <w:spacing w:after="0" w:line="284" w:lineRule="auto"/>
        <w:rPr>
          <w:sz w:val="20"/>
          <w:szCs w:val="20"/>
          <w:color w:val="auto"/>
        </w:rPr>
      </w:pPr>
      <w:r>
        <w:rPr>
          <w:rFonts w:ascii="Times New Roman" w:cs="Times New Roman" w:eastAsia="Times New Roman" w:hAnsi="Times New Roman"/>
          <w:sz w:val="22"/>
          <w:szCs w:val="22"/>
          <w:color w:val="auto"/>
        </w:rPr>
        <w:t>Bank or a Fronting Bank, the termination of the Commitments and the repayment, satisfaction or discharge of all other Obligations.</w:t>
      </w:r>
    </w:p>
    <w:p>
      <w:pPr>
        <w:spacing w:after="0" w:line="14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010000"/>
        </w:rPr>
        <w:t xml:space="preserve">§5.3 </w:t>
      </w:r>
      <w:r>
        <w:rPr>
          <w:rFonts w:ascii="Times New Roman" w:cs="Times New Roman" w:eastAsia="Times New Roman" w:hAnsi="Times New Roman"/>
          <w:sz w:val="21"/>
          <w:szCs w:val="21"/>
          <w:u w:val="single" w:color="auto"/>
          <w:color w:val="000000"/>
        </w:rPr>
        <w:t>Computations.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All computations of interest for Base Rate Loans (including Base Rate Loans determined by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reference to Term SOFR</w:t>
      </w:r>
      <w:r>
        <w:rPr>
          <w:rFonts w:ascii="Times New Roman" w:cs="Times New Roman" w:eastAsia="Times New Roman" w:hAnsi="Times New Roman"/>
          <w:sz w:val="21"/>
          <w:szCs w:val="21"/>
          <w:color w:val="FF0000"/>
          <w:strike w:val="1"/>
        </w:rPr>
        <w:t>) and for Loans denominated in Alternative Currencies (other than Alternative Currency Loans with</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respect to EURIBOR</w:t>
      </w:r>
      <w:r>
        <w:rPr>
          <w:rFonts w:ascii="Times New Roman" w:cs="Times New Roman" w:eastAsia="Times New Roman" w:hAnsi="Times New Roman"/>
          <w:sz w:val="21"/>
          <w:szCs w:val="21"/>
          <w:color w:val="000000"/>
        </w:rPr>
        <w:t>) shall be made on the basis of a year of 365 or 366 days, as the case may be, and actual days elapsed</w:t>
      </w:r>
      <w:r>
        <w:rPr>
          <w:rFonts w:ascii="Times New Roman" w:cs="Times New Roman" w:eastAsia="Times New Roman" w:hAnsi="Times New Roman"/>
          <w:sz w:val="21"/>
          <w:szCs w:val="21"/>
          <w:color w:val="FF0000"/>
          <w:strike w:val="1"/>
        </w:rPr>
        <w:t>, or, in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the case</w:t>
      </w:r>
      <w:r>
        <w:rPr>
          <w:rFonts w:ascii="Times New Roman" w:cs="Times New Roman" w:eastAsia="Times New Roman" w:hAnsi="Times New Roman"/>
          <w:sz w:val="21"/>
          <w:szCs w:val="21"/>
          <w:u w:val="single" w:color="auto"/>
          <w:color w:val="0000FF"/>
        </w:rPr>
        <w:t>. All computations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of interest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in respect of Loans and Letters of Credit denominated in</w:t>
      </w:r>
      <w:r>
        <w:rPr>
          <w:rFonts w:ascii="Times New Roman" w:cs="Times New Roman" w:eastAsia="Times New Roman" w:hAnsi="Times New Roman"/>
          <w:sz w:val="21"/>
          <w:szCs w:val="21"/>
          <w:u w:val="single" w:color="auto"/>
          <w:color w:val="0000FF"/>
        </w:rPr>
        <w:t>for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Alternative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Currencies as to</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which market practice differs from the foregoing, in accordance with such market practice</w:t>
      </w:r>
      <w:r>
        <w:rPr>
          <w:rFonts w:ascii="Times New Roman" w:cs="Times New Roman" w:eastAsia="Times New Roman" w:hAnsi="Times New Roman"/>
          <w:sz w:val="21"/>
          <w:szCs w:val="21"/>
          <w:u w:val="single" w:color="auto"/>
          <w:color w:val="0000FF"/>
          <w:strike w:val="1"/>
        </w:rPr>
        <w:t>Currency Loans shall be made on the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basis of a year as set forth on Schedule 5.3 for such Alternate Currency and actual days elapsed</w:t>
      </w:r>
      <w:r>
        <w:rPr>
          <w:rFonts w:ascii="Times New Roman" w:cs="Times New Roman" w:eastAsia="Times New Roman" w:hAnsi="Times New Roman"/>
          <w:sz w:val="21"/>
          <w:szCs w:val="21"/>
          <w:color w:val="000000"/>
          <w:strike w:val="1"/>
        </w:rPr>
        <w:t>. All other computations of fees</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 xml:space="preserve">and interest, including those with respect to Daily SOFR Loans, </w:t>
      </w:r>
      <w:r>
        <w:rPr>
          <w:rFonts w:ascii="Times New Roman" w:cs="Times New Roman" w:eastAsia="Times New Roman" w:hAnsi="Times New Roman"/>
          <w:sz w:val="21"/>
          <w:szCs w:val="21"/>
          <w:color w:val="FF0000"/>
          <w:strike w:val="1"/>
        </w:rPr>
        <w:t>Term SOFR Loans and Alternative Currency Loans determined</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FF0000"/>
          <w:strike w:val="1"/>
        </w:rPr>
        <w:t xml:space="preserve">by reference to EURIBOR, </w:t>
      </w:r>
      <w:r>
        <w:rPr>
          <w:rFonts w:ascii="Times New Roman" w:cs="Times New Roman" w:eastAsia="Times New Roman" w:hAnsi="Times New Roman"/>
          <w:sz w:val="21"/>
          <w:szCs w:val="21"/>
          <w:color w:val="000000"/>
          <w:strike w:val="1"/>
        </w:rPr>
        <w:t>shall be made on the basis of a 360-day year and actual days elapsed (which results in more fees or</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interest, as applicable, being paid than if computed on the basis of a 365</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00"/>
          <w:strike w:val="1"/>
        </w:rPr>
        <w:t xml:space="preserve"> 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§5.1.1, bear interest for one day. Each determination by the </w:t>
      </w:r>
      <w:r>
        <w:rPr>
          <w:rFonts w:ascii="Times New Roman" w:cs="Times New Roman" w:eastAsia="Times New Roman" w:hAnsi="Times New Roman"/>
          <w:sz w:val="21"/>
          <w:szCs w:val="21"/>
          <w:u w:val="single" w:color="auto"/>
          <w:color w:val="0000FF"/>
          <w:strike w:val="1"/>
        </w:rPr>
        <w:t>Administrative</w:t>
      </w:r>
      <w:r>
        <w:rPr>
          <w:rFonts w:ascii="Times New Roman" w:cs="Times New Roman" w:eastAsia="Times New Roman" w:hAnsi="Times New Roman"/>
          <w:sz w:val="21"/>
          <w:szCs w:val="21"/>
          <w:color w:val="000000"/>
          <w:strike w:val="1"/>
        </w:rPr>
        <w:t xml:space="preserve"> Agent of an interest rate or fee hereunder shall be conclusive and binding for all purposes, absent manifest error. Except as otherwise provided in the definition of the term “Interest Period” with respect to Term Rate Loans, and except with respect to payments due on the Maturity Date, whenever a payment hereunder or under any of the other Loan Documents becomes due on a day that is not a Business Day, the due date for such payment shall be extended to the next succeeding Business Day, and interest shall accrue during such extension, but without double counting with respect to any other Interest Period. The outstanding amount of the Loans as reflected on the Note Records or record attached to any other Note from time to time shall constitute prima facie evidence of the principal amount thereof.</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§5.4 </w:t>
      </w:r>
      <w:r>
        <w:rPr>
          <w:rFonts w:ascii="Times New Roman" w:cs="Times New Roman" w:eastAsia="Times New Roman" w:hAnsi="Times New Roman"/>
          <w:sz w:val="22"/>
          <w:szCs w:val="22"/>
          <w:u w:val="single" w:color="auto"/>
          <w:color w:val="000000"/>
        </w:rPr>
        <w:t>Inability to Determine Rates; Replacement of SOFR or SOFR Successor Rate; Canadian Benchmark Replacement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Setting; Replacement of Relevant Rate or Successor Rate.</w:t>
      </w:r>
    </w:p>
    <w:p>
      <w:pPr>
        <w:spacing w:after="0" w:line="167" w:lineRule="exact"/>
        <w:rPr>
          <w:sz w:val="20"/>
          <w:szCs w:val="20"/>
          <w:color w:val="auto"/>
        </w:rPr>
      </w:pPr>
    </w:p>
    <w:p>
      <w:pPr>
        <w:jc w:val="both"/>
        <w:ind w:firstLine="1304"/>
        <w:spacing w:after="0" w:line="248" w:lineRule="auto"/>
        <w:tabs>
          <w:tab w:leader="none" w:pos="1779" w:val="left"/>
        </w:tabs>
        <w:numPr>
          <w:ilvl w:val="0"/>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Inability to Determine Rates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in connection with any request for a SOFR Loan or an Alternative Currency Loan, a conversion of Base Rate Loans or Term SOFR Loans to Daily SOFR Loans, a conversion of Base Rate Loans or Daily SOFR Loans to Term SOFR Loans or a continuation of any of such Loans, as applicable, (i) the Administrative Agent determines (which determination shall be conclusive absent manifest error) that (A) no Successor Rate for the Relevant Rate for the applicable Agreed Currency has been determined in accordance with §5.4(b), §5.4(c) or §5.4(d) and the circumstances under clause (i) of §5.4(b), or of §5.4(d) or the SOFR Scheduled Unavailability Date</w:t>
      </w:r>
      <w:r>
        <w:rPr>
          <w:rFonts w:ascii="Times New Roman" w:cs="Times New Roman" w:eastAsia="Times New Roman" w:hAnsi="Times New Roman"/>
          <w:sz w:val="22"/>
          <w:szCs w:val="22"/>
          <w:color w:val="FF0000"/>
          <w:strike w:val="1"/>
        </w:rPr>
        <w:t>, the CDOR Cessation Date</w:t>
      </w:r>
      <w:r>
        <w:rPr>
          <w:rFonts w:ascii="Times New Roman" w:cs="Times New Roman" w:eastAsia="Times New Roman" w:hAnsi="Times New Roman"/>
          <w:sz w:val="22"/>
          <w:szCs w:val="22"/>
          <w:color w:val="auto"/>
        </w:rPr>
        <w:t xml:space="preserve"> or the Scheduled Unavailability Date, </w:t>
      </w:r>
      <w:r>
        <w:rPr>
          <w:rFonts w:ascii="Times New Roman" w:cs="Times New Roman" w:eastAsia="Times New Roman" w:hAnsi="Times New Roman"/>
          <w:sz w:val="22"/>
          <w:szCs w:val="22"/>
          <w:u w:val="single" w:color="auto"/>
          <w:color w:val="0000FF"/>
        </w:rPr>
        <w:t>or a Canadian Transition Event,</w:t>
      </w:r>
      <w:r>
        <w:rPr>
          <w:rFonts w:ascii="Times New Roman" w:cs="Times New Roman" w:eastAsia="Times New Roman" w:hAnsi="Times New Roman"/>
          <w:sz w:val="22"/>
          <w:szCs w:val="22"/>
          <w:color w:val="auto"/>
        </w:rPr>
        <w:t xml:space="preserve"> as applicable,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SOFR Loan or an Alternative Currency Loan or in connection with an existing or proposed Base Rate Loan, or (ii) the Administrative Agent or the Required Banks determine for any reason that the Relevant Rate with respect to a proposed Loan denominated in an Agreed Currency for any requested Interest Period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287" w:right="339" w:bottom="1440" w:gutter="0" w:footer="0" w:header="0"/>
        </w:sectPr>
      </w:pPr>
    </w:p>
    <w:bookmarkStart w:id="219" w:name="page220"/>
    <w:bookmarkEnd w:id="219"/>
    <w:p>
      <w:pPr>
        <w:jc w:val="both"/>
        <w:spacing w:after="0" w:line="284" w:lineRule="auto"/>
        <w:rPr>
          <w:sz w:val="20"/>
          <w:szCs w:val="20"/>
          <w:color w:val="auto"/>
        </w:rPr>
      </w:pPr>
      <w:r>
        <w:rPr>
          <w:rFonts w:ascii="Times New Roman" w:cs="Times New Roman" w:eastAsia="Times New Roman" w:hAnsi="Times New Roman"/>
          <w:sz w:val="22"/>
          <w:szCs w:val="22"/>
          <w:color w:val="auto"/>
        </w:rPr>
        <w:t>determination date(s) does not adequately and fairly reflect the cost to such Banks of funding such Loan, the Administrative Agent will promptly so notify the Borrower and each Bank.</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Thereafter, (x) the obligation of the Banks to make or maintain Loans in the affected currency(ies), as applicable, or to convert Base Rate Loans or Term SOFR Loans to Daily SOFR Loans or to convert Base Rate Loans or Daily SOFR Loans to Term SOFR Loans, shall be suspended in each case to the extent of the affected Alternative Currency Loans or Interest Period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Banks described in clause (ii) of this </w:t>
      </w:r>
      <w:r>
        <w:rPr>
          <w:rFonts w:ascii="Times New Roman" w:cs="Times New Roman" w:eastAsia="Times New Roman" w:hAnsi="Times New Roman"/>
          <w:sz w:val="21"/>
          <w:szCs w:val="21"/>
          <w:u w:val="single" w:color="auto"/>
          <w:color w:val="auto"/>
        </w:rPr>
        <w:t>§5.4(a)</w:t>
      </w:r>
      <w:r>
        <w:rPr>
          <w:rFonts w:ascii="Times New Roman" w:cs="Times New Roman" w:eastAsia="Times New Roman" w:hAnsi="Times New Roman"/>
          <w:sz w:val="21"/>
          <w:szCs w:val="21"/>
          <w:color w:val="auto"/>
        </w:rPr>
        <w:t>, until the Administrative Agent upon instruction of the Required Banks) revokes such notice.</w:t>
      </w:r>
    </w:p>
    <w:p>
      <w:pPr>
        <w:spacing w:after="0" w:line="1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Upon receipt of such notice, (i) the Borrower may revoke any pending request for a borrowing of, or conversion to Daily SOFR Loans, or borrowing of, conversion to, or continuation of Term SOFR Loans, or borrowing of, or continuation of Alternative Currency Loans to the extent of the affected Alternative Currency Loans or Interest Periods or determination date(s), as applicable or, failing that, will be deemed to have converted such request into a request for a borrowing of Base Rate Loans denominated in Dollars in the Dollar Equivalent of the amount specified therein and (ii) (A) any outstanding SOFR Loans shall be deemed to have been converted to Base Rate Loans immediately, in the case of a Daily SOFR Loan, or at the end of the applicable Interest Period, in the case of a Term SOFR Loan, and (B) any outstanding affected Alternative Currency Loans, at the Borrower’s election, shall either (1) 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no election is made by the Borrower (x) in the case of an Alternative Currency Daily Rate Loan, by the date that is three (3) Business Days after receipt by the Borrower of such notice or (y) in the case of an Alternative Currency Term Rate Loan, by the last day of the current Interest Period for the applicable Alternative Currency Term Rate Loan, the Borrower shall be deemed to have elected clause (1) above.</w:t>
      </w:r>
    </w:p>
    <w:p>
      <w:pPr>
        <w:spacing w:after="0" w:line="180" w:lineRule="exact"/>
        <w:rPr>
          <w:sz w:val="20"/>
          <w:szCs w:val="20"/>
          <w:color w:val="auto"/>
        </w:rPr>
      </w:pPr>
    </w:p>
    <w:p>
      <w:pPr>
        <w:jc w:val="both"/>
        <w:ind w:firstLine="1304"/>
        <w:spacing w:after="0" w:line="252" w:lineRule="auto"/>
        <w:tabs>
          <w:tab w:leader="none" w:pos="1764" w:val="left"/>
        </w:tabs>
        <w:numPr>
          <w:ilvl w:val="0"/>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Replacement of SOFR or SOFR Successor Rate</w:t>
      </w:r>
      <w:r>
        <w:rPr>
          <w:rFonts w:ascii="Times New Roman" w:cs="Times New Roman" w:eastAsia="Times New Roman" w:hAnsi="Times New Roman"/>
          <w:sz w:val="22"/>
          <w:szCs w:val="22"/>
          <w:color w:val="auto"/>
        </w:rPr>
        <w:t>. Notwithstanding anything to the contrary in this Agreement or any other Loan Documents, if the Administrative Agent determines (which determination shall be conclusive absent manifest error), or the Borrower or Required Banks notify(ies) the Administrative Agent (with, in the case of the Required Banks, a copy to the Borrower) that the Borrower or Required Banks (as applicable) have determined, that:</w:t>
      </w:r>
    </w:p>
    <w:p>
      <w:pPr>
        <w:spacing w:after="0" w:line="193" w:lineRule="exact"/>
        <w:rPr>
          <w:sz w:val="20"/>
          <w:szCs w:val="20"/>
          <w:color w:val="auto"/>
        </w:rPr>
      </w:pPr>
    </w:p>
    <w:p>
      <w:pPr>
        <w:jc w:val="both"/>
        <w:ind w:left="660" w:firstLine="644"/>
        <w:spacing w:after="0" w:line="257" w:lineRule="auto"/>
        <w:tabs>
          <w:tab w:leader="none" w:pos="184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adequate and reasonable means do not exist for ascertaining SOFR and one month, three month and six month Interest Periods of Term SOFR, including, without limitation, because SOFR or the Term SOFR Screen Rate, as applicable, is not available or published on a current basis and such circumstances are unlikely to be temporary;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287" w:right="339" w:bottom="1440" w:gutter="0" w:footer="0" w:header="0"/>
        </w:sectPr>
      </w:pPr>
    </w:p>
    <w:bookmarkStart w:id="220" w:name="page221"/>
    <w:bookmarkEnd w:id="220"/>
    <w:p>
      <w:pPr>
        <w:jc w:val="both"/>
        <w:ind w:left="660" w:firstLine="644"/>
        <w:spacing w:after="0" w:line="250" w:lineRule="auto"/>
        <w:tabs>
          <w:tab w:leader="none" w:pos="181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Authority has made a public statement identifying a specific date after which SOFR and one month, three month and six month Interest Periods for Term SOFR or the Term SOFR Screen Rate, as applicable, shall or will no longer be made available, or permitted to be used for determining the interest rate of syndicated loans denominated in Dollars, or shall or will otherwise cease, provided that, in each case, at the time of such statement, there are no successor administrators that are satisfactory to the Administrative Agent that will continue to provide SOFR or such Interest Periods for Term SOFR, as applicable, after such specific date (the latest date on which SOFR or one month, three month and six month Interest Periods of Term SOFR or the Term SOFR Screen Rate are no longer available permanently or indefinitely, the “</w:t>
      </w:r>
      <w:r>
        <w:rPr>
          <w:rFonts w:ascii="Times New Roman" w:cs="Times New Roman" w:eastAsia="Times New Roman" w:hAnsi="Times New Roman"/>
          <w:sz w:val="22"/>
          <w:szCs w:val="22"/>
          <w:u w:val="single" w:color="auto"/>
          <w:color w:val="auto"/>
        </w:rPr>
        <w:t>SOFR Scheduled Unavailability Date</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1"/>
          <w:szCs w:val="21"/>
          <w:color w:val="auto"/>
        </w:rPr>
        <w:t>or if the events or circumstances of the type described in §5.4(b)(i) or (ii) have occurred with respect to the SOFR Successor Rate then in effect, then in each case, the Administrative Agent and the Borrower may amend this Agreement solely for the purpose of replacing SOFR and/or Term SOFR for Dollars or any then current SOFR Successor Rate for Dollars in accordance with this §5.4 with an alternative benchmark rate giving due consideration to any evolving or then existing convention for similar credit facilities syndicated and agented in the United States and denominated in Dollars for such alternative benchmarks, and, in each case, including, without duplication, any mathematical or other adjustments to such benchmark giving due consideration to any evolving or then existing convention for similar credit facilities syndicated and agented in the United States and denominated in Dollars for such benchmarks (any such proposed rate, including for the avoidance of doubt, any adjustment thereto, a “</w:t>
      </w:r>
      <w:r>
        <w:rPr>
          <w:rFonts w:ascii="Times New Roman" w:cs="Times New Roman" w:eastAsia="Times New Roman" w:hAnsi="Times New Roman"/>
          <w:sz w:val="21"/>
          <w:szCs w:val="21"/>
          <w:u w:val="single" w:color="auto"/>
          <w:color w:val="auto"/>
        </w:rPr>
        <w:t>SOFR Successor Rate</w:t>
      </w:r>
      <w:r>
        <w:rPr>
          <w:rFonts w:ascii="Times New Roman" w:cs="Times New Roman" w:eastAsia="Times New Roman" w:hAnsi="Times New Roman"/>
          <w:sz w:val="21"/>
          <w:szCs w:val="21"/>
          <w:color w:val="auto"/>
        </w:rPr>
        <w:t>”), and any such amendment shall become effective at 5:00 p.m. on the fifth Business Day after the Administrative Agent shall have posted such proposed amendment to all Banks and the Borrower unless, prior to such time, Banks comprising the Required Banks have delivered to the Administrative Agent written notice that such Required Banks object to such amendment.</w:t>
      </w:r>
    </w:p>
    <w:p>
      <w:pPr>
        <w:spacing w:after="0" w:line="170" w:lineRule="exact"/>
        <w:rPr>
          <w:sz w:val="20"/>
          <w:szCs w:val="20"/>
          <w:color w:val="auto"/>
        </w:rPr>
      </w:pPr>
    </w:p>
    <w:p>
      <w:pPr>
        <w:ind w:left="1760" w:hanging="456"/>
        <w:spacing w:after="0"/>
        <w:tabs>
          <w:tab w:leader="none" w:pos="1760" w:val="left"/>
        </w:tabs>
        <w:numPr>
          <w:ilvl w:val="0"/>
          <w:numId w:val="181"/>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u w:val="single" w:color="auto"/>
          <w:color w:val="auto"/>
        </w:rPr>
        <w:t>Canadian Benchmark Replacement Setting.</w:t>
      </w:r>
      <w:r>
        <w:rPr>
          <w:rFonts w:ascii="Times New Roman" w:cs="Times New Roman" w:eastAsia="Times New Roman" w:hAnsi="Times New Roman"/>
          <w:sz w:val="22"/>
          <w:szCs w:val="22"/>
          <w:color w:val="auto"/>
        </w:rPr>
        <w:t xml:space="preserve"> Notwithstanding anything to the contrary herein or in any other</w:t>
      </w:r>
    </w:p>
    <w:p>
      <w:pPr>
        <w:spacing w:after="0" w:line="29"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Loan Document:</w:t>
      </w:r>
    </w:p>
    <w:p>
      <w:pPr>
        <w:spacing w:after="0" w:line="207" w:lineRule="exact"/>
        <w:rPr>
          <w:sz w:val="20"/>
          <w:szCs w:val="20"/>
          <w:color w:val="auto"/>
        </w:rPr>
      </w:pPr>
    </w:p>
    <w:p>
      <w:pPr>
        <w:jc w:val="both"/>
        <w:ind w:left="660" w:firstLine="644"/>
        <w:spacing w:after="0" w:line="249" w:lineRule="auto"/>
        <w:tabs>
          <w:tab w:leader="none" w:pos="2011" w:val="left"/>
        </w:tabs>
        <w:numPr>
          <w:ilvl w:val="0"/>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FF0000"/>
          <w:strike w:val="1"/>
        </w:rPr>
        <w:t>Replacing CDOR. On May 16, 2022 Refinitiv Benchmark Services (UK) Limited (“RBSL”), the administrator of CDOR, announced in a public statement that the calculation and publication of all tenors of CDOR will permanently cease immediately following a final publication on Friday, June 28, 2024. On the earlier of (A) the date that all Available Tenors of CDOR have either permanently or indefinitely ceased to be provided by RBSL and (B) June 28, 2024 (the “CDOR Cessation Date”), if the then-current Canadian Benchmark is CDOR, the Canadian Benchmark Replacement will replace such Canadian Benchmark for all purposes hereunder and under any Loan Document in respect of any setting of such Canadian Benchmark on such day and all subsequent settings without any amendment to, or further action or consent of any other party to this Agreement or any other Loan Document. If the Canadian Benchmark Replacement is Daily Compounded CORRA, all interest payments will be payable on a monthly basis.</w:t>
      </w:r>
      <w:r>
        <w:rPr>
          <w:rFonts w:ascii="Times New Roman" w:cs="Times New Roman" w:eastAsia="Times New Roman" w:hAnsi="Times New Roman"/>
          <w:sz w:val="22"/>
          <w:szCs w:val="22"/>
          <w:color w:val="0000FF"/>
          <w:strike w:val="1"/>
        </w:rPr>
        <w:t>[Intentionally</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FF"/>
          <w:strike w:val="1"/>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287" w:right="339" w:bottom="1440" w:gutter="0" w:footer="0" w:header="0"/>
        </w:sectPr>
      </w:pPr>
    </w:p>
    <w:bookmarkStart w:id="221" w:name="page222"/>
    <w:bookmarkEnd w:id="221"/>
    <w:p>
      <w:pPr>
        <w:jc w:val="both"/>
        <w:ind w:left="-460" w:firstLine="644"/>
        <w:spacing w:after="0" w:line="260" w:lineRule="auto"/>
        <w:tabs>
          <w:tab w:leader="none" w:pos="708" w:val="left"/>
        </w:tabs>
        <w:numPr>
          <w:ilvl w:val="0"/>
          <w:numId w:val="1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Replacing Future Canadian Benchmarks.</w:t>
      </w:r>
      <w:r>
        <w:rPr>
          <w:rFonts w:ascii="Times New Roman" w:cs="Times New Roman" w:eastAsia="Times New Roman" w:hAnsi="Times New Roman"/>
          <w:sz w:val="21"/>
          <w:szCs w:val="21"/>
          <w:color w:val="auto"/>
        </w:rPr>
        <w:t xml:space="preserve"> Upon the occurrence of a Canadian Benchmark Transition Event, the Canadian Benchmark Replacement will replace the then-current Canadian Benchmark for all purposes hereunder and under any Loan Document in respect of any Canadian Benchmark setting at or after 5:00 p.m. on the fifth (5th) Business Day after the date notice of such Canadian Benchmark Replacement is provided to the Banks without any amendment to, or further action or consent of any other party to, this Agreement or any other Loan Document so long as the Administrative Agent has not received, by such time, written notice of objection to such Canadian Benchmark Replacement from Banks comprising the Required Banks. At any time that the administrator of the then-current Canadian Benchmark has permanently or indefinitely ceased to provide such Canadian Benchmark or such Canadian Benchmark has been announced by the administrator or the regulatory supervisor for the administrator of such Canadian Benchmark pursuant to public statement or publication of information to be no longer representative of the underlying market and economic reality that such Canadian Benchmark is intended to measure and that representativeness will not be restored, the Borrower may revoke any request for a borrowing of, conversion to or continuation of Loans denominated in Canadian Dollars to be made, converted or continued that would bear interest by reference to such Canadian Benchmark until the Borrower’s receipt of notice from the Administrative Agent that a Canadian Benchmark Replacement has replaced such Canadian Benchmark, and, failing that, the Borrower will be deemed to have converted any such request into a request for a borrowing of or conversion to Base Rate Loans in the Dollar Equivalent of the amount of such Loans.</w:t>
      </w:r>
    </w:p>
    <w:p>
      <w:pPr>
        <w:spacing w:after="0" w:line="174" w:lineRule="exact"/>
        <w:rPr>
          <w:rFonts w:ascii="Times New Roman" w:cs="Times New Roman" w:eastAsia="Times New Roman" w:hAnsi="Times New Roman"/>
          <w:sz w:val="21"/>
          <w:szCs w:val="21"/>
          <w:color w:val="010000"/>
        </w:rPr>
      </w:pPr>
    </w:p>
    <w:p>
      <w:pPr>
        <w:jc w:val="both"/>
        <w:ind w:left="-460" w:firstLine="644"/>
        <w:spacing w:after="0" w:line="253" w:lineRule="auto"/>
        <w:tabs>
          <w:tab w:leader="none" w:pos="903"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Canadian Benchmark Replacement Conforming Changes.</w:t>
      </w:r>
      <w:r>
        <w:rPr>
          <w:rFonts w:ascii="Times New Roman" w:cs="Times New Roman" w:eastAsia="Times New Roman" w:hAnsi="Times New Roman"/>
          <w:sz w:val="22"/>
          <w:szCs w:val="22"/>
          <w:color w:val="auto"/>
        </w:rPr>
        <w:t xml:space="preserve"> In connection with the implementation and administration of a Canadian Benchmark Replacement, the Administrative Agent will have the right to make Canadian Benchmark Replacement Conforming Changes from time to time and, notwithstanding anything to the contrary herein or in any other Loan Document, any amendments implementing such Canadian Benchmark Replacement Conforming Changes will become effective without any further action or consent of any other party to this Agreement.</w:t>
      </w:r>
    </w:p>
    <w:p>
      <w:pPr>
        <w:spacing w:after="0" w:line="178" w:lineRule="exact"/>
        <w:rPr>
          <w:rFonts w:ascii="Times New Roman" w:cs="Times New Roman" w:eastAsia="Times New Roman" w:hAnsi="Times New Roman"/>
          <w:sz w:val="22"/>
          <w:szCs w:val="22"/>
          <w:color w:val="010000"/>
        </w:rPr>
      </w:pPr>
    </w:p>
    <w:p>
      <w:pPr>
        <w:jc w:val="both"/>
        <w:ind w:left="-460" w:firstLine="644"/>
        <w:spacing w:after="0" w:line="250" w:lineRule="auto"/>
        <w:tabs>
          <w:tab w:leader="none" w:pos="783"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The Administrative Agent will promptly notify the Borrower and the Banks of (x) the implementation of any Canadian Benchmark Replacement</w:t>
      </w:r>
      <w:r>
        <w:rPr>
          <w:rFonts w:ascii="Times New Roman" w:cs="Times New Roman" w:eastAsia="Times New Roman" w:hAnsi="Times New Roman"/>
          <w:sz w:val="22"/>
          <w:szCs w:val="22"/>
          <w:color w:val="FF0000"/>
          <w:strike w:val="1"/>
        </w:rPr>
        <w:t>, (y) any occurrence of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Term CORRA Transition Event,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w:t>
      </w:r>
      <w:r>
        <w:rPr>
          <w:rFonts w:ascii="Times New Roman" w:cs="Times New Roman" w:eastAsia="Times New Roman" w:hAnsi="Times New Roman"/>
          <w:sz w:val="22"/>
          <w:szCs w:val="22"/>
          <w:color w:val="FF0000"/>
          <w:strike w:val="1"/>
        </w:rPr>
        <w:t>z)</w:t>
      </w:r>
      <w:r>
        <w:rPr>
          <w:rFonts w:ascii="Times New Roman" w:cs="Times New Roman" w:eastAsia="Times New Roman" w:hAnsi="Times New Roman"/>
          <w:sz w:val="22"/>
          <w:szCs w:val="22"/>
          <w:color w:val="0000FF"/>
        </w:rPr>
        <w:t>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effectiveness of any Canadian Benchmark Replacement Conforming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Changes. Any determination, decision or election that may be made by the Administrative Agent pursuant to this §5.4(c), including any determination with respect to a tenor, rate or adjustment or of the occurrence or non-occurrence of an event, circumstance or date and any decision to take or refrain from taking any action, will be conclusive and binding absent manifest error and may be made in its discretion and without consent from any other party hereto, except, in each case, as expressly required pursuant to this §5.4(c).</w:t>
      </w:r>
    </w:p>
    <w:p>
      <w:pPr>
        <w:spacing w:after="0" w:line="186" w:lineRule="exact"/>
        <w:rPr>
          <w:rFonts w:ascii="Times New Roman" w:cs="Times New Roman" w:eastAsia="Times New Roman" w:hAnsi="Times New Roman"/>
          <w:sz w:val="22"/>
          <w:szCs w:val="22"/>
          <w:color w:val="010000"/>
        </w:rPr>
      </w:pPr>
    </w:p>
    <w:p>
      <w:pPr>
        <w:jc w:val="both"/>
        <w:ind w:left="-460" w:firstLine="644"/>
        <w:spacing w:after="0" w:line="257" w:lineRule="auto"/>
        <w:tabs>
          <w:tab w:leader="none" w:pos="939"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Unavailability of Tenor of Canadian Benchmark.</w:t>
      </w:r>
      <w:r>
        <w:rPr>
          <w:rFonts w:ascii="Times New Roman" w:cs="Times New Roman" w:eastAsia="Times New Roman" w:hAnsi="Times New Roman"/>
          <w:sz w:val="22"/>
          <w:szCs w:val="22"/>
          <w:color w:val="auto"/>
        </w:rPr>
        <w:t xml:space="preserve"> At any time (including in connection with the implementation of a Canadian Benchmark Replacement), if the then-current Canadian Benchmark is a term rate (including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0120"/>
          </w:cols>
          <w:pgMar w:left="1440" w:top="1287" w:right="339" w:bottom="1440" w:gutter="0" w:footer="0" w:header="0"/>
        </w:sectPr>
      </w:pPr>
    </w:p>
    <w:bookmarkStart w:id="222" w:name="page223"/>
    <w:bookmarkEnd w:id="222"/>
    <w:p>
      <w:pPr>
        <w:ind w:left="660"/>
        <w:spacing w:after="0" w:line="261" w:lineRule="auto"/>
        <w:rPr>
          <w:sz w:val="20"/>
          <w:szCs w:val="20"/>
          <w:color w:val="auto"/>
        </w:rPr>
      </w:pPr>
      <w:r>
        <w:rPr>
          <w:rFonts w:ascii="Times New Roman" w:cs="Times New Roman" w:eastAsia="Times New Roman" w:hAnsi="Times New Roman"/>
          <w:sz w:val="22"/>
          <w:szCs w:val="22"/>
          <w:color w:val="auto"/>
        </w:rPr>
        <w:t xml:space="preserve">CORRA </w:t>
      </w:r>
      <w:r>
        <w:rPr>
          <w:rFonts w:ascii="Times New Roman" w:cs="Times New Roman" w:eastAsia="Times New Roman" w:hAnsi="Times New Roman"/>
          <w:sz w:val="22"/>
          <w:szCs w:val="22"/>
          <w:color w:val="FF0000"/>
        </w:rPr>
        <w:t>or CDOR</w:t>
      </w:r>
      <w:r>
        <w:rPr>
          <w:rFonts w:ascii="Times New Roman" w:cs="Times New Roman" w:eastAsia="Times New Roman" w:hAnsi="Times New Roman"/>
          <w:sz w:val="22"/>
          <w:szCs w:val="22"/>
          <w:color w:val="auto"/>
        </w:rPr>
        <w:t>), then (x) the Administrative Agent may remove any tenor of such Canadian Benchmark that is unavailable or non-representative for Canadian Benchmark (including Canadian Benchmark Replacement) settings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-254000</wp:posOffset>
            </wp:positionV>
            <wp:extent cx="6070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607060" cy="8890"/>
                    </a:xfrm>
                    <a:prstGeom prst="rect">
                      <a:avLst/>
                    </a:prstGeom>
                    <a:noFill/>
                  </pic:spPr>
                </pic:pic>
              </a:graphicData>
            </a:graphic>
          </wp:anchor>
        </w:drawing>
      </w:r>
    </w:p>
    <w:p>
      <w:pPr>
        <w:ind w:left="660" w:hanging="4"/>
        <w:spacing w:after="0" w:line="248" w:lineRule="auto"/>
        <w:tabs>
          <w:tab w:leader="none" w:pos="1009"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reinstate any such previously removed tenor for Canadian Benchmark (including Canadian Benchmark Replacement) settings.</w:t>
      </w:r>
    </w:p>
    <w:p>
      <w:pPr>
        <w:spacing w:after="0" w:line="182"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7" w:val="left"/>
        </w:tabs>
        <w:numPr>
          <w:ilvl w:val="1"/>
          <w:numId w:val="1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FF0000"/>
          <w:strike w:val="1"/>
        </w:rPr>
        <w:t xml:space="preserve">Secondary Term CORRA Conversion. </w:t>
      </w:r>
      <w:r>
        <w:rPr>
          <w:rFonts w:ascii="Times New Roman" w:cs="Times New Roman" w:eastAsia="Times New Roman" w:hAnsi="Times New Roman"/>
          <w:sz w:val="22"/>
          <w:szCs w:val="22"/>
          <w:color w:val="FF0000"/>
          <w:strike w:val="1"/>
        </w:rPr>
        <w:t>Notwithstanding anything to the contrary herein or in any Loan</w:t>
      </w:r>
      <w:r>
        <w:rPr>
          <w:rFonts w:ascii="Times New Roman" w:cs="Times New Roman" w:eastAsia="Times New Roman" w:hAnsi="Times New Roman"/>
          <w:sz w:val="22"/>
          <w:szCs w:val="22"/>
          <w:u w:val="single" w:color="auto"/>
          <w:color w:val="FF0000"/>
          <w:strike w:val="1"/>
        </w:rPr>
        <w:t xml:space="preserve"> </w:t>
      </w:r>
      <w:r>
        <w:rPr>
          <w:rFonts w:ascii="Times New Roman" w:cs="Times New Roman" w:eastAsia="Times New Roman" w:hAnsi="Times New Roman"/>
          <w:sz w:val="22"/>
          <w:szCs w:val="22"/>
          <w:color w:val="FF0000"/>
          <w:strike w:val="1"/>
        </w:rPr>
        <w:t>Document and subject to the proviso below in this clause, if a Term CORRA Transition Event and its related Term CORRA Transition Date have occurred, then on and after such Term CORRA Transition Date (x) the Canadian Benchmark Replacement described in clause (a)(i) of such definition will replace the then-current Canadian Benchmark for all purposes hereunder or under any Loan Document in respect of any setting of such Canadian Benchmark on such day and all subsequent settings, without any amendment to, or further action or consent of any other party to, this Agreement or any other Loan Document; and (y) each Loan outstanding on the Term CORRA Transition Date bearing interest based on the then-current Canadian Benchmark shall convert, at the last day of the then current interest payment period, into a Loan bearing interest at the Canadian Benchmark Replacement described in clause (a)(i) of such definition for the respective Available Tenor as selected by the Borrower as is available for the then-current Canadian Benchmark; provided that, this clause (vi) shall not be effective unless the Administrative Agent has delivered to the Banks and the Borrower a Term CORRA Notice, and so long as the Administrative Agent has not received, by 5:00 p.m. on the fifth (5th) Business Day after the date of the Term CORRA Notice, written notice of objection to such conversion to Term CORRA from Banks comprising the Required Banks or the Borrower</w:t>
      </w:r>
      <w:r>
        <w:rPr>
          <w:rFonts w:ascii="Times New Roman" w:cs="Times New Roman" w:eastAsia="Times New Roman" w:hAnsi="Times New Roman"/>
          <w:sz w:val="22"/>
          <w:szCs w:val="22"/>
          <w:color w:val="0000FF"/>
          <w:strike w:val="1"/>
        </w:rPr>
        <w:t>[Intentionally Omitted]</w:t>
      </w:r>
      <w:r>
        <w:rPr>
          <w:rFonts w:ascii="Times New Roman" w:cs="Times New Roman" w:eastAsia="Times New Roman" w:hAnsi="Times New Roman"/>
          <w:sz w:val="22"/>
          <w:szCs w:val="22"/>
          <w:color w:val="000000"/>
          <w:strike w:val="1"/>
        </w:rPr>
        <w:t>.</w:t>
      </w:r>
    </w:p>
    <w:p>
      <w:pPr>
        <w:spacing w:after="0" w:line="188" w:lineRule="exact"/>
        <w:rPr>
          <w:sz w:val="20"/>
          <w:szCs w:val="20"/>
          <w:color w:val="auto"/>
        </w:rPr>
      </w:pPr>
    </w:p>
    <w:p>
      <w:pPr>
        <w:jc w:val="both"/>
        <w:ind w:firstLine="1304"/>
        <w:spacing w:after="0" w:line="252" w:lineRule="auto"/>
        <w:tabs>
          <w:tab w:leader="none" w:pos="1980" w:val="left"/>
        </w:tabs>
        <w:numPr>
          <w:ilvl w:val="0"/>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Replacement of Relevant Rate or Successor Rate</w:t>
      </w:r>
      <w:r>
        <w:rPr>
          <w:rFonts w:ascii="Times New Roman" w:cs="Times New Roman" w:eastAsia="Times New Roman" w:hAnsi="Times New Roman"/>
          <w:sz w:val="22"/>
          <w:szCs w:val="22"/>
          <w:color w:val="auto"/>
        </w:rPr>
        <w:t>. Notwithstanding anything to the contrary in this Agreement or any other Loan Documents, if the Administrative Agent determines (which determination shall be conclusive absent manifest error), or the Borrower or Required Banks notify(ies) the Administrative Agent (with, in the case of the Required Banks, a copy to the Borrower) that the Borrower or Required Banks (as applicable) have determined, that:</w:t>
      </w:r>
    </w:p>
    <w:p>
      <w:pPr>
        <w:spacing w:after="0" w:line="192" w:lineRule="exact"/>
        <w:rPr>
          <w:rFonts w:ascii="Times New Roman" w:cs="Times New Roman" w:eastAsia="Times New Roman" w:hAnsi="Times New Roman"/>
          <w:sz w:val="22"/>
          <w:szCs w:val="22"/>
          <w:color w:val="010000"/>
        </w:rPr>
      </w:pPr>
    </w:p>
    <w:p>
      <w:pPr>
        <w:jc w:val="both"/>
        <w:ind w:left="1300" w:firstLine="652"/>
        <w:spacing w:after="0" w:line="250" w:lineRule="auto"/>
        <w:tabs>
          <w:tab w:leader="none" w:pos="2462" w:val="left"/>
        </w:tabs>
        <w:numPr>
          <w:ilvl w:val="1"/>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adequate and reasonable means do not exist for ascertaining the Relevant Rate (other than SOFR, Term SOFR, </w:t>
      </w:r>
      <w:r>
        <w:rPr>
          <w:rFonts w:ascii="Times New Roman" w:cs="Times New Roman" w:eastAsia="Times New Roman" w:hAnsi="Times New Roman"/>
          <w:sz w:val="22"/>
          <w:szCs w:val="22"/>
          <w:color w:val="FF0000"/>
          <w:strike w:val="1"/>
        </w:rPr>
        <w:t>CDOR</w:t>
      </w:r>
      <w:r>
        <w:rPr>
          <w:rFonts w:ascii="Times New Roman" w:cs="Times New Roman" w:eastAsia="Times New Roman" w:hAnsi="Times New Roman"/>
          <w:sz w:val="22"/>
          <w:szCs w:val="22"/>
          <w:color w:val="auto"/>
        </w:rPr>
        <w:t xml:space="preserve"> or the Canadian Benchmark) for an Agreed Currency (other than Dollars or Canadian Dollars) because none of the tenors of such Relevant Rate (other than SOFR, Term SOFR</w:t>
      </w:r>
      <w:r>
        <w:rPr>
          <w:rFonts w:ascii="Times New Roman" w:cs="Times New Roman" w:eastAsia="Times New Roman" w:hAnsi="Times New Roman"/>
          <w:sz w:val="22"/>
          <w:szCs w:val="22"/>
          <w:color w:val="FF0000"/>
          <w:strike w:val="1"/>
        </w:rPr>
        <w:t>, CDOR</w:t>
      </w:r>
      <w:r>
        <w:rPr>
          <w:rFonts w:ascii="Times New Roman" w:cs="Times New Roman" w:eastAsia="Times New Roman" w:hAnsi="Times New Roman"/>
          <w:sz w:val="22"/>
          <w:szCs w:val="22"/>
          <w:color w:val="auto"/>
        </w:rPr>
        <w:t xml:space="preserve"> or the Canadian Benchmark) under this Agreement is available or published on a current basis, and such circumstances are unlikely to be temporary; or</w:t>
      </w:r>
    </w:p>
    <w:p>
      <w:pPr>
        <w:spacing w:after="0" w:line="180" w:lineRule="exact"/>
        <w:rPr>
          <w:rFonts w:ascii="Times New Roman" w:cs="Times New Roman" w:eastAsia="Times New Roman" w:hAnsi="Times New Roman"/>
          <w:sz w:val="22"/>
          <w:szCs w:val="22"/>
          <w:color w:val="010000"/>
        </w:rPr>
      </w:pPr>
    </w:p>
    <w:p>
      <w:pPr>
        <w:jc w:val="both"/>
        <w:ind w:left="1300" w:firstLine="652"/>
        <w:spacing w:after="0" w:line="253" w:lineRule="auto"/>
        <w:tabs>
          <w:tab w:leader="none" w:pos="2549" w:val="left"/>
        </w:tabs>
        <w:numPr>
          <w:ilvl w:val="1"/>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Applicable Authority has made a public statement identifying a specific date after which all tenors of the Relevant Rate (other than SOFR, Term SOFR, </w:t>
      </w:r>
      <w:r>
        <w:rPr>
          <w:rFonts w:ascii="Times New Roman" w:cs="Times New Roman" w:eastAsia="Times New Roman" w:hAnsi="Times New Roman"/>
          <w:sz w:val="22"/>
          <w:szCs w:val="22"/>
          <w:color w:val="FF0000"/>
          <w:strike w:val="1"/>
        </w:rPr>
        <w:t>CDOR</w:t>
      </w:r>
      <w:r>
        <w:rPr>
          <w:rFonts w:ascii="Times New Roman" w:cs="Times New Roman" w:eastAsia="Times New Roman" w:hAnsi="Times New Roman"/>
          <w:sz w:val="22"/>
          <w:szCs w:val="22"/>
          <w:color w:val="auto"/>
        </w:rPr>
        <w:t xml:space="preserve"> or the Canadian Benchmark) for an Agreed Currency (other than Dollars or Canadian Dollars) under this Agreement shall or will no longer be representative or made available, or permitted to be used for determining the interest rate of syndicated loans denominated in such Agreed Currency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287" w:right="339" w:bottom="1440" w:gutter="0" w:footer="0" w:header="0"/>
        </w:sectPr>
      </w:pPr>
    </w:p>
    <w:bookmarkStart w:id="223" w:name="page224"/>
    <w:bookmarkEnd w:id="223"/>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 xml:space="preserve">Dollars or Canadian Dollars), or shall or will otherwise cease, provided that, in each case, at the time of such statement, there is no successor administrator that is satisfactory to the Administrative Agent that will continue to provide such representative tenor(s) of the Relevant Rate (other than SOFR, Term SOFR, </w:t>
      </w:r>
      <w:r>
        <w:rPr>
          <w:rFonts w:ascii="Times New Roman" w:cs="Times New Roman" w:eastAsia="Times New Roman" w:hAnsi="Times New Roman"/>
          <w:sz w:val="22"/>
          <w:szCs w:val="22"/>
          <w:color w:val="FF0000"/>
          <w:strike w:val="1"/>
        </w:rPr>
        <w:t>CDOR</w:t>
      </w:r>
      <w:r>
        <w:rPr>
          <w:rFonts w:ascii="Times New Roman" w:cs="Times New Roman" w:eastAsia="Times New Roman" w:hAnsi="Times New Roman"/>
          <w:sz w:val="22"/>
          <w:szCs w:val="22"/>
          <w:color w:val="auto"/>
        </w:rPr>
        <w:t xml:space="preserve"> or the Canadian Benchmark) for such Agreed Currency (other than Dollars or Canadian Dollars) (the latest date on which all tenors of the Relevant Rate for such Agreed Currency (other than Dollars or Canadian Dollars) under this Agreement are no longer representative or available permanently or indefinitely, the “</w:t>
      </w:r>
      <w:r>
        <w:rPr>
          <w:rFonts w:ascii="Times New Roman" w:cs="Times New Roman" w:eastAsia="Times New Roman" w:hAnsi="Times New Roman"/>
          <w:sz w:val="22"/>
          <w:szCs w:val="22"/>
          <w:u w:val="single" w:color="auto"/>
          <w:color w:val="auto"/>
        </w:rPr>
        <w:t>Scheduled Unavailability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21"/>
          <w:szCs w:val="21"/>
          <w:color w:val="auto"/>
        </w:rPr>
        <w:t xml:space="preserve">or if the events or circumstances of the type described in </w:t>
      </w:r>
      <w:r>
        <w:rPr>
          <w:rFonts w:ascii="Times New Roman" w:cs="Times New Roman" w:eastAsia="Times New Roman" w:hAnsi="Times New Roman"/>
          <w:sz w:val="21"/>
          <w:szCs w:val="21"/>
          <w:u w:val="single" w:color="auto"/>
          <w:color w:val="auto"/>
        </w:rPr>
        <w:t>§5.4(d)(i)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have occurred with respect to the Successor Rate then in effect, then, the Administrative Agent and the Borrower may amend this Agreement solely for the purpose of replacing the Relevant Rate for an Agreed Currency or any then current Successor Rate for an Agreed Currency in accordance with this </w:t>
      </w:r>
      <w:r>
        <w:rPr>
          <w:rFonts w:ascii="Times New Roman" w:cs="Times New Roman" w:eastAsia="Times New Roman" w:hAnsi="Times New Roman"/>
          <w:sz w:val="21"/>
          <w:szCs w:val="21"/>
          <w:u w:val="single" w:color="auto"/>
          <w:color w:val="auto"/>
        </w:rPr>
        <w:t>§5.4</w:t>
      </w:r>
      <w:r>
        <w:rPr>
          <w:rFonts w:ascii="Times New Roman" w:cs="Times New Roman" w:eastAsia="Times New Roman" w:hAnsi="Times New Roman"/>
          <w:sz w:val="21"/>
          <w:szCs w:val="21"/>
          <w:color w:val="auto"/>
        </w:rPr>
        <w:t xml:space="preserve"> with an alternative benchmark rate giving due consideration to any evolving or then existing convention for similar credit facilities syndicated and agented in the United States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United States and denominated in such Agreed Currency for such benchmarks (any such proposed rate, including for the avoidance of doubt, any adjustment thereto, a “</w:t>
      </w:r>
      <w:r>
        <w:rPr>
          <w:rFonts w:ascii="Times New Roman" w:cs="Times New Roman" w:eastAsia="Times New Roman" w:hAnsi="Times New Roman"/>
          <w:sz w:val="21"/>
          <w:szCs w:val="21"/>
          <w:u w:val="single" w:color="auto"/>
          <w:color w:val="auto"/>
        </w:rPr>
        <w:t>Non-SOFR Successor Rate</w:t>
      </w:r>
      <w:r>
        <w:rPr>
          <w:rFonts w:ascii="Times New Roman" w:cs="Times New Roman" w:eastAsia="Times New Roman" w:hAnsi="Times New Roman"/>
          <w:sz w:val="21"/>
          <w:szCs w:val="21"/>
          <w:color w:val="auto"/>
        </w:rPr>
        <w:t>”, and collectively with the SOFR Successor Rate and the Canadian Benchmark Replacement, each a “</w:t>
      </w:r>
      <w:r>
        <w:rPr>
          <w:rFonts w:ascii="Times New Roman" w:cs="Times New Roman" w:eastAsia="Times New Roman" w:hAnsi="Times New Roman"/>
          <w:sz w:val="21"/>
          <w:szCs w:val="21"/>
          <w:u w:val="single" w:color="auto"/>
          <w:color w:val="auto"/>
        </w:rPr>
        <w:t>Successor Rate</w:t>
      </w:r>
      <w:r>
        <w:rPr>
          <w:rFonts w:ascii="Times New Roman" w:cs="Times New Roman" w:eastAsia="Times New Roman" w:hAnsi="Times New Roman"/>
          <w:sz w:val="21"/>
          <w:szCs w:val="21"/>
          <w:color w:val="auto"/>
        </w:rPr>
        <w:t>”), and any such amendment shall become effective at 5:00 p.m. on the fifth Business Day after the Administrative Agent shall have posted such proposed amendment to all Banks and the Borrower unless, prior to such time, Banks comprising the Required Banks have delivered to the Administrative Agent written notice that such Required Banks object to such amendment.</w:t>
      </w:r>
    </w:p>
    <w:p>
      <w:pPr>
        <w:spacing w:after="0" w:line="177" w:lineRule="exact"/>
        <w:rPr>
          <w:sz w:val="20"/>
          <w:szCs w:val="20"/>
          <w:color w:val="auto"/>
        </w:rPr>
      </w:pPr>
    </w:p>
    <w:p>
      <w:pPr>
        <w:ind w:firstLine="1304"/>
        <w:spacing w:after="0" w:line="271" w:lineRule="auto"/>
        <w:tabs>
          <w:tab w:leader="none" w:pos="1792" w:val="left"/>
        </w:tabs>
        <w:numPr>
          <w:ilvl w:val="0"/>
          <w:numId w:val="1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Successor Rates</w:t>
      </w:r>
      <w:r>
        <w:rPr>
          <w:rFonts w:ascii="Times New Roman" w:cs="Times New Roman" w:eastAsia="Times New Roman" w:hAnsi="Times New Roman"/>
          <w:sz w:val="22"/>
          <w:szCs w:val="22"/>
          <w:color w:val="auto"/>
        </w:rPr>
        <w:t>. The Administrative Agent will promptly (in one or more notices) notify the Borrower and each Bank of the implementation of any Successor Rate.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Any Successor Rate shall be applied in a manner consistent with market practice;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6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4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In connection with the implementation of a Successor Rate the Administrative Agent will have the right to make Conforming Changes or Canadian Benchmark Replacement Conforming Changes, as applicable, from time to time and, notwithstanding anything to the contrary herein or in any other Loan Document, any amendments implementing such Conforming Changes or Canadian Benchmark Replacement Conforming Changes, as applicable, will become effective without any further action or consent of any other party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287" w:right="339" w:bottom="1440" w:gutter="0" w:footer="0" w:header="0"/>
        </w:sectPr>
      </w:pPr>
    </w:p>
    <w:bookmarkStart w:id="224" w:name="page225"/>
    <w:bookmarkEnd w:id="224"/>
    <w:p>
      <w:pPr>
        <w:jc w:val="both"/>
        <w:spacing w:after="0" w:line="250" w:lineRule="auto"/>
        <w:rPr>
          <w:sz w:val="20"/>
          <w:szCs w:val="20"/>
          <w:color w:val="auto"/>
        </w:rPr>
      </w:pPr>
      <w:r>
        <w:rPr>
          <w:rFonts w:ascii="Times New Roman" w:cs="Times New Roman" w:eastAsia="Times New Roman" w:hAnsi="Times New Roman"/>
          <w:sz w:val="22"/>
          <w:szCs w:val="22"/>
          <w:color w:val="auto"/>
        </w:rPr>
        <w:t>respect to any such amendment effected, the Administrative Agent shall post each such amendment implementing such Conforming Changes or Canadian Benchmark Replacement Conforming Changes, as applicable, to the Borrower and the Banks reasonably promptly after such amendment becomes effective.</w:t>
      </w:r>
    </w:p>
    <w:p>
      <w:pPr>
        <w:spacing w:after="0" w:line="181" w:lineRule="exact"/>
        <w:rPr>
          <w:sz w:val="20"/>
          <w:szCs w:val="20"/>
          <w:color w:val="auto"/>
        </w:rPr>
      </w:pPr>
    </w:p>
    <w:p>
      <w:pPr>
        <w:jc w:val="both"/>
        <w:ind w:firstLine="1304"/>
        <w:spacing w:after="0" w:line="250" w:lineRule="auto"/>
        <w:tabs>
          <w:tab w:leader="none" w:pos="1741"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Exclusion of Certain Banks</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§5.4</w:t>
      </w:r>
      <w:r>
        <w:rPr>
          <w:rFonts w:ascii="Times New Roman" w:cs="Times New Roman" w:eastAsia="Times New Roman" w:hAnsi="Times New Roman"/>
          <w:sz w:val="22"/>
          <w:szCs w:val="22"/>
          <w:color w:val="auto"/>
        </w:rPr>
        <w:t>, those Banks that either have not made, or do not have an obligation under this Agreement to make, the relevant Loans in the relevant Alternative Currency shall be excluded from any determination of Required Banks.</w:t>
      </w:r>
    </w:p>
    <w:p>
      <w:pPr>
        <w:spacing w:after="0" w:line="18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§5.5 </w:t>
      </w:r>
      <w:r>
        <w:rPr>
          <w:rFonts w:ascii="Times New Roman" w:cs="Times New Roman" w:eastAsia="Times New Roman" w:hAnsi="Times New Roman"/>
          <w:sz w:val="22"/>
          <w:szCs w:val="22"/>
          <w:u w:val="single" w:color="auto"/>
          <w:color w:val="000000"/>
        </w:rPr>
        <w:t>Illegality.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Notwithstanding any other provisions herein, if any Bank determines in good faith that any present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future Law shall make it unlawful, or any applicable Governmental Authority has asserted that it is unlawful, for any Bank or its applicable Lending Office to perform its obligations hereunder or make, maintain or fund Loans or charge interest with respect to any Loan or Letter of Credit or to determine or charge interest rates based upon a Relevant Rate, or to purchase or sell, or to take deposits of, any Alternative Currency in the applicable interbank market, such Bank shall forthwith give notice of such circumstances to the Borrower through the Agent, and thereupon (a) any obligation of such Bank to make or maintain Alternative Currency Loans in the affected currency or currencies or, in the case of Loans denominated in Dollars, to make or maintain Daily SOFR Loans, to make or continue Term SOFR Loans or to convert Base Rate Loans or Daily SOFR Loans to Term SOFR Loans or Base Rate Loans or Term SOFR Loans to Daily SOFR Loans shall be, in each case, suspended, and (b) if such notice asserts the illegality of such Bank making or maintaining Base Rate Loans, the interest rate on which is determined by reference to the Term SOFR component of the Base Rate, the interest rate on which Base Rate Loans of such Bank shall, if necessary to avoid such illegality, be determined by the Agent without reference to the Term SOFR component of the Base Rate, in each case until such Bank notifies the Agent and the Borrower that the circumstances giving rise to such determination no longer exist. Upon receipt of such notice, (x) the Borrower shall, upon demand from such Bank (with a copy to the Agent), prepay all SOFR Loans or Alternative Currency Loans, as applicable, in the affected currency or currencies or, if applicable and such Loans are denominated in Dollars, convert all SOFR Loans of such Bank to Base Rate Loans (the interest rate on which Base Rate Loans of such Bank shall, if necessary to avoid such illegality, be determined by the Agent without reference to the Term SOFR component of the Base Rate), in each case, immediately, or, in the case of Term SOFR Loans and Alternative Currency Term Rate Loans, on the last day of the Interest Period therefor if such Bank may lawfully continue to maintain such Term SOFR Loans or Alternative Currency Term Rate Loans, as applicable, to such day and (y) if such notice asserts the illegality of such Bank determining or charging interest rates based upon Term SOFR, the Agent shall during the period of such suspension compute the Base Rate applicable to such Bank without reference to the Term SOFR component thereof until the Agent is advised in writing by such Bank that it is no longer illegal for such Bank to determine or charge interest rates based upon Term SOFR. Upon any such conversion or prepayment, the Borrower shall also pay accrued interest on the amount so converted or prepaid. Subject to the limitations set forth in §5.8, the Borrower hereby agrees promptly to pay the Agent for the account of such Bank, upon demand, any additional amounts necessary to compensate such Bank for any costs incurred by such Bank in making any conversion or receiving any prepayment required by this §5.5 prior to the last day of an Interest Period with respect to a Term Rate Loan, including any interest or fees payable by such Bank to lenders of funds obtained by it in order to make or maintain its Term Rate Loans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273" w:right="339" w:bottom="1440" w:gutter="0" w:footer="0" w:header="0"/>
        </w:sectPr>
      </w:pPr>
    </w:p>
    <w:bookmarkStart w:id="225" w:name="page226"/>
    <w:bookmarkEnd w:id="225"/>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§5.6</w:t>
      </w:r>
      <w:r>
        <w:rPr>
          <w:sz w:val="20"/>
          <w:szCs w:val="20"/>
          <w:color w:val="auto"/>
        </w:rPr>
        <w:tab/>
      </w:r>
      <w:r>
        <w:rPr>
          <w:rFonts w:ascii="Times New Roman" w:cs="Times New Roman" w:eastAsia="Times New Roman" w:hAnsi="Times New Roman"/>
          <w:sz w:val="21"/>
          <w:szCs w:val="21"/>
          <w:u w:val="single" w:color="auto"/>
          <w:color w:val="auto"/>
        </w:rPr>
        <w:t xml:space="preserve">Additional Costs, Etc. </w:t>
      </w:r>
      <w:r>
        <w:rPr>
          <w:rFonts w:ascii="Times New Roman" w:cs="Times New Roman" w:eastAsia="Times New Roman" w:hAnsi="Times New Roman"/>
          <w:sz w:val="21"/>
          <w:szCs w:val="21"/>
          <w:color w:val="auto"/>
        </w:rPr>
        <w:t>If any Change in Law shall:</w:t>
      </w:r>
    </w:p>
    <w:p>
      <w:pPr>
        <w:spacing w:after="0" w:line="220" w:lineRule="exact"/>
        <w:rPr>
          <w:sz w:val="20"/>
          <w:szCs w:val="20"/>
          <w:color w:val="auto"/>
        </w:rPr>
      </w:pPr>
    </w:p>
    <w:p>
      <w:pPr>
        <w:jc w:val="both"/>
        <w:ind w:firstLine="1304"/>
        <w:spacing w:after="0" w:line="250" w:lineRule="auto"/>
        <w:tabs>
          <w:tab w:leader="none" w:pos="1833"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1"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777"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materially change the basis of taxation (except for changes in taxes on income or profits) of payments to any Bank of the principal of or the interest on any Loans or any other amounts payable to the Agent or any Bank under this Agreement or the other Loan Documents, or</w:t>
      </w:r>
    </w:p>
    <w:p>
      <w:pPr>
        <w:spacing w:after="0" w:line="167"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846"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impose,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participated in, or letters of credit issued by or participated in, or commitments of an office of any Bank or any Fronting Bank, or</w:t>
      </w:r>
    </w:p>
    <w:p>
      <w:pPr>
        <w:spacing w:after="0" w:line="169"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939"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impose on any Bank, any Fronting Bank or the Agent or any applicable interbank market any other conditions or requirements with respect to this Agreement, the other Loan Documents, any Letters of Credit, the Loans, such Bank’s Commitment, or any class of loans, letters of credit or commitments of which any of the Loans or such Bank’s Commitment forms a part;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the result of any of the foregoing is</w:t>
      </w:r>
    </w:p>
    <w:p>
      <w:pPr>
        <w:spacing w:after="0" w:line="206" w:lineRule="exact"/>
        <w:rPr>
          <w:sz w:val="20"/>
          <w:szCs w:val="20"/>
          <w:color w:val="auto"/>
        </w:rPr>
      </w:pPr>
    </w:p>
    <w:p>
      <w:pPr>
        <w:jc w:val="both"/>
        <w:ind w:left="1300" w:firstLine="652"/>
        <w:spacing w:after="0" w:line="250" w:lineRule="auto"/>
        <w:tabs>
          <w:tab w:leader="none" w:pos="2530" w:val="left"/>
        </w:tabs>
        <w:numPr>
          <w:ilvl w:val="0"/>
          <w:numId w:val="1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increase the cost to any Bank or any Fronting Bank of making, funding, issuing, renewing, extending, participating in, converting, continuing or maintaining any of the Loans or such Bank’s Commitment or any Letter of Credit, or</w:t>
      </w:r>
    </w:p>
    <w:p>
      <w:pPr>
        <w:spacing w:after="0" w:line="181" w:lineRule="exact"/>
        <w:rPr>
          <w:rFonts w:ascii="Times New Roman" w:cs="Times New Roman" w:eastAsia="Times New Roman" w:hAnsi="Times New Roman"/>
          <w:sz w:val="22"/>
          <w:szCs w:val="22"/>
          <w:color w:val="010000"/>
        </w:rPr>
      </w:pPr>
    </w:p>
    <w:p>
      <w:pPr>
        <w:jc w:val="both"/>
        <w:ind w:left="1300" w:firstLine="652"/>
        <w:spacing w:after="0" w:line="250" w:lineRule="auto"/>
        <w:tabs>
          <w:tab w:leader="none" w:pos="2509" w:val="left"/>
        </w:tabs>
        <w:numPr>
          <w:ilvl w:val="0"/>
          <w:numId w:val="1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reduce the amount of principal, interest, Reimbursement Obligation or other amount payable to such Bank, such Fronting Bank or the Agent hereunder on account of such Bank’s Commitment, any Letter of Credit or any of the Loans, or</w:t>
      </w:r>
    </w:p>
    <w:p>
      <w:pPr>
        <w:spacing w:after="0" w:line="167" w:lineRule="exact"/>
        <w:rPr>
          <w:rFonts w:ascii="Times New Roman" w:cs="Times New Roman" w:eastAsia="Times New Roman" w:hAnsi="Times New Roman"/>
          <w:sz w:val="22"/>
          <w:szCs w:val="22"/>
          <w:color w:val="010000"/>
        </w:rPr>
      </w:pPr>
    </w:p>
    <w:p>
      <w:pPr>
        <w:jc w:val="both"/>
        <w:ind w:left="1300" w:firstLine="652"/>
        <w:spacing w:after="0" w:line="264" w:lineRule="auto"/>
        <w:tabs>
          <w:tab w:leader="none" w:pos="2609" w:val="left"/>
        </w:tabs>
        <w:numPr>
          <w:ilvl w:val="0"/>
          <w:numId w:val="1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require such Bank, such Fronting Bank or the Agent to make any payment or to forego any interest or Reimbursement Obligation or other sum payable hereunder, the amount of which payment or foregone interest or Reimbursement Obligation or other sum is calculated by reference to the gross amount of any sum receivable or deemed received by such Bank, such Fronting Bank or the Agent from the Borrower hereunder,</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then, and in each such case, the Borrower will, within thirty (30) days after notice by the Agent, such Fronting Bank or such Bank (such notice to be given promptly by the Agent, such Fronting Bank or such Bank upon the making of any such determination), at any time and from time to time and as often as the occasion therefor may arise, but subject to the limitations set forth in §5.8, pay to such Bank, such Fronting Bank or the Agent such additional amounts as such Bank,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273" w:right="339" w:bottom="1440" w:gutter="0" w:footer="0" w:header="0"/>
        </w:sectPr>
      </w:pPr>
    </w:p>
    <w:bookmarkStart w:id="226" w:name="page227"/>
    <w:bookmarkEnd w:id="226"/>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Fronting Bank or the Agent shall determine in good faith to be sufficient to compensate such Bank, such Fronting Bank or the Agent for such additional cost, reduction, payment or foregone interest or other sum,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Bank, such Fronting Bank or the Agent is imposing such charges on the Borrower in a non-discriminatory manner, as determined in good faith by the Agent without any obligation to disclose the identity of any other borrower or credit facility.</w:t>
      </w:r>
    </w:p>
    <w:p>
      <w:pPr>
        <w:spacing w:after="0" w:line="19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010000"/>
        </w:rPr>
        <w:t xml:space="preserve">§5.7 </w:t>
      </w:r>
      <w:r>
        <w:rPr>
          <w:rFonts w:ascii="Times New Roman" w:cs="Times New Roman" w:eastAsia="Times New Roman" w:hAnsi="Times New Roman"/>
          <w:sz w:val="21"/>
          <w:szCs w:val="21"/>
          <w:u w:val="single" w:color="auto"/>
          <w:color w:val="000000"/>
        </w:rPr>
        <w:t>Capital Adequacy.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If any Bank or any Fronting Bank determines in good faith that any Change in Law (a) affects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amount of capital or liquidity required or expected to be maintained by banks or bank holding companies and any Bank, any Fronting Bank or the Agent determines that the amount of capital or liquidity required to be maintained by it or its holding company is increased or (b) has the effect of reducing the rate of return on such Bank’s or such Fronting Bank’s capital or on the capital of such Bank’s or such Fronting Bank’s holding company to a level below that which such Bank or such Fronting Bank or such Bank’s or Fronting Bank’s holding company could have achieved but for such Change in Law (taking into consideration such Bank’s or such Fronting Bank’s policies and the policies of such Bank’s or such Fronting Bank’s holding company with respect to capital adequacy and liquidity), in each case, as a consequence of this Agreement, the Commitments of such Bank or the Loans made by, or participations in Letters of Credit held by, such Bank, or the Letters of Credit issued by such Fronting Bank, then such Bank, such Fronting Bank or the Agent may notify the Borrower of such fact, and the Borrower shall pay to such Bank, such Fronting Bank or the Agent from time to time, within thirty (30) days after notice by the Agent, such Fronting Bank or such Bank (such notice to be given promptly by the Agent, such Fronting Bank or such Bank upon the making of any such determination), as an additional fee payable hereunder, but subject to the limitations set forth in §5.8, such amount as such Bank, such Fronting Bank or the Agent shall determine reasonably and in good faith and certify in a notice to the Borrower to be an amount that will adequately compensate such Bank or such Fronting Bank in light of these circumstances for its (or its holding company’s) increased costs of maintaining such capital or liquidity or any reduction suffered. Each Bank, each Fronting Bank and the Agent shall allocate such cost increases and reductions among its customers in good faith and on an equitable basis, and will not charge the Borrower unless it is imposing such charges on the Borrower in a non-discriminatory manner, as determined in good faith by the Agent without any obligation to disclose the identity of any other borrower or credit facility. In no event shall the Borrower be obligated to pay any amount pursuant to this §5.7 to or in respect of a Delinquent Bank.</w:t>
      </w:r>
    </w:p>
    <w:p>
      <w:pPr>
        <w:spacing w:after="0" w:line="16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010000"/>
        </w:rPr>
        <w:t xml:space="preserve">§5.8 </w:t>
      </w:r>
      <w:r>
        <w:rPr>
          <w:rFonts w:ascii="Times New Roman" w:cs="Times New Roman" w:eastAsia="Times New Roman" w:hAnsi="Times New Roman"/>
          <w:sz w:val="22"/>
          <w:szCs w:val="22"/>
          <w:u w:val="single" w:color="auto"/>
          <w:color w:val="000000"/>
        </w:rPr>
        <w:t>Certificate; Limitations.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 certificate setting forth any additional amounts payable pursuant to §§5.2, 5.5, 5.6 or 5.7</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and a brief explanation of such amounts which are due, including reasonably detailed information regarding the method and calculation of such amount, submitted by any Bank, any Fronting Bank or the Agent to the Borrower, shall be prima facie evidence that such amounts are due and owing. Notwithstanding anything to the contrary contained in this §5, (i) to the extent reasonably possible, each Bank shall designate an alternate lending office in the continental United States to make the Loans in order to reduce any liability of the Borrower to such Bank under §§5.2, 5.5, 5.6 or 5.7 or to avoid the unavailability of a SOFR Loan or Alternative Currency Loan, so long as such designation is not materially disadvantageous to such Bank, and (ii) failure or delay on the part of any Bank or Fronting Bank to demand under §§5.2, 5.5, 5.6 or 5.7 shall not constitute a waiver of such Bank’s or Fronting Bank’s right to demand such compensation;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the Borrower shall not be obligated to compensate any Bank or Fronting Bank pursuant to §§5.2, 5.5, 5.6 or 5.7 for any amounts attributable to any period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273" w:right="339" w:bottom="1440" w:gutter="0" w:footer="0" w:header="0"/>
        </w:sectPr>
      </w:pPr>
    </w:p>
    <w:bookmarkStart w:id="227" w:name="page228"/>
    <w:bookmarkEnd w:id="227"/>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is more than one hundred eighty (180) days prior to the date of delivery of the certificate set forth in the first sentence of this §5.8 (except that, if the Change in Law giving rise to such request for compensation is retroactive, then,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certificate is delivered to the Borrower within forty-five (45) days after the effective date of such Change in Law, such one hundred eighty</w:t>
      </w:r>
    </w:p>
    <w:p>
      <w:pPr>
        <w:spacing w:after="0" w:line="1" w:lineRule="exact"/>
        <w:rPr>
          <w:sz w:val="20"/>
          <w:szCs w:val="20"/>
          <w:color w:val="auto"/>
        </w:rPr>
      </w:pPr>
    </w:p>
    <w:p>
      <w:pPr>
        <w:jc w:val="both"/>
        <w:ind w:firstLine="8"/>
        <w:spacing w:after="0" w:line="237" w:lineRule="auto"/>
        <w:tabs>
          <w:tab w:leader="none" w:pos="558"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period shall be extended to include the period of retroactive effect thereof). If (a) a Bank requests compensation pursuant to §§5.2, 5.5, 5.6 or 5.7 and the Required Banks are not also doing the same, (b) the obligation of any Bank to make, convert and/or continue SOFR Loans or Alternative Currency Loans shall be suspended pursuant to §5.5 but the obligation of the Required Banks shall not have been suspended under such Section, or (c) if any Bank is a Delinquent Bank, then, so long as there does not then exist any Event of Default, the Borrower, at any time with respect to a Delinquent Bank, or, with respect to a request for compensation pursuant to §§5.2, 5.6 or 5.7 or a suspension pursuant to §5.5, within thirty (30) days after such request for compensation or suspension, as applicable, may either (x) demand that such Bank (the “</w:t>
      </w:r>
      <w:r>
        <w:rPr>
          <w:rFonts w:ascii="Times New Roman" w:cs="Times New Roman" w:eastAsia="Times New Roman" w:hAnsi="Times New Roman"/>
          <w:sz w:val="22"/>
          <w:szCs w:val="22"/>
          <w:u w:val="single" w:color="auto"/>
          <w:color w:val="auto"/>
        </w:rPr>
        <w:t>Affected Bank</w:t>
      </w:r>
      <w:r>
        <w:rPr>
          <w:rFonts w:ascii="Times New Roman" w:cs="Times New Roman" w:eastAsia="Times New Roman" w:hAnsi="Times New Roman"/>
          <w:sz w:val="22"/>
          <w:szCs w:val="22"/>
          <w:color w:val="auto"/>
        </w:rPr>
        <w:t>”) assign its Commitment to an Eligible Assignee designated by the Borrower (or designated by the Agent and approved by the Borrower), and upon such demand the Affected Bank shall promptly assign its Commitment to such Eligible Assignee, subject to and in accordance with the provisions of §20.1 (and in the event such Affected Bank fails to timely assign its Commitment hereunder, the waivers and limitations set forth in §17(d) and §27 shall not apply to such Affected Bank and shall be of no force and effect with respect to such Affected Bank but shall continue to apply and be of full force and effect with respect to the Agent and each Fronting Bank (so long as they are not the Affected Bank) and each other Bank), for a purchase price equal to the aggregate principal balance of the Loans then owing to the Affected Bank and its outstanding Letter of Credit Participations, plus any accrued but unpaid interest thereon and accrued but unpaid fees owing to the Affected Bank, and upon such assignment the Borrower shall pay the fee specified in §20.3, (y) pay to the Affected Bank the amounts required under §§5.2, 5.5, 5.6 or 5.7, if applicable, or (z) pay to the Affected Bank the aggregate principal balance of the Loans then owing to the Affected Bank and its outstanding Letter of Credit Participations, plus any accrued but unpaid interest thereon and accrued but unpaid fees owing to the Affected Bank (but without duplication of the amounts payable pursuant to §§5.2, 5.5, 5.6 or 5.7, if applicable). If the Borrower elects either option (x) or (z) above, it shall, in all events, but subject to the limitations set forth in this §5.8 pay to the Affected Bank the amounts required under §§5.2, 5.5, 5.6 or 5.7, as applicable, for the period prior to such replacement or termination of the Affected Bank, and upon any such election the Affected Bank shall no longer be a party hereto or have any rights or obligations hereunder (other than with respect to §§5.2, 5.5, 5.6, 5.7, 17 and 18 for the period prior to the replacement or termination of the Affected Bank) or under any of the other Loan Documents. Each of the Agent and the Affected Bank shall reasonably cooperate in effectuating the replacement of the Affected Bank under this Section, but at no time shall the Agent, the Affected Bank or any other Bank be obligated in any way whatsoever to initiate any such replacement or to assist in finding an Eligible Assignee. The exercise by the Borrower of its rights under this Section shall be at the Borrower’s sole cost and expense and at no cost or expense to the Agent, the Affected Bank or any of the other Banks.</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§5.9 </w:t>
      </w:r>
      <w:r>
        <w:rPr>
          <w:rFonts w:ascii="Times New Roman" w:cs="Times New Roman" w:eastAsia="Times New Roman" w:hAnsi="Times New Roman"/>
          <w:sz w:val="22"/>
          <w:szCs w:val="22"/>
          <w:u w:val="single" w:color="auto"/>
          <w:color w:val="000000"/>
        </w:rPr>
        <w:t>Indemnity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addition to the other provisions of this Agreement regarding such matters, the Borrower agrees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indemnify the Agent and each Bank and to hold the Agent and each Bank harmless from and against any and all Breakage Costs. Notwithstanding the foregoing or anything to the contrary contained herein, the Borrower shall not be required to so indemnify any Bank for Breakage Costs of the kind or nature described in clause (b) of the definition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273" w:right="339" w:bottom="1440" w:gutter="0" w:footer="0" w:header="0"/>
        </w:sectPr>
      </w:pPr>
    </w:p>
    <w:bookmarkStart w:id="228" w:name="page229"/>
    <w:bookmarkEnd w:id="228"/>
    <w:p>
      <w:pPr>
        <w:jc w:val="both"/>
        <w:spacing w:after="0" w:line="284" w:lineRule="auto"/>
        <w:rPr>
          <w:sz w:val="20"/>
          <w:szCs w:val="20"/>
          <w:color w:val="auto"/>
        </w:rPr>
      </w:pPr>
      <w:r>
        <w:rPr>
          <w:rFonts w:ascii="Times New Roman" w:cs="Times New Roman" w:eastAsia="Times New Roman" w:hAnsi="Times New Roman"/>
          <w:sz w:val="22"/>
          <w:szCs w:val="22"/>
          <w:color w:val="auto"/>
        </w:rPr>
        <w:t>Breakage Costs during and for any period of time when such Bank has wrongfully failed or refused to fund its proportionate share of a Loan in accordance with the terms of this Agreement and is a Delinquent Bank.</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§5.10 </w:t>
      </w:r>
      <w:r>
        <w:rPr>
          <w:rFonts w:ascii="Times New Roman" w:cs="Times New Roman" w:eastAsia="Times New Roman" w:hAnsi="Times New Roman"/>
          <w:sz w:val="22"/>
          <w:szCs w:val="22"/>
          <w:u w:val="single" w:color="auto"/>
          <w:color w:val="000000"/>
        </w:rPr>
        <w:t>Interest on Overdue Amounts.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Overdue principal and (to the extent permitted by applicable law) interest on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Loans and all other overdue amounts payable hereunder or under any of the other Loan Documents shall bear interest payable on demand at a rate per annum (the “</w:t>
      </w:r>
      <w:r>
        <w:rPr>
          <w:rFonts w:ascii="Times New Roman" w:cs="Times New Roman" w:eastAsia="Times New Roman" w:hAnsi="Times New Roman"/>
          <w:sz w:val="22"/>
          <w:szCs w:val="22"/>
          <w:u w:val="single" w:color="auto"/>
          <w:color w:val="000000"/>
        </w:rPr>
        <w:t>Default Rate</w:t>
      </w:r>
      <w:r>
        <w:rPr>
          <w:rFonts w:ascii="Times New Roman" w:cs="Times New Roman" w:eastAsia="Times New Roman" w:hAnsi="Times New Roman"/>
          <w:sz w:val="22"/>
          <w:szCs w:val="22"/>
          <w:color w:val="000000"/>
        </w:rPr>
        <w:t>”) equal to three percent (3%) plus the Base Rate until such amount shall be paid in full (after as well as before judgment). In addition, the Borrower shall pay a late charge equal to three percent (3%) of any amount of interest charges on the Loans which is not paid within ten (10) days of the date when due. All such accrued and unpaid interest shall be due and payable on demand.</w:t>
      </w:r>
    </w:p>
    <w:p>
      <w:pPr>
        <w:spacing w:after="0" w:line="181"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§5.11</w:t>
      </w:r>
      <w:r>
        <w:rPr>
          <w:sz w:val="20"/>
          <w:szCs w:val="20"/>
          <w:color w:val="auto"/>
        </w:rPr>
        <w:tab/>
      </w:r>
      <w:r>
        <w:rPr>
          <w:rFonts w:ascii="Times New Roman" w:cs="Times New Roman" w:eastAsia="Times New Roman" w:hAnsi="Times New Roman"/>
          <w:sz w:val="21"/>
          <w:szCs w:val="21"/>
          <w:u w:val="single" w:color="auto"/>
          <w:color w:val="auto"/>
        </w:rPr>
        <w:t>Cash Collateral.</w:t>
      </w:r>
    </w:p>
    <w:p>
      <w:pPr>
        <w:spacing w:after="0" w:line="220"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2"/>
          <w:szCs w:val="22"/>
          <w:color w:val="010000"/>
        </w:rPr>
        <w:t xml:space="preserve">§5.11.1 </w:t>
      </w:r>
      <w:r>
        <w:rPr>
          <w:rFonts w:ascii="Times New Roman" w:cs="Times New Roman" w:eastAsia="Times New Roman" w:hAnsi="Times New Roman"/>
          <w:sz w:val="22"/>
          <w:szCs w:val="22"/>
          <w:u w:val="single" w:color="auto"/>
          <w:color w:val="000000"/>
        </w:rPr>
        <w:t>Certain Credit Support Events.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If (i) a Fronting Bank has honored any full or partial drawing request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under any Letter of Credit and such drawing has resulted in a Reimbursement Obligation, (ii) as of the date that is thirty (30) days prior to the Scheduled Maturity Date, any Letter of Credit Obligation for any reason remains outstanding (including any such Letter of Credit Obligations with respect to Letters of Credit issued on or after such thirtieth (30</w:t>
      </w:r>
      <w:r>
        <w:rPr>
          <w:rFonts w:ascii="Times New Roman" w:cs="Times New Roman" w:eastAsia="Times New Roman" w:hAnsi="Times New Roman"/>
          <w:sz w:val="28"/>
          <w:szCs w:val="28"/>
          <w:color w:val="000000"/>
          <w:vertAlign w:val="superscript"/>
        </w:rPr>
        <w:t>th</w:t>
      </w:r>
      <w:r>
        <w:rPr>
          <w:rFonts w:ascii="Times New Roman" w:cs="Times New Roman" w:eastAsia="Times New Roman" w:hAnsi="Times New Roman"/>
          <w:sz w:val="22"/>
          <w:szCs w:val="22"/>
          <w:color w:val="000000"/>
        </w:rPr>
        <w:t>) day), (iii) the Borrower shall be required to provide Cash Collateral pursuant to §4.3 or §14.2(c), or (iv) there shall exist a Delinquent Bank, the Borrower shall immediately (in the case of clause (iii) above) or within one Business Day (in all other cases) following any request by the Agent or any Fronting Bank, provide Cash Collateral in an amount not less than the applicable Minimum Collateral Amount (determined in the case of Cash Collateral provided pursuant to clause (iv) above, after giving effect to §5.12.1(d) and any Cash Collateral provided by such Delinquent Bank). Additionally, if the Agent notifies the Borrower at any time that the Outstanding Amount of all Letter of Credit Obligations at such time exceeds 105% of the Letter of Credit Sublimit, then, within two (2) Business Days after receipt of such notice, the Borrower shall provide Cash Collateral for the Outstanding Amount of the Letter of Credit Obligations in an amount not less than the amount by which the Outstanding Amount of all Letter of Credit Obligations exceeds the Letter of Credit Sublimit.</w:t>
      </w:r>
    </w:p>
    <w:p>
      <w:pPr>
        <w:spacing w:after="0" w:line="205"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010000"/>
        </w:rPr>
        <w:t xml:space="preserve">§5.11.2 </w:t>
      </w:r>
      <w:r>
        <w:rPr>
          <w:rFonts w:ascii="Times New Roman" w:cs="Times New Roman" w:eastAsia="Times New Roman" w:hAnsi="Times New Roman"/>
          <w:sz w:val="22"/>
          <w:szCs w:val="22"/>
          <w:u w:val="single" w:color="auto"/>
          <w:color w:val="000000"/>
        </w:rPr>
        <w:t>Grant of Security Interest.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and to the extent provided by any Delinquent Bank,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Delinquent Bank, hereby grants to (and subjects to the control of) the Agent, for the benefit of the Agent, the Fronting Banks and the Banks, and agrees to maintain, a first priority security interest in all Cash Collateral and all deposit accounts at BOA constituting Cash Collateral or in which such Cash Collateral is deposited, and all other property so provided as collateral pursuant hereto, and in all proceeds of the foregoing, all as security for the obligations to which such Cash Collateral may be applied pursuant to §5.11.3. If at any time the Agent determines that Cash Collateral is subject to any right or claim of any Person other than the Agent or the Fronting Banks as herein provided, or that the total amount of such Cash Collateral is less than the Minimum Collateral Amount, the Borrower will, promptly upon demand by the Agent, pay or provide to the Agent additional Cash Collateral in an amount sufficient to eliminate such deficiency. All Cash Collateral (other than credit support not constituting funds subject to deposit) shall be maintained in blocked, non-interest bearing deposit accounts at BOA.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287" w:right="339" w:bottom="1440" w:gutter="0" w:footer="0" w:header="0"/>
        </w:sectPr>
      </w:pPr>
    </w:p>
    <w:bookmarkStart w:id="229" w:name="page230"/>
    <w:bookmarkEnd w:id="229"/>
    <w:p>
      <w:pPr>
        <w:jc w:val="both"/>
        <w:spacing w:after="0" w:line="284" w:lineRule="auto"/>
        <w:rPr>
          <w:sz w:val="20"/>
          <w:szCs w:val="20"/>
          <w:color w:val="auto"/>
        </w:rPr>
      </w:pPr>
      <w:r>
        <w:rPr>
          <w:rFonts w:ascii="Times New Roman" w:cs="Times New Roman" w:eastAsia="Times New Roman" w:hAnsi="Times New Roman"/>
          <w:sz w:val="22"/>
          <w:szCs w:val="22"/>
          <w:color w:val="auto"/>
        </w:rPr>
        <w:t>Borrower shall pay on demand therefor from time to time all customary account opening, activity and other administrative fees and charges in connection with the maintenance and disbursement of Cash Collateral.</w:t>
      </w:r>
    </w:p>
    <w:p>
      <w:pPr>
        <w:spacing w:after="0" w:line="14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010000"/>
        </w:rPr>
        <w:t xml:space="preserve">§5.11.3 </w:t>
      </w:r>
      <w:r>
        <w:rPr>
          <w:rFonts w:ascii="Times New Roman" w:cs="Times New Roman" w:eastAsia="Times New Roman" w:hAnsi="Times New Roman"/>
          <w:sz w:val="22"/>
          <w:szCs w:val="22"/>
          <w:u w:val="single" w:color="auto"/>
          <w:color w:val="000000"/>
        </w:rPr>
        <w:t>Application.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Notwithstanding anything to the contrary contained in this Agreement, Cash Collateral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provided under any of this §5.11 or §§3.1.1, 4.2, 5.12 or 14.2 in respect of Letters of Credit shall be held and applied to the satisfaction of the specific Letter of Credit Obligations, obligations to fund participations therein (including, as to Cash Collateral provided by a Delinquent Bank, any interest accrued on such obligation) and other obligations for which the Cash Collateral was so provided, prior to any other application of such property as may otherwise be provided for herein.</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010000"/>
        </w:rPr>
        <w:t xml:space="preserve">§5.11.4 </w:t>
      </w:r>
      <w:r>
        <w:rPr>
          <w:rFonts w:ascii="Times New Roman" w:cs="Times New Roman" w:eastAsia="Times New Roman" w:hAnsi="Times New Roman"/>
          <w:sz w:val="22"/>
          <w:szCs w:val="22"/>
          <w:u w:val="single" w:color="auto"/>
          <w:color w:val="000000"/>
        </w:rPr>
        <w:t>Release.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Cash Collateral (or the appropriate portion thereof) provided to reduce Fronting Exposure or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secure other obligations shall be released promptly following (i) the elimination of the applicable Fronting Exposure or other obligations giving rise thereto (including by the termination of Delinquent Bank status of the applicable Bank (or, as appropriate, its assignee following compliance with §20.1)) or (ii) the determination in good faith by the Agent and the Fronting Banks that there exists excess Cash Collateral;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(x) Cash Collateral furnished by or on behalf of the Borrower shall not be released to the Borrower during the continuance of an Event of Default (and following application as provided in this §5.11 may be otherwise applied in accordance with §14.3 during the continuance of an Event of Default), (y) any such release shall be without prejudice to, and any disbursement or other transfer of Cash Collateral shall be and remain subject to, any other Lien conferred under the Loan Documents and the other applicable provisions of the Loan Documents, and (z) the Person providing Cash Collateral and any Fronting Bank may agree that Cash Collateral shall not be released but instead held to support future anticipated Fronting Exposure or other obligations.</w:t>
      </w:r>
    </w:p>
    <w:p>
      <w:pPr>
        <w:spacing w:after="0" w:line="189"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§5.12</w:t>
      </w:r>
      <w:r>
        <w:rPr>
          <w:sz w:val="20"/>
          <w:szCs w:val="20"/>
          <w:color w:val="auto"/>
        </w:rPr>
        <w:tab/>
      </w:r>
      <w:r>
        <w:rPr>
          <w:rFonts w:ascii="Times New Roman" w:cs="Times New Roman" w:eastAsia="Times New Roman" w:hAnsi="Times New Roman"/>
          <w:sz w:val="21"/>
          <w:szCs w:val="21"/>
          <w:u w:val="single" w:color="auto"/>
          <w:color w:val="auto"/>
        </w:rPr>
        <w:t>Delinquent Banks.</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010000"/>
        </w:rPr>
        <w:t xml:space="preserve">§5.12.1 </w:t>
      </w:r>
      <w:r>
        <w:rPr>
          <w:rFonts w:ascii="Times New Roman" w:cs="Times New Roman" w:eastAsia="Times New Roman" w:hAnsi="Times New Roman"/>
          <w:sz w:val="22"/>
          <w:szCs w:val="22"/>
          <w:u w:val="single" w:color="auto"/>
          <w:color w:val="000000"/>
        </w:rPr>
        <w:t>Adjustments.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Notwithstanding anything to the contrary contained in this Agreement, if any Bank</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becomes a Delinquent Bank, then, until such time as that Bank is no longer a Delinquent Bank, to the extent permitted by applicable law:</w:t>
      </w:r>
    </w:p>
    <w:p>
      <w:pPr>
        <w:spacing w:after="0" w:line="186" w:lineRule="exact"/>
        <w:rPr>
          <w:sz w:val="20"/>
          <w:szCs w:val="20"/>
          <w:color w:val="auto"/>
        </w:rPr>
      </w:pPr>
    </w:p>
    <w:p>
      <w:pPr>
        <w:jc w:val="both"/>
        <w:ind w:firstLine="1304"/>
        <w:spacing w:after="0" w:line="257" w:lineRule="auto"/>
        <w:tabs>
          <w:tab w:leader="none" w:pos="1792" w:val="left"/>
        </w:tabs>
        <w:numPr>
          <w:ilvl w:val="0"/>
          <w:numId w:val="1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Waivers and Amendments</w:t>
      </w:r>
      <w:r>
        <w:rPr>
          <w:rFonts w:ascii="Times New Roman" w:cs="Times New Roman" w:eastAsia="Times New Roman" w:hAnsi="Times New Roman"/>
          <w:sz w:val="22"/>
          <w:szCs w:val="22"/>
          <w:color w:val="auto"/>
        </w:rPr>
        <w:t>. Such Delinquent Bank’s right to approve or disapprove any amendment, waiver or consent with respect to this Agreement shall be restricted as set forth in the definition of “Required Banks”, “Required Revolving Credit Banks”, “Required Term Banks” and §28.</w:t>
      </w:r>
    </w:p>
    <w:p>
      <w:pPr>
        <w:spacing w:after="0" w:line="172"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791" w:val="left"/>
        </w:tabs>
        <w:numPr>
          <w:ilvl w:val="0"/>
          <w:numId w:val="1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Delinquent Bank Waterfall</w:t>
      </w:r>
      <w:r>
        <w:rPr>
          <w:rFonts w:ascii="Times New Roman" w:cs="Times New Roman" w:eastAsia="Times New Roman" w:hAnsi="Times New Roman"/>
          <w:sz w:val="22"/>
          <w:szCs w:val="22"/>
          <w:color w:val="auto"/>
        </w:rPr>
        <w:t>. Any payment of principal, interest, fees or other amounts received by the Agent for the account of such Delinquent Bank (whether voluntary or mandatory, at maturity, pursuant to §14 or otherwise) shall be applied at such time or times as may be determined by the Agent as follows: first, to the payment of any amounts owing by such Delinquent Bank to the Agent hereunder; second, to the payment on a pro rata basis of any amounts owing by such Delinquent Bank to the Fronting Banks hereunder; third, to Cash Collateralize the Fronting Banks’ Fronting Exposure with respect to such Delinquent Bank in accordance with §5.11; fourth, as the Borrower may request (so long as no Event of Default exists), to the funding of any Loan in respect of which such Delinquent Bank has failed to fund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287" w:right="339" w:bottom="1440" w:gutter="0" w:footer="0" w:header="0"/>
        </w:sectPr>
      </w:pPr>
    </w:p>
    <w:bookmarkStart w:id="230" w:name="page231"/>
    <w:bookmarkEnd w:id="230"/>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portion thereof as required by this Agreement, as determined by the Agent; fifth, if so determined by the Agent and the Borrower, to be held in a deposit account and released pro rata in order to (x) satisfy such Delinquent Bank’s potential future funding obligations with respect to Loans under this Agreement and (y) Cash Collateralize the Fronting Banks’ future Fronting Exposure with respect to such Delinquent Bank with respect to future Letters of Credit issued under this Agreement, in accordance with §5.11; sixth, to the payment of any amounts owing to the Banks or the Fronting Banks as a result of any judgment of a court of competent jurisdiction obtained by any Bank or any Fronting Bank against such Delinquent Bank as a result of such Delinquent Bank’s breach of its obligations under this Agreement; seventh, so long as no Event of Default exists, to the payment of any amounts owing to the Borrower as a result of any judgment of a court of competent jurisdiction obtained by the Borrower against such Delinquent Bank as a result of such Delinquent Bank’s breach of its obligations under this Agreement; and eighth, to such Delinquent Bank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(x) such payment is a payment of the principal amount of any Loans or Reimbursement Obligations in respect of which such Delinquent Bank has not fully funded its appropriate share and (y) such Loans were made or the related Letters of Credit were issued at a time when the conditions set forth in §13 were satisfied or waived, such payment shall be applied solely to pay the Loans of, and Reimbursement Obligations owed to, all Non-Delinquent Banks on a pro rata basis prior to being applied to the payment of any Loans of, or Reimbursement Obligations owed to, such Delinquent Bank until such time as all Loans and funded and unfunded participations in Reimbursement Obligations are held by the Banks pro rata in accordance with the Commitments hereunder without giving effect to §5.12.1(d). Any payments, prepayments or other amounts paid or payable to a Delinquent Bank that are applied (or held) to pay amounts owed by a Delinquent Bank or to post Cash Collateral pursuant to this §5.12.1(b) shall be deemed paid to and redirected by such Delinquent Bank, and each Bank irrevocably consents hereto.</w:t>
      </w:r>
    </w:p>
    <w:p>
      <w:pPr>
        <w:spacing w:after="0" w:line="183" w:lineRule="exact"/>
        <w:rPr>
          <w:sz w:val="20"/>
          <w:szCs w:val="20"/>
          <w:color w:val="auto"/>
        </w:rPr>
      </w:pPr>
    </w:p>
    <w:p>
      <w:pPr>
        <w:ind w:left="1760" w:hanging="456"/>
        <w:spacing w:after="0"/>
        <w:tabs>
          <w:tab w:leader="none" w:pos="1760" w:val="left"/>
        </w:tabs>
        <w:numPr>
          <w:ilvl w:val="0"/>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2600" w:hanging="648"/>
        <w:spacing w:after="0" w:line="243" w:lineRule="auto"/>
        <w:tabs>
          <w:tab w:leader="none" w:pos="2439" w:val="left"/>
        </w:tabs>
        <w:numPr>
          <w:ilvl w:val="1"/>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Delinquent Bank shall be entitled to receive fees payable under §2.3(f) for any period during which that Bank is a Delinquent Bank only to extent allocable to the sum of (1) the outstanding principal amount of the Revolving Credit Loans funded by it, and (2) its Commitment Percentage (based upon such Delinquent Bank’s percentage of the Total Revolving Credit Commitment) of the stated amount of Letters of Credit for which it has provided Cash Collateral pursuant to §5.11.</w:t>
      </w:r>
    </w:p>
    <w:p>
      <w:pPr>
        <w:spacing w:after="0" w:line="177" w:lineRule="exact"/>
        <w:rPr>
          <w:rFonts w:ascii="Times New Roman" w:cs="Times New Roman" w:eastAsia="Times New Roman" w:hAnsi="Times New Roman"/>
          <w:sz w:val="22"/>
          <w:szCs w:val="22"/>
          <w:color w:val="010000"/>
        </w:rPr>
      </w:pPr>
    </w:p>
    <w:p>
      <w:pPr>
        <w:ind w:left="2600" w:hanging="648"/>
        <w:spacing w:after="0" w:line="248" w:lineRule="auto"/>
        <w:tabs>
          <w:tab w:leader="none" w:pos="2472" w:val="left"/>
        </w:tabs>
        <w:numPr>
          <w:ilvl w:val="1"/>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Delinquent Bank shall be entitled to receive Letter of Credit Fees for any period during which that Bank is a Delinquent Bank only to the extent allocable to its Commitment Percentage (based upon such Delinquent Bank’s percentage of the Total Revolving Credit Commitment) of the stated amount of Letters of Credit for which it has provided Cash Collateral pursuant to §5.11.</w:t>
      </w:r>
    </w:p>
    <w:p>
      <w:pPr>
        <w:spacing w:after="0" w:line="169" w:lineRule="exact"/>
        <w:rPr>
          <w:rFonts w:ascii="Times New Roman" w:cs="Times New Roman" w:eastAsia="Times New Roman" w:hAnsi="Times New Roman"/>
          <w:sz w:val="22"/>
          <w:szCs w:val="22"/>
          <w:color w:val="010000"/>
        </w:rPr>
      </w:pPr>
    </w:p>
    <w:p>
      <w:pPr>
        <w:ind w:left="2600" w:right="20" w:hanging="648"/>
        <w:spacing w:after="0" w:line="271" w:lineRule="auto"/>
        <w:tabs>
          <w:tab w:leader="none" w:pos="2532" w:val="left"/>
        </w:tabs>
        <w:numPr>
          <w:ilvl w:val="1"/>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any fee payable under §2.3(f) or any Letter of Credit Fee not required to be paid to any Delinquent Bank pursuant to clause (i) or (ii) above, the Borrower shall (x) pay to each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287" w:right="339" w:bottom="1440" w:gutter="0" w:footer="0" w:header="0"/>
        </w:sectPr>
      </w:pPr>
    </w:p>
    <w:bookmarkStart w:id="231" w:name="page232"/>
    <w:bookmarkEnd w:id="231"/>
    <w:p>
      <w:pPr>
        <w:jc w:val="both"/>
        <w:ind w:left="2600"/>
        <w:spacing w:after="0" w:line="243" w:lineRule="auto"/>
        <w:rPr>
          <w:sz w:val="20"/>
          <w:szCs w:val="20"/>
          <w:color w:val="auto"/>
        </w:rPr>
      </w:pPr>
      <w:r>
        <w:rPr>
          <w:rFonts w:ascii="Times New Roman" w:cs="Times New Roman" w:eastAsia="Times New Roman" w:hAnsi="Times New Roman"/>
          <w:sz w:val="22"/>
          <w:szCs w:val="22"/>
          <w:color w:val="auto"/>
        </w:rPr>
        <w:t>Delinquent Bank that portion of any such fee otherwise payable to such Delinquent Bank with respect to such Delinquent Bank’s participation in Reimbursement Obligations that have been reallocated to such Non-Delinquent Bank pursuant to clause (d) below, (y) pay to the Fronting Banks the amount of any such fee otherwise payable to such Delinquent Bank to the extent allocable to such Fronting Bank’s Fronting Exposure to such Delinquent Bank, and (z) not be required to pay the remaining amount of any such fee.</w:t>
      </w:r>
    </w:p>
    <w:p>
      <w:pPr>
        <w:spacing w:after="0" w:line="191" w:lineRule="exact"/>
        <w:rPr>
          <w:sz w:val="20"/>
          <w:szCs w:val="20"/>
          <w:color w:val="auto"/>
        </w:rPr>
      </w:pPr>
    </w:p>
    <w:p>
      <w:pPr>
        <w:jc w:val="both"/>
        <w:ind w:firstLine="1304"/>
        <w:spacing w:after="0"/>
        <w:tabs>
          <w:tab w:leader="none" w:pos="1804" w:val="left"/>
        </w:tabs>
        <w:numPr>
          <w:ilvl w:val="0"/>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Reallocation of Commitment Percentages to Reduce Fronting Exposure</w:t>
      </w:r>
      <w:r>
        <w:rPr>
          <w:rFonts w:ascii="Times New Roman" w:cs="Times New Roman" w:eastAsia="Times New Roman" w:hAnsi="Times New Roman"/>
          <w:sz w:val="22"/>
          <w:szCs w:val="22"/>
          <w:color w:val="auto"/>
        </w:rPr>
        <w:t>. All or any part of such Delinquent Bank’s participation in Letter of Credit Obligations shall be reallocated among the Non-Delinquent Banks in accordance with their respective Commitment Percentages (based upon such Delinquent Bank’s percentage of the Total Revolving Credit Commitment) in such Letter of Credit Obligations (calculated without regard to such Delinquent Bank’s Revolving Credit Commitment) but only to the extent that such reallocation does not cause the aggregate Revolving Credit Exposure of any Non-Delinquent Bank to exceed such Non-Delinquent Bank’s Commitment. Subject to §37, no reallocation hereunder shall constitute a waiver or release of any claim of any party hereunder against a Delinquent Bank arising from that Bank having become a Delinquent Bank, including any claim of a Non-Delinquent Bank as a result of such Non-Delinquent Bank’s increased exposure following such reallocation.</w:t>
      </w:r>
    </w:p>
    <w:p>
      <w:pPr>
        <w:spacing w:after="0" w:line="193"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765" w:val="left"/>
        </w:tabs>
        <w:numPr>
          <w:ilvl w:val="0"/>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If the reallocation described in clause (d) of this §5.12.1 above cannot, or can only partially, be effected, the Borrower shall, without prejudice to any right or remedy available to it hereunder or under applicable Law, Cash Collateralize the Fronting Banks’ Fronting Exposure in accordance with the procedures set forth in §5.11.</w:t>
      </w:r>
    </w:p>
    <w:p>
      <w:pPr>
        <w:spacing w:after="0" w:line="168"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010000"/>
        </w:rPr>
        <w:t xml:space="preserve">§5.12.2 </w:t>
      </w:r>
      <w:r>
        <w:rPr>
          <w:rFonts w:ascii="Times New Roman" w:cs="Times New Roman" w:eastAsia="Times New Roman" w:hAnsi="Times New Roman"/>
          <w:sz w:val="22"/>
          <w:szCs w:val="22"/>
          <w:u w:val="single" w:color="auto"/>
          <w:color w:val="000000"/>
        </w:rPr>
        <w:t>Delinquent Bank Cure.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If the Borrower, the Agent and the Fronting Banks agree in writing that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Delinquent Bank is no longer a Delinquent Bank, the Agent will so notify the parties hereto, whereupon as of the effective date specified in such notice and subject to any conditions set forth therein (which may include arrangements with respect to any Cash Collateral), that Bank will, to the extent applicable, purchase at par that portion of outstanding Loans of the other Banks or take such other actions as the Agent may determine to be necessary to cause the Loans and funded and unfunded participations in Letters of Credit to be held on a pro rata basis by the Banks in accordance with their applicable Commitment Percentages (without giving effect to §5.12.1(d)), whereupon such Bank will cease to be a Delinquent Bank;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no adjustments will be made retroactively with respect to fees accrued or payments made by or on behalf of the Borrower while that Bank was a Delinquent Bank; and provided, further, that except to the extent otherwise expressly agreed by the affected parties, no change hereunder from Delinquent Bank to Bank will constitute a waiver or release of any claim of any party hereunder arising from that Bank’s having been a Delinquent Bank.</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§5.13 </w:t>
      </w:r>
      <w:r>
        <w:rPr>
          <w:rFonts w:ascii="Times New Roman" w:cs="Times New Roman" w:eastAsia="Times New Roman" w:hAnsi="Times New Roman"/>
          <w:sz w:val="22"/>
          <w:szCs w:val="22"/>
          <w:u w:val="single" w:color="auto"/>
          <w:color w:val="000000"/>
        </w:rPr>
        <w:t>Survival.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All obligations of the Borrower under §§5.2 through 5.9 shall survive the termination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Commitments and the repayment, satisfaction or discharge of all other Obligations hereunder, and resignation of the Agent.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§6 </w:t>
      </w:r>
      <w:r>
        <w:rPr>
          <w:rFonts w:ascii="Times New Roman" w:cs="Times New Roman" w:eastAsia="Times New Roman" w:hAnsi="Times New Roman"/>
          <w:sz w:val="22"/>
          <w:szCs w:val="22"/>
          <w:u w:val="single" w:color="auto"/>
          <w:color w:val="000000"/>
        </w:rPr>
        <w:t>RECOURSE OBLIGATIONS</w:t>
      </w:r>
      <w:r>
        <w:rPr>
          <w:rFonts w:ascii="Times New Roman" w:cs="Times New Roman" w:eastAsia="Times New Roman" w:hAnsi="Times New Roman"/>
          <w:sz w:val="22"/>
          <w:szCs w:val="22"/>
          <w:color w:val="000000"/>
        </w:rPr>
        <w:t>. The Obligations are full recourse obligations of the Borrower, and all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respective assets and properties of the Borrower shall be available for the payment in full in cash and performance of the Obligations. In no event shall BPI have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273" w:right="339" w:bottom="1440" w:gutter="0" w:footer="0" w:header="0"/>
        </w:sectPr>
      </w:pPr>
    </w:p>
    <w:bookmarkStart w:id="232" w:name="page233"/>
    <w:bookmarkEnd w:id="232"/>
    <w:p>
      <w:pPr>
        <w:jc w:val="both"/>
        <w:spacing w:after="0" w:line="263" w:lineRule="auto"/>
        <w:rPr>
          <w:sz w:val="20"/>
          <w:szCs w:val="20"/>
          <w:color w:val="auto"/>
        </w:rPr>
      </w:pPr>
      <w:r>
        <w:rPr>
          <w:rFonts w:ascii="Times New Roman" w:cs="Times New Roman" w:eastAsia="Times New Roman" w:hAnsi="Times New Roman"/>
          <w:sz w:val="22"/>
          <w:szCs w:val="22"/>
          <w:color w:val="auto"/>
        </w:rPr>
        <w:t>personal liability hereunder or under any of the other Loan Documents, either individually or as general partner of BPLP, by application of applicable law or otherwise, except to the extent BPI misappropriates funds, rents or insurance proceeds or engages in gross negligence, willful misconduct or fraud.</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§7 </w:t>
      </w:r>
      <w:r>
        <w:rPr>
          <w:rFonts w:ascii="Times New Roman" w:cs="Times New Roman" w:eastAsia="Times New Roman" w:hAnsi="Times New Roman"/>
          <w:sz w:val="22"/>
          <w:szCs w:val="22"/>
          <w:u w:val="single" w:color="auto"/>
          <w:color w:val="000000"/>
        </w:rPr>
        <w:t>REPRESENTATIONS AND WARRANTIES</w:t>
      </w:r>
      <w:r>
        <w:rPr>
          <w:rFonts w:ascii="Times New Roman" w:cs="Times New Roman" w:eastAsia="Times New Roman" w:hAnsi="Times New Roman"/>
          <w:sz w:val="22"/>
          <w:szCs w:val="22"/>
          <w:color w:val="000000"/>
        </w:rPr>
        <w:t>. The Borrower for itself and for BPI insofar as any such statements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relate to BPI represents and warrants to the Banks all of the statements contained in this §7.</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§7.1</w:t>
      </w:r>
      <w:r>
        <w:rPr>
          <w:sz w:val="20"/>
          <w:szCs w:val="20"/>
          <w:color w:val="auto"/>
        </w:rPr>
        <w:tab/>
      </w:r>
      <w:r>
        <w:rPr>
          <w:rFonts w:ascii="Times New Roman" w:cs="Times New Roman" w:eastAsia="Times New Roman" w:hAnsi="Times New Roman"/>
          <w:sz w:val="21"/>
          <w:szCs w:val="21"/>
          <w:u w:val="single" w:color="auto"/>
          <w:color w:val="auto"/>
        </w:rPr>
        <w:t>Authority, Etc.</w:t>
      </w:r>
    </w:p>
    <w:p>
      <w:pPr>
        <w:spacing w:after="0" w:line="233" w:lineRule="exact"/>
        <w:rPr>
          <w:sz w:val="20"/>
          <w:szCs w:val="20"/>
          <w:color w:val="auto"/>
        </w:rPr>
      </w:pPr>
    </w:p>
    <w:p>
      <w:pPr>
        <w:ind w:left="1760" w:hanging="456"/>
        <w:spacing w:after="0"/>
        <w:tabs>
          <w:tab w:leader="none" w:pos="1760" w:val="left"/>
        </w:tabs>
        <w:numPr>
          <w:ilvl w:val="0"/>
          <w:numId w:val="1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Organization: Good Standing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1300" w:firstLine="652"/>
        <w:spacing w:after="0" w:line="251" w:lineRule="auto"/>
        <w:tabs>
          <w:tab w:leader="none" w:pos="2368" w:val="left"/>
        </w:tabs>
        <w:numPr>
          <w:ilvl w:val="1"/>
          <w:numId w:val="1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is a limited partnership, duly organized, validly existing and in good standing under the laws of the State of Delaware; the Borrower has all requisite limited partnership power to own its respective properties and conduct its respective business as now conducted and as presently contemplated; and the Borrower is in good standing as a foreign entity and is duly authorized to do business in each jurisdiction where such qualification is necessary except where a failure to be so qualified in such jurisdiction would not have a materially adverse effect on any of the Borrower’s businesses, assets or financial conditions.</w:t>
      </w:r>
    </w:p>
    <w:p>
      <w:pPr>
        <w:spacing w:after="0" w:line="181" w:lineRule="exact"/>
        <w:rPr>
          <w:rFonts w:ascii="Times New Roman" w:cs="Times New Roman" w:eastAsia="Times New Roman" w:hAnsi="Times New Roman"/>
          <w:sz w:val="22"/>
          <w:szCs w:val="22"/>
          <w:color w:val="010000"/>
        </w:rPr>
      </w:pPr>
    </w:p>
    <w:p>
      <w:pPr>
        <w:jc w:val="both"/>
        <w:ind w:left="1300" w:firstLine="652"/>
        <w:spacing w:after="0" w:line="248" w:lineRule="auto"/>
        <w:tabs>
          <w:tab w:leader="none" w:pos="2441" w:val="left"/>
        </w:tabs>
        <w:numPr>
          <w:ilvl w:val="1"/>
          <w:numId w:val="1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BPI is a corporation duly organized, validly existing and in good standing under the laws of the State of Delaware; each Subsidiary of the Borrower and BPI is duly organized, validly existing and in good standing as a corporation, nominee trust, limited liability company, limited partnership or general partnership, as the case may be, under the laws of the state of its organization, unless the failure to be so does not relate to BPLP or BPI and is a Non-Material Breach; each of the Borrower and BPI and each of their Subsidiaries has all requisite corporate, trust, limited liability company, limited partnership or general partnership, as the case may be, power to own its respective properties and conduct its respective business as now conducted and as presently contemplated, unless any such failure to have any of the foregoing does not relate to BPLP or BPI and is a Non-Material Breach; and BPI is in good standing as a foreign entity and is duly authorized to do business in the jurisdictions where such qualification is necessary (including in the Commonwealth of Massachusetts) except where a failure to be so qualified in such jurisdiction would not have a materially adverse effect on the business, assets or financial condition of BPI.</w:t>
      </w:r>
    </w:p>
    <w:p>
      <w:pPr>
        <w:spacing w:after="0" w:line="184"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777" w:val="left"/>
        </w:tabs>
        <w:numPr>
          <w:ilvl w:val="0"/>
          <w:numId w:val="1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Capitalization</w:t>
      </w:r>
      <w:r>
        <w:rPr>
          <w:rFonts w:ascii="Times New Roman" w:cs="Times New Roman" w:eastAsia="Times New Roman" w:hAnsi="Times New Roman"/>
          <w:sz w:val="22"/>
          <w:szCs w:val="22"/>
          <w:color w:val="auto"/>
        </w:rPr>
        <w:t>. The outstanding equity of BPLP is comprised of a general partner interest and limited partner interests, all of which have been duly issued and are outstanding and fully paid and non-assessable. All of the issued and outstanding general partner interests of BPLP are owned and held of record by BPI. There are no outstanding securities or agreements exchangeable for or convertible into or carrying any rights to acquire a general partner interest in BPLP. There are no outstanding commitments, options, warrants, calls or other agreements (whether written or oral) binding on BPLP or BPI which require or could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287" w:right="339" w:bottom="1440" w:gutter="0" w:footer="0" w:header="0"/>
        </w:sectPr>
      </w:pPr>
    </w:p>
    <w:bookmarkStart w:id="233" w:name="page234"/>
    <w:bookmarkEnd w:id="233"/>
    <w:p>
      <w:pPr>
        <w:jc w:val="both"/>
        <w:spacing w:after="0" w:line="256" w:lineRule="auto"/>
        <w:rPr>
          <w:sz w:val="20"/>
          <w:szCs w:val="20"/>
          <w:color w:val="auto"/>
        </w:rPr>
      </w:pPr>
      <w:r>
        <w:rPr>
          <w:rFonts w:ascii="Times New Roman" w:cs="Times New Roman" w:eastAsia="Times New Roman" w:hAnsi="Times New Roman"/>
          <w:sz w:val="22"/>
          <w:szCs w:val="22"/>
          <w:color w:val="auto"/>
        </w:rPr>
        <w:t>BPLP or BPI to sell, grant, transfer, assign, mortgage, pledge or otherwise dispose of any general partner interest in BPLP. Except as set forth in the Agreement of Limited Partnership of BPLP, no general partner interests of BPLP are subject to any restrictions on transfer or any partner agreements, voting agreements, trust deeds, irrevocable proxies; or any other similar agreements or interests (whether written or oral).</w:t>
      </w:r>
    </w:p>
    <w:p>
      <w:pPr>
        <w:spacing w:after="0" w:line="176" w:lineRule="exact"/>
        <w:rPr>
          <w:sz w:val="20"/>
          <w:szCs w:val="20"/>
          <w:color w:val="auto"/>
        </w:rPr>
      </w:pPr>
    </w:p>
    <w:p>
      <w:pPr>
        <w:jc w:val="both"/>
        <w:ind w:firstLine="1304"/>
        <w:spacing w:after="0" w:line="248" w:lineRule="auto"/>
        <w:tabs>
          <w:tab w:leader="none" w:pos="1954" w:val="left"/>
        </w:tabs>
        <w:numPr>
          <w:ilvl w:val="0"/>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Due Authorization</w:t>
      </w:r>
      <w:r>
        <w:rPr>
          <w:rFonts w:ascii="Times New Roman" w:cs="Times New Roman" w:eastAsia="Times New Roman" w:hAnsi="Times New Roman"/>
          <w:sz w:val="22"/>
          <w:szCs w:val="22"/>
          <w:color w:val="auto"/>
        </w:rPr>
        <w:t>. The execution, delivery and performance of this Agreement and the other Loan Documents to which the Borrower or BPI is or is to become a party and the transactions contemplated hereby and thereby (i) are within the authority of the Borrower and BPI, (ii) have been duly authorized by all necessary proceedings on the part of the Borrower or BPI, (iii) do not materially conflict with or result in any breach or contravention of any provision of law, statute, rule or regulation to which the Borrower or BPI is subject or any judgment, order, writ, injunction, license or permit applicable to the Borrower or BPI, (iv) do not conflict with any provision of the agreement of limited partnership, any certificate of limited partnership, the charter documents or by-laws of the Borrower or BPI, and (v) do not contravene any provisions of, or constitute Default or Event of Default or a failure to comply with any term, condition or provision of, any other agreement, instrument, judgment, order, decree, permit, license or undertaking binding upon or applicable to the Borrower or BPI or any of the Borrower’s or BPI’s properties (except for any such failure to comply under any such other agreement, instrument, judgment, order, decree, permit, license, or undertaking as would not materially and adversely affect the condition (financial or otherwise), properties, business or results of operations of BPLP, BPI or, taken as a whole, the BP Group) or result in the creation of any mortgage, pledge, security interest, lien, encumbrance or charge upon any of the properties or assets of the Borrower or BPI, as and to the extent the same would constitute a Default or Event of Default.</w:t>
      </w:r>
    </w:p>
    <w:p>
      <w:pPr>
        <w:spacing w:after="0" w:line="187"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764" w:val="left"/>
        </w:tabs>
        <w:numPr>
          <w:ilvl w:val="0"/>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Each of the Loan Documents to which the Borrower or BPI is a party has been duly executed and delivered and constitutes the legal, valid and binding obligations of the Borrower and BPI, as the case may be, subject only to applicable bankruptcy, insolvency, reorganization, moratorium or other laws relating to or affecting generally the enforcement of creditors’ rights and to the fact that the availability of the remedy of specific performance or injunctive relief is subject to the discretion of the court before which any proceeding therefor may be brought.</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§7.2 </w:t>
      </w:r>
      <w:r>
        <w:rPr>
          <w:rFonts w:ascii="Times New Roman" w:cs="Times New Roman" w:eastAsia="Times New Roman" w:hAnsi="Times New Roman"/>
          <w:sz w:val="22"/>
          <w:szCs w:val="22"/>
          <w:u w:val="single" w:color="auto"/>
          <w:color w:val="000000"/>
        </w:rPr>
        <w:t>Governmental Approvals.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execution, delivery and performance by the Borrower of this Agreement and by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Borrower and BPI of the other Loan Documents to which the Borrower or BPI is or is to become a party and the transactions contemplated hereby and thereby do not require (i) the approval or consent of any governmental agency or authority other than those already obtained or those which would not have a material adverse effect on BPLP, BPI or, taken as a whole, the BP Group, or (ii) filing with any governmental agency or authority, other than filings which will be made with the SEC when and as required by law or deemed appropriate by BPI.</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§7.3 </w:t>
      </w:r>
      <w:r>
        <w:rPr>
          <w:rFonts w:ascii="Times New Roman" w:cs="Times New Roman" w:eastAsia="Times New Roman" w:hAnsi="Times New Roman"/>
          <w:sz w:val="22"/>
          <w:szCs w:val="22"/>
          <w:u w:val="single" w:color="auto"/>
          <w:color w:val="000000"/>
        </w:rPr>
        <w:t>Ownership of Assets.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and BPI each has, directly or through Wholly-owned Subsidiaries and/or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Partially-Owned Entities, good fee or leasehold title to all of the Real Estate Assets. Other than through its ownership interests in its Subsidiaries, BPI owns no Real Estate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287" w:right="339" w:bottom="1440" w:gutter="0" w:footer="0" w:header="0"/>
        </w:sectPr>
      </w:pPr>
    </w:p>
    <w:bookmarkStart w:id="234" w:name="page235"/>
    <w:bookmarkEnd w:id="234"/>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§7.4</w:t>
      </w:r>
      <w:r>
        <w:rPr>
          <w:sz w:val="20"/>
          <w:szCs w:val="20"/>
          <w:color w:val="auto"/>
        </w:rPr>
        <w:tab/>
      </w:r>
      <w:r>
        <w:rPr>
          <w:rFonts w:ascii="Times New Roman" w:cs="Times New Roman" w:eastAsia="Times New Roman" w:hAnsi="Times New Roman"/>
          <w:sz w:val="21"/>
          <w:szCs w:val="21"/>
          <w:u w:val="single" w:color="auto"/>
          <w:color w:val="auto"/>
        </w:rPr>
        <w:t xml:space="preserve">Financial Statements. </w:t>
      </w:r>
      <w:r>
        <w:rPr>
          <w:rFonts w:ascii="Times New Roman" w:cs="Times New Roman" w:eastAsia="Times New Roman" w:hAnsi="Times New Roman"/>
          <w:sz w:val="21"/>
          <w:szCs w:val="21"/>
          <w:color w:val="auto"/>
        </w:rPr>
        <w:t>The following financial statements have been furnished to each of the Banks: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consolidated balance sheet of BPI and its Subsidiaries as of December 31, 2020 and their related consolidated statements of income, changes in shareholders’ equity and cash flows for the fiscal year then ended and setting forth in comparative form the figures as of the end of and for the previous fiscal year prepared in accordance with GAAP and accompanied by an auditor’s report prepared without qualification by the Accountants (the “</w:t>
      </w:r>
      <w:r>
        <w:rPr>
          <w:rFonts w:ascii="Times New Roman" w:cs="Times New Roman" w:eastAsia="Times New Roman" w:hAnsi="Times New Roman"/>
          <w:sz w:val="22"/>
          <w:szCs w:val="22"/>
          <w:u w:val="single" w:color="auto"/>
          <w:color w:val="auto"/>
        </w:rPr>
        <w:t>Initial Financial Statements</w:t>
      </w:r>
      <w:r>
        <w:rPr>
          <w:rFonts w:ascii="Times New Roman" w:cs="Times New Roman" w:eastAsia="Times New Roman" w:hAnsi="Times New Roman"/>
          <w:sz w:val="22"/>
          <w:szCs w:val="22"/>
          <w:color w:val="auto"/>
        </w:rPr>
        <w:t>”). The Initial Financial Statements fairly present the financial condition of BPI and its Subsidiaries as at the close of business on the date thereof and the results of operations for the fiscal year then ended. There are no contingent liabilities of BPI or any of its Subsidiaries as of such date involving material amounts, known to the officers of BPI or any of its Subsidiaries not disclosed in said Initial Financial Statements.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§7.5 </w:t>
      </w:r>
      <w:r>
        <w:rPr>
          <w:rFonts w:ascii="Times New Roman" w:cs="Times New Roman" w:eastAsia="Times New Roman" w:hAnsi="Times New Roman"/>
          <w:sz w:val="22"/>
          <w:szCs w:val="22"/>
          <w:u w:val="single" w:color="auto"/>
          <w:color w:val="000000"/>
        </w:rPr>
        <w:t>No Material Changes, Etc.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Between the date of the Initial Financial Statements and the Closing Date, there has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occurred no materially adverse change in the financial condition or business of BPLP, BPI or, taken as a whole, the BP Group, other than changes in the ordinary course of business that have not had any materially adverse effect either individually or in the aggregate on the business or financial condition of BPLP, BPI or, taken as a whole, the BP Group.</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§7.6 </w:t>
      </w:r>
      <w:r>
        <w:rPr>
          <w:rFonts w:ascii="Times New Roman" w:cs="Times New Roman" w:eastAsia="Times New Roman" w:hAnsi="Times New Roman"/>
          <w:sz w:val="22"/>
          <w:szCs w:val="22"/>
          <w:u w:val="single" w:color="auto"/>
          <w:color w:val="000000"/>
        </w:rPr>
        <w:t>Franchises, Patents, Copyrights, Etc.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Except to the extent the failure or breach of such representation or warranty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constitutes a Non-Material Breach, the Borrower, BPI and each of their respective Subsidiaries possess all franchises, patents, copyrights, trademarks, trade names, licenses and permits, and rights in respect of the foregoing, adequate for the conduct of their respective businesses substantially as now conducted without known conflict with any rights of others, including all material Permits.</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§7.7 </w:t>
      </w:r>
      <w:r>
        <w:rPr>
          <w:rFonts w:ascii="Times New Roman" w:cs="Times New Roman" w:eastAsia="Times New Roman" w:hAnsi="Times New Roman"/>
          <w:sz w:val="22"/>
          <w:szCs w:val="22"/>
          <w:u w:val="single" w:color="auto"/>
          <w:color w:val="000000"/>
        </w:rPr>
        <w:t>Litigation.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Except as stated on Schedule 7.7, there are no actions, suits, proceedings or investigations of any kind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pending or, to the Borrower’s knowledge, threatened against the Borrower, BPI or any of their respective Subsidiaries before any court, tribunal or administrative agency or board that, if adversely determined, might, either individually or in the aggregate, materially adversely affect the properties, assets, financial condition or business of BPLP, BPI or, taken as a whole, the BP Group, or materially impair the right of BPLP, BPI or, taken as a whole, the BP Group, to carry on their respective businesses substantially as now conducted by them, or result in any substantial liability not adequately covered by insurance, or for which adequate reserves are not maintained, or which question the validity of this Agreement or any of the other Loan Documents or the undertaking by the Borrower of the provisions hereof or thereof.</w:t>
      </w:r>
    </w:p>
    <w:p>
      <w:pPr>
        <w:spacing w:after="0" w:line="16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010000"/>
        </w:rPr>
        <w:t xml:space="preserve">§7.8 </w:t>
      </w:r>
      <w:r>
        <w:rPr>
          <w:rFonts w:ascii="Times New Roman" w:cs="Times New Roman" w:eastAsia="Times New Roman" w:hAnsi="Times New Roman"/>
          <w:sz w:val="22"/>
          <w:szCs w:val="22"/>
          <w:u w:val="single" w:color="auto"/>
          <w:color w:val="000000"/>
        </w:rPr>
        <w:t>No Materially Adverse Contracts, Etc.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Neither the Borrower, BPI nor any of their respective Subsidiaries is subject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any charter, corporate, partnership or other legal restriction, or any judgment, decree, order, rule or regulation that has or is reasonably expected in the future to have (and with respect solely to any restriction on the timing of any sale or refinancing of a Real Estate Asset which would be an acceptable Lien under the definition of “Unencumbered Asset” contained in an Organizational Document, such expectation existed at the time such restriction was imposed) a materially adverse effect on the respective businesses, assets or financial conditions of BPLP, BPI or, taken as a whole, the BP Group. None of the Borrower, BPI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287" w:right="339" w:bottom="1440" w:gutter="0" w:footer="0" w:header="0"/>
        </w:sectPr>
      </w:pPr>
    </w:p>
    <w:bookmarkStart w:id="235" w:name="page236"/>
    <w:bookmarkEnd w:id="235"/>
    <w:p>
      <w:pPr>
        <w:jc w:val="both"/>
        <w:spacing w:after="0" w:line="295" w:lineRule="auto"/>
        <w:rPr>
          <w:sz w:val="20"/>
          <w:szCs w:val="20"/>
          <w:color w:val="auto"/>
        </w:rPr>
      </w:pPr>
      <w:r>
        <w:rPr>
          <w:rFonts w:ascii="Times New Roman" w:cs="Times New Roman" w:eastAsia="Times New Roman" w:hAnsi="Times New Roman"/>
          <w:sz w:val="21"/>
          <w:szCs w:val="21"/>
          <w:color w:val="auto"/>
        </w:rPr>
        <w:t>of their respective Subsidiaries is a party to any contract or agreement that has or is expected, in the judgment of their respective officers, to have any materially adverse effect on the respective businesses of BPLP, BPI or, taken as a whole, the BP Group.</w:t>
      </w:r>
    </w:p>
    <w:p>
      <w:pPr>
        <w:spacing w:after="0" w:line="12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010000"/>
        </w:rPr>
        <w:t xml:space="preserve">§7.9 </w:t>
      </w:r>
      <w:r>
        <w:rPr>
          <w:rFonts w:ascii="Times New Roman" w:cs="Times New Roman" w:eastAsia="Times New Roman" w:hAnsi="Times New Roman"/>
          <w:sz w:val="22"/>
          <w:szCs w:val="22"/>
          <w:u w:val="single" w:color="auto"/>
          <w:color w:val="000000"/>
        </w:rPr>
        <w:t>Compliance With Other Instruments, Laws, Etc.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Neither the Borrower, BPI nor any of their respective Subsidiaries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is in violation of any provision of its partnership agreement or charter, as the case may be, or, except as disclosed in the audited financial statements of BPI and its Subsidiaries as of December 31, 2020 or as otherwise disclosed to and approved by the Agent and the Banks, any respective agreement or instrument to which it may be subject or by which it or any of its properties may be bound or any decree, order, judgment, statute, license, rule or regulation, in any of the foregoing cases in a manner that could result, individually or in the aggregate, in the imposition of substantial penalties or materially and adversely affect the financial condition, properties or businesses of BPLP, BPI or, taken as a whole, the BP Group.</w:t>
      </w:r>
    </w:p>
    <w:p>
      <w:pPr>
        <w:spacing w:after="0" w:line="17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010000"/>
        </w:rPr>
        <w:t xml:space="preserve">§7.10 </w:t>
      </w:r>
      <w:r>
        <w:rPr>
          <w:rFonts w:ascii="Times New Roman" w:cs="Times New Roman" w:eastAsia="Times New Roman" w:hAnsi="Times New Roman"/>
          <w:sz w:val="22"/>
          <w:szCs w:val="22"/>
          <w:u w:val="single" w:color="auto"/>
          <w:color w:val="000000"/>
        </w:rPr>
        <w:t>Tax Status.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 Each of the Borrower, BPI and their respective Subsidiaries (a) has made or filed all federal, state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local income and all other tax returns, reports and declarations required by any jurisdiction to which it is subject, (b) has paid all taxes and other governmental assessments and charges shown or determined to be due on such returns, reports and declarations, except those being contested in good faith and by appropriate proceedings, and (c) has set aside on its books provisions reasonably adequate for the payment of all taxes for periods subsequent to the periods to which such returns, reports or declarations apply, and (ii) there are no unpaid taxes in any material amount claimed to be due by the taxing authority of any jurisdiction, and the respective officers of the Borrower and BPI and their respective Subsidiaries know of no basis for any such claim; except in any such event as would constitute a Non-Material Breach.</w:t>
      </w:r>
    </w:p>
    <w:p>
      <w:pPr>
        <w:spacing w:after="0" w:line="209"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§7.11</w:t>
      </w:r>
      <w:r>
        <w:rPr>
          <w:sz w:val="20"/>
          <w:szCs w:val="20"/>
          <w:color w:val="auto"/>
        </w:rPr>
        <w:tab/>
      </w:r>
      <w:r>
        <w:rPr>
          <w:rFonts w:ascii="Times New Roman" w:cs="Times New Roman" w:eastAsia="Times New Roman" w:hAnsi="Times New Roman"/>
          <w:sz w:val="21"/>
          <w:szCs w:val="21"/>
          <w:u w:val="single" w:color="auto"/>
          <w:color w:val="auto"/>
        </w:rPr>
        <w:t xml:space="preserve">No Event of Default. </w:t>
      </w:r>
      <w:r>
        <w:rPr>
          <w:rFonts w:ascii="Times New Roman" w:cs="Times New Roman" w:eastAsia="Times New Roman" w:hAnsi="Times New Roman"/>
          <w:sz w:val="21"/>
          <w:szCs w:val="21"/>
          <w:color w:val="auto"/>
        </w:rPr>
        <w:t>No Default or Event of Default has occurred and is continuing.</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§7.12 </w:t>
      </w:r>
      <w:r>
        <w:rPr>
          <w:rFonts w:ascii="Times New Roman" w:cs="Times New Roman" w:eastAsia="Times New Roman" w:hAnsi="Times New Roman"/>
          <w:sz w:val="22"/>
          <w:szCs w:val="22"/>
          <w:u w:val="single" w:color="auto"/>
          <w:color w:val="000000"/>
        </w:rPr>
        <w:t>Investment Company Acts.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None of the Borrower, BPI or any of their respective Subsidiaries is an “investment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company”, or an “affiliated company” or a “principal underwriter” of an “investment company”, as such terms are defined in the Investment Company Act of 1940.</w:t>
      </w:r>
    </w:p>
    <w:p>
      <w:pPr>
        <w:spacing w:after="0" w:line="173"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§7.13</w:t>
      </w:r>
      <w:r>
        <w:rPr>
          <w:sz w:val="20"/>
          <w:szCs w:val="20"/>
          <w:color w:val="auto"/>
        </w:rPr>
        <w:tab/>
      </w:r>
      <w:r>
        <w:rPr>
          <w:rFonts w:ascii="Times New Roman" w:cs="Times New Roman" w:eastAsia="Times New Roman" w:hAnsi="Times New Roman"/>
          <w:sz w:val="21"/>
          <w:szCs w:val="21"/>
          <w:u w:val="single" w:color="auto"/>
          <w:color w:val="auto"/>
        </w:rPr>
        <w:t xml:space="preserve">Affected Financial Institutions. </w:t>
      </w:r>
      <w:r>
        <w:rPr>
          <w:rFonts w:ascii="Times New Roman" w:cs="Times New Roman" w:eastAsia="Times New Roman" w:hAnsi="Times New Roman"/>
          <w:sz w:val="21"/>
          <w:szCs w:val="21"/>
          <w:color w:val="auto"/>
        </w:rPr>
        <w:t>The Borrower is not an Affected Financial Institution.</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§7.14 </w:t>
      </w:r>
      <w:r>
        <w:rPr>
          <w:rFonts w:ascii="Times New Roman" w:cs="Times New Roman" w:eastAsia="Times New Roman" w:hAnsi="Times New Roman"/>
          <w:sz w:val="22"/>
          <w:szCs w:val="22"/>
          <w:u w:val="single" w:color="auto"/>
          <w:color w:val="000000"/>
        </w:rPr>
        <w:t>Solvency.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Immediately after giving effect to all Loans and other extensions of credit outstanding on the Closing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Date (including extensions of credit made on the Closing Date), each of the Borrower, BPI and their respective Subsidiaries is solvent.</w:t>
      </w:r>
    </w:p>
    <w:p>
      <w:pPr>
        <w:spacing w:after="0" w:line="173"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§7.15</w:t>
      </w:r>
      <w:r>
        <w:rPr>
          <w:sz w:val="20"/>
          <w:szCs w:val="20"/>
          <w:color w:val="auto"/>
        </w:rPr>
        <w:tab/>
      </w:r>
      <w:r>
        <w:rPr>
          <w:rFonts w:ascii="Times New Roman" w:cs="Times New Roman" w:eastAsia="Times New Roman" w:hAnsi="Times New Roman"/>
          <w:sz w:val="21"/>
          <w:szCs w:val="21"/>
          <w:u w:val="single" w:color="auto"/>
          <w:color w:val="auto"/>
        </w:rPr>
        <w:t>Intentionally Deleted.</w:t>
      </w:r>
    </w:p>
    <w:p>
      <w:pPr>
        <w:spacing w:after="0" w:line="220"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§7.16</w:t>
      </w:r>
      <w:r>
        <w:rPr>
          <w:sz w:val="20"/>
          <w:szCs w:val="20"/>
          <w:color w:val="auto"/>
        </w:rPr>
        <w:tab/>
      </w:r>
      <w:r>
        <w:rPr>
          <w:rFonts w:ascii="Times New Roman" w:cs="Times New Roman" w:eastAsia="Times New Roman" w:hAnsi="Times New Roman"/>
          <w:sz w:val="21"/>
          <w:szCs w:val="21"/>
          <w:u w:val="single" w:color="auto"/>
          <w:color w:val="auto"/>
        </w:rPr>
        <w:t>ERISA Compliance.</w:t>
      </w:r>
    </w:p>
    <w:p>
      <w:pPr>
        <w:spacing w:after="0" w:line="220" w:lineRule="exact"/>
        <w:rPr>
          <w:sz w:val="20"/>
          <w:szCs w:val="20"/>
          <w:color w:val="auto"/>
        </w:rPr>
      </w:pPr>
    </w:p>
    <w:p>
      <w:pPr>
        <w:jc w:val="both"/>
        <w:ind w:firstLine="1304"/>
        <w:spacing w:after="0" w:line="244" w:lineRule="auto"/>
        <w:tabs>
          <w:tab w:leader="none" w:pos="1860" w:val="left"/>
        </w:tabs>
        <w:numPr>
          <w:ilvl w:val="0"/>
          <w:numId w:val="1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Employee Benefit Plan (other than a Multiemployer Plan) and, to the Borrower’s knowledge, each Multiemployer Plan, is in compliance in all material respects with the applicable provisions of ERISA, the Code and other Federal or state laws. Each Pension Plan (other than a Multiemployer Plan) that is intended to be a qualified plan under Section 401(a) of the Code has received a favorable determination letter from the Internal Revenue Service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273" w:right="339" w:bottom="1440" w:gutter="0" w:footer="0" w:header="0"/>
        </w:sectPr>
      </w:pPr>
    </w:p>
    <w:bookmarkStart w:id="236" w:name="page237"/>
    <w:bookmarkEnd w:id="236"/>
    <w:p>
      <w:pPr>
        <w:jc w:val="both"/>
        <w:spacing w:after="0" w:line="247" w:lineRule="auto"/>
        <w:rPr>
          <w:sz w:val="20"/>
          <w:szCs w:val="20"/>
          <w:color w:val="auto"/>
        </w:rPr>
      </w:pPr>
      <w:r>
        <w:rPr>
          <w:rFonts w:ascii="Times New Roman" w:cs="Times New Roman" w:eastAsia="Times New Roman" w:hAnsi="Times New Roman"/>
          <w:sz w:val="22"/>
          <w:szCs w:val="22"/>
          <w:color w:val="auto"/>
        </w:rPr>
        <w:t>effect that the form of such Pension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Borrower, nothing has occurred that would reasonably be expected to prevent or cause the loss of the tax-qualified status of any Pension Plan that is intended to be a qualified plan under Section 401(a) of the Code.</w:t>
      </w:r>
    </w:p>
    <w:p>
      <w:pPr>
        <w:spacing w:after="0" w:line="170" w:lineRule="exact"/>
        <w:rPr>
          <w:sz w:val="20"/>
          <w:szCs w:val="20"/>
          <w:color w:val="auto"/>
        </w:rPr>
      </w:pPr>
    </w:p>
    <w:p>
      <w:pPr>
        <w:jc w:val="both"/>
        <w:ind w:right="20" w:firstLine="1304"/>
        <w:spacing w:after="0" w:line="243" w:lineRule="auto"/>
        <w:tabs>
          <w:tab w:leader="none" w:pos="1818" w:val="left"/>
        </w:tabs>
        <w:numPr>
          <w:ilvl w:val="0"/>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pending or, to the best knowledge of the Borrower, threatened claims, actions or lawsuits, or action by any Governmental Authority, with respect to any Employee Benefit Plan that could reasonably be expected to have a material adverse effect on the business, assets, financial condition or prospects, or operations of BPLP, BPI or, taken as a whole, the BP Group. There has been no prohibited transaction or violation of the fiduciary responsibility rules with respect to any Employee Benefit Plan that has resulted or could reasonably be expected to result in a material adverse effect on the business, assets, financial condition or prospects, or operations of BPLP, BPI or, taken as a whole, the BP Group.</w:t>
      </w:r>
    </w:p>
    <w:p>
      <w:pPr>
        <w:spacing w:after="0" w:line="177" w:lineRule="exact"/>
        <w:rPr>
          <w:rFonts w:ascii="Times New Roman" w:cs="Times New Roman" w:eastAsia="Times New Roman" w:hAnsi="Times New Roman"/>
          <w:sz w:val="22"/>
          <w:szCs w:val="22"/>
          <w:color w:val="010000"/>
        </w:rPr>
      </w:pPr>
    </w:p>
    <w:p>
      <w:pPr>
        <w:jc w:val="both"/>
        <w:ind w:firstLine="1304"/>
        <w:spacing w:after="0" w:line="239" w:lineRule="auto"/>
        <w:tabs>
          <w:tab w:leader="none" w:pos="1833" w:val="left"/>
        </w:tabs>
        <w:numPr>
          <w:ilvl w:val="0"/>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No ERISA Reportable Event has occurred, and none of the Borrower, BPI nor any ERISA Affiliate is aware of any fact, event or circumstance that could reasonably be expected to constitute or result in an ERISA Reportable Event with respect to any Pension Plan; (ii) each of the Borrower, BPI and each ERISA Affiliate has met all applicable requirements under the Pension Funding Rules in respect of each Pension Plan (other than a Multiemployer Plan), and no waiver of the minimum funding standards under the Pension Funding Rules has been applied for or obtained; (iii) no Multiemployer Plan to which the Borrower, BPI or any ERISA Affiliate contributes or is obligated to make contributions has any “accumulated funding deficiency” under Section 431(a) of the Code or is in either “critical” or “endangered” status within the meaning of Section 432(b) of the Code; (iv) as of the most recent valuation date for any Pension Plan (other than a Multiemployer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(v) none of the Borrower, BPI nor any ERISA Affiliate has incurred any liability to the PBGC other than for the payment of premiums, and there are no premium payments which have become due that are unpaid; (vi) none of the Borrower, BPI nor any ERISA Affiliate has engaged in a transaction that could be subject to Section 4069 or Section 4212(c) of ERISA or has any liability pursuant to Part 1 of Subtitle E of Title IV of ERISA for any complete or partial withdrawal from any Multiemployer Plan; and (vii) no Pension Plan (other than a Multiemployer Plan) has been terminated by the plan administrator thereof or by the PBGC, and no event or circumstance has occurred or exists that could reasonably be expected to cause the PBGC to institute proceedings under Title IV of ERISA to terminate any Pension Plan (other than a Multiemployer Plan), and there has been no notification that a Multiemployer Plan has been terminated by the plan administrator thereof or by the PBGC, and, to the Borrower’s knowledge, no event or circumstance has occurred or exists that could reasonably be expected to cause the PBGC to institute proceedings under Title IV of ERISA to terminate any Multiemployer Plan.</w:t>
      </w:r>
    </w:p>
    <w:p>
      <w:pPr>
        <w:spacing w:after="0" w:line="190"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85" w:val="left"/>
        </w:tabs>
        <w:numPr>
          <w:ilvl w:val="0"/>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disclosed in the SEC Filings or on Schedule 7.16, none of the Borrower, BPI or any ERISA Affiliate maintains or contributes to, or has any unsatisfied obligation to contribute to, or liability under, any active or terminated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273" w:right="339" w:bottom="1440" w:gutter="0" w:footer="0" w:header="0"/>
        </w:sectPr>
      </w:pPr>
    </w:p>
    <w:bookmarkStart w:id="237" w:name="page238"/>
    <w:bookmarkEnd w:id="237"/>
    <w:p>
      <w:pPr>
        <w:jc w:val="both"/>
        <w:ind w:firstLine="1304"/>
        <w:spacing w:after="0" w:line="263" w:lineRule="auto"/>
        <w:tabs>
          <w:tab w:leader="none" w:pos="1752" w:val="left"/>
        </w:tabs>
        <w:numPr>
          <w:ilvl w:val="0"/>
          <w:numId w:val="1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of the Closing Date, that the Borrower is not and will not be using “plan assets” (within the meaning of 29 CFR § 2510.3-101, as modified by Section 3(42) of ERISA or otherwise) of one or more Benefit Plans in connection with the Loans, the Letters of Credit or the Commitments.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§7.17 </w:t>
      </w:r>
      <w:r>
        <w:rPr>
          <w:rFonts w:ascii="Times New Roman" w:cs="Times New Roman" w:eastAsia="Times New Roman" w:hAnsi="Times New Roman"/>
          <w:sz w:val="22"/>
          <w:szCs w:val="22"/>
          <w:u w:val="single" w:color="auto"/>
          <w:color w:val="000000"/>
        </w:rPr>
        <w:t>Regulations U and X.</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 portion of any Loan is to be used, and no portion of any Letter of Credit is to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obtained, for the purpose of purchasing or carrying any “margin security” or “margin stock” as such terms are used in Regulations U and X of the Board of Governors of the Federal Reserve System, 12 C.F.R. Parts 221 and 224.</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§7.18 </w:t>
      </w:r>
      <w:r>
        <w:rPr>
          <w:rFonts w:ascii="Times New Roman" w:cs="Times New Roman" w:eastAsia="Times New Roman" w:hAnsi="Times New Roman"/>
          <w:sz w:val="22"/>
          <w:szCs w:val="22"/>
          <w:u w:val="single" w:color="auto"/>
          <w:color w:val="000000"/>
        </w:rPr>
        <w:t>Environmental Compliance.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has caused Phase I and other environmental assessments (collectively,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w:t>
      </w:r>
      <w:r>
        <w:rPr>
          <w:rFonts w:ascii="Times New Roman" w:cs="Times New Roman" w:eastAsia="Times New Roman" w:hAnsi="Times New Roman"/>
          <w:sz w:val="22"/>
          <w:szCs w:val="22"/>
          <w:u w:val="single" w:color="auto"/>
          <w:color w:val="000000"/>
        </w:rPr>
        <w:t>Environmental Reports</w:t>
      </w:r>
      <w:r>
        <w:rPr>
          <w:rFonts w:ascii="Times New Roman" w:cs="Times New Roman" w:eastAsia="Times New Roman" w:hAnsi="Times New Roman"/>
          <w:sz w:val="22"/>
          <w:szCs w:val="22"/>
          <w:color w:val="000000"/>
        </w:rPr>
        <w:t>”) to be conducted and/or taken other steps to investigate the past and present environmental condition and usage of the Real Estate Assets. Based upon such Environmental Reports, to the Borrower’s knowledge, except as identified in such Environmental Reports, the Borrower makes the following representations and warranties:</w:t>
      </w:r>
    </w:p>
    <w:p>
      <w:pPr>
        <w:spacing w:after="0" w:line="179" w:lineRule="exact"/>
        <w:rPr>
          <w:sz w:val="20"/>
          <w:szCs w:val="20"/>
          <w:color w:val="auto"/>
        </w:rPr>
      </w:pPr>
    </w:p>
    <w:p>
      <w:pPr>
        <w:jc w:val="both"/>
        <w:ind w:firstLine="1304"/>
        <w:spacing w:after="0" w:line="250" w:lineRule="auto"/>
        <w:tabs>
          <w:tab w:leader="none" w:pos="1779" w:val="left"/>
        </w:tabs>
        <w:numPr>
          <w:ilvl w:val="0"/>
          <w:numId w:val="1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Borrower, its Subsidiaries, BPI or any operator of the Real Estate Assets or any portion thereof, or any operations thereon is in material violation, or alleged material violation, of any judgment, decree, order, law, license, rule or regulation pertaining to environmental matters, including without limitation, those arising under the Resource Conservation and Recovery Act (“</w:t>
      </w:r>
      <w:r>
        <w:rPr>
          <w:rFonts w:ascii="Times New Roman" w:cs="Times New Roman" w:eastAsia="Times New Roman" w:hAnsi="Times New Roman"/>
          <w:sz w:val="22"/>
          <w:szCs w:val="22"/>
          <w:u w:val="single" w:color="auto"/>
          <w:color w:val="auto"/>
        </w:rPr>
        <w:t>RCRA</w:t>
      </w:r>
      <w:r>
        <w:rPr>
          <w:rFonts w:ascii="Times New Roman" w:cs="Times New Roman" w:eastAsia="Times New Roman" w:hAnsi="Times New Roman"/>
          <w:sz w:val="22"/>
          <w:szCs w:val="22"/>
          <w:color w:val="auto"/>
        </w:rPr>
        <w:t>”), the Comprehensive Environmental Response, Compensation and Liability Act of 1980 as amended (“</w:t>
      </w: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the Superfund Amendments and Reauthorization Act of 1986 (“</w:t>
      </w:r>
      <w:r>
        <w:rPr>
          <w:rFonts w:ascii="Times New Roman" w:cs="Times New Roman" w:eastAsia="Times New Roman" w:hAnsi="Times New Roman"/>
          <w:sz w:val="22"/>
          <w:szCs w:val="22"/>
          <w:u w:val="single" w:color="auto"/>
          <w:color w:val="auto"/>
        </w:rPr>
        <w:t>SARA</w:t>
      </w:r>
      <w:r>
        <w:rPr>
          <w:rFonts w:ascii="Times New Roman" w:cs="Times New Roman" w:eastAsia="Times New Roman" w:hAnsi="Times New Roman"/>
          <w:sz w:val="22"/>
          <w:szCs w:val="22"/>
          <w:color w:val="auto"/>
        </w:rPr>
        <w:t>”), the Federal Clean Water Act, the Federal Clean Air Act, the Toxic Substances Control Act, or any state or local statute, regulation, ordinance, order or decree relating to health, safety or the environment (hereinafter “</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which violation or alleged violation has, or its remediation would have, by itself or when aggregated with all such other violations or alleged violations, a material adverse effect on the business, assets or financial condition of the Borrower and its Subsidiaries, taken as a whole.</w:t>
      </w:r>
    </w:p>
    <w:p>
      <w:pPr>
        <w:spacing w:after="0" w:line="179" w:lineRule="exact"/>
        <w:rPr>
          <w:rFonts w:ascii="Times New Roman" w:cs="Times New Roman" w:eastAsia="Times New Roman" w:hAnsi="Times New Roman"/>
          <w:sz w:val="22"/>
          <w:szCs w:val="22"/>
          <w:color w:val="010000"/>
        </w:rPr>
      </w:pPr>
    </w:p>
    <w:p>
      <w:pPr>
        <w:jc w:val="both"/>
        <w:ind w:firstLine="1304"/>
        <w:spacing w:after="0" w:line="261" w:lineRule="auto"/>
        <w:tabs>
          <w:tab w:leader="none" w:pos="1777" w:val="left"/>
        </w:tabs>
        <w:numPr>
          <w:ilvl w:val="0"/>
          <w:numId w:val="1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None of the Borrower, BPI or any of their respective Subsidiaries has received written notice from any third party, including, without limitation, any federal, state or local governmental authority, (i) that it has been identified by the United States Environmental Protection Agency (“EPA”) as a potentially responsible party under CERCLA with respect to a site listed on the National Priorities List, 40 C.F.R. Part 300 Appendix B (1986), (ii) that any hazardous waste, as defined by 42 U.S.C. § 9601(5), any hazardous substances as defined by 42 U.S.C. § 9601(14), any pollutant or contaminant as defined by 42 U.S.C. §9601(33) or any toxic substances, oil or hazardous materials or other chemicals or substances regulated by any Environmental Laws (“Hazardous Substances”) which it has generated, transported or disposed of have been found at any site at which a federal, state or local agency or other third party has conducted or has ordered that the Borrower, BPI or any of their respective Subsidiaries conduct a remedial investigation, removal or other response action pursuant to any Environmental Law, or (iii) that it is or shall be a named party to any claim, action, cause of action, complaint, or legal or administrative proceeding (in each case, contingent or otherwise) arising out of any third party’s incurrence of costs, expenses, losses or damages of any kind whatsoever in connection with the release of Hazardous Substances, which event described in any such notice would have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287"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2"/>
          <w:szCs w:val="22"/>
          <w:color w:val="auto"/>
        </w:rPr>
        <w:t>adverse effect on the business, assets or financial condition of the Borrower and its Subsidiaries, taken as a whole.</w:t>
      </w:r>
    </w:p>
    <w:p>
      <w:pPr>
        <w:spacing w:after="0" w:line="233" w:lineRule="exact"/>
        <w:rPr>
          <w:sz w:val="20"/>
          <w:szCs w:val="20"/>
          <w:color w:val="auto"/>
        </w:rPr>
      </w:pPr>
    </w:p>
    <w:p>
      <w:pPr>
        <w:jc w:val="both"/>
        <w:ind w:firstLine="1304"/>
        <w:spacing w:after="0" w:line="259" w:lineRule="auto"/>
        <w:tabs>
          <w:tab w:leader="none" w:pos="1765" w:val="left"/>
        </w:tabs>
        <w:numPr>
          <w:ilvl w:val="0"/>
          <w:numId w:val="20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to the extent the occurrence of any of the events described in clauses (i) through (v) below would not have a material adverse effect on the business, assets or financial condition of BPLP, BPI, or taken as a whole, the BP Group, (i) no portion of the Real Estate Assets has been used for the handling, processing, storage or disposal of Hazardous Substances except in material accordance with applicable Environmental Laws; and no underground tank or other underground storage receptacle for Hazardous Substances is located on any portion of any Real Estate Assets except in material accordance with applicable Environmental Laws, (ii) in the course of any activities conducted by the Borrower, BPI, their respective Subsidiaries or the operators of their respective properties or any ground or space tenants on any Real Estate Asset, no Hazardous Substances have been generated or are being used on such Real Estate Asset except in material accordance with applicable Environmental Laws, (iii) there has been no present or, to the best of the Borrower’s knowledge, past releasing, spilling, leaking, pumping, pouring, emitting, emptying, discharging, injecting, escaping, disposing or dumping (a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or threatened Release of Hazardous Substances on, upon, into or from the Real Estate Assets in violation of applicable Environmental Laws, (iv) to the best of the Borrower’s knowledge, there have been no Releases in violation of applicable Environmental Laws upon, from or into any real property in the vicinity of any of the Real Estate Assets which, through soil or groundwater contamination, may have come to be located on such Real Estate Asset, and (v) to the best of the Borrower’s Knowledge, any Hazardous Substances that have been generated on any of the Real Estate Assets during ownership thereof by the Borrower, BPI, their respective Subsidiaries or the operations of their respective properties have been transported off-site only in compliance with all applicable Environmental Laws. Notwithstanding that the representations contained herein are limited to the knowledge of the Borrower, any such limitation shall not affect the covenants specified in §8.11 or elsewhere in this Agreement.</w:t>
      </w:r>
    </w:p>
    <w:p>
      <w:pPr>
        <w:spacing w:after="0" w:line="182" w:lineRule="exact"/>
        <w:rPr>
          <w:rFonts w:ascii="Times New Roman" w:cs="Times New Roman" w:eastAsia="Times New Roman" w:hAnsi="Times New Roman"/>
          <w:sz w:val="21"/>
          <w:szCs w:val="21"/>
          <w:color w:val="010000"/>
        </w:rPr>
      </w:pPr>
    </w:p>
    <w:p>
      <w:pPr>
        <w:jc w:val="both"/>
        <w:ind w:firstLine="1304"/>
        <w:spacing w:after="0" w:line="253" w:lineRule="auto"/>
        <w:tabs>
          <w:tab w:leader="none" w:pos="1791" w:val="left"/>
        </w:tabs>
        <w:numPr>
          <w:ilvl w:val="0"/>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Borrower, BPI or any of the Real Estate Assets is subject to any applicable Environmental Law requiring the performance of Hazardous Substances site assessments, or the removal or remediation of Hazardous Substances, or the giving of notice to any governmental agency or the recording or delivery to other Persons of an environmental disclosure document or statement, by virtue of the transactions set forth herein and contemplated hereby, or as a condition to the effectiveness of any other transactions contemplated hereby.</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§7.19 </w:t>
      </w:r>
      <w:r>
        <w:rPr>
          <w:rFonts w:ascii="Times New Roman" w:cs="Times New Roman" w:eastAsia="Times New Roman" w:hAnsi="Times New Roman"/>
          <w:sz w:val="22"/>
          <w:szCs w:val="22"/>
          <w:u w:val="single" w:color="auto"/>
          <w:color w:val="000000"/>
        </w:rPr>
        <w:t>OFAC.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None of the Borrower, BPI or any of their respective Subsidiaries, or, to the knowledge of the Borrower,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director, officer, employee, agent, affiliate or representative of the Borrower, BPI or any of their respective Subsidiaries, is an individual or entity that is, or is 50% or more owned or controlled by individuals or entities that are, currently the subject of any Sanctions or included on OFAC’s List of Specially Designated Nationals or any similar list enforced by any other relevant sanctions authority, if and to the extent applicable, and none of the Borrower, BPI or any of their respective Subsidiaries is located, organized or resident in a Designated Jurisdiction. The Borrower, BPI and their respective Subsidiaries have conducted their businesses in compliance in all material respects with all applicable Sanctions and have instituted and maintained policies and procedures designed to promote and achieve compliance with such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287" w:right="339" w:bottom="1440" w:gutter="0" w:footer="0" w:header="0"/>
        </w:sectPr>
      </w:pPr>
    </w:p>
    <w:bookmarkStart w:id="239" w:name="page240"/>
    <w:bookmarkEnd w:id="239"/>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§7.20</w:t>
      </w:r>
      <w:r>
        <w:rPr>
          <w:sz w:val="20"/>
          <w:szCs w:val="20"/>
          <w:color w:val="auto"/>
        </w:rPr>
        <w:tab/>
      </w:r>
      <w:r>
        <w:rPr>
          <w:rFonts w:ascii="Times New Roman" w:cs="Times New Roman" w:eastAsia="Times New Roman" w:hAnsi="Times New Roman"/>
          <w:sz w:val="21"/>
          <w:szCs w:val="21"/>
          <w:u w:val="single" w:color="auto"/>
          <w:color w:val="auto"/>
        </w:rPr>
        <w:t>Disclosures.</w:t>
      </w:r>
    </w:p>
    <w:p>
      <w:pPr>
        <w:spacing w:after="0" w:line="220" w:lineRule="exact"/>
        <w:rPr>
          <w:sz w:val="20"/>
          <w:szCs w:val="20"/>
          <w:color w:val="auto"/>
        </w:rPr>
      </w:pPr>
    </w:p>
    <w:p>
      <w:pPr>
        <w:jc w:val="both"/>
        <w:ind w:firstLine="1304"/>
        <w:spacing w:after="0" w:line="257" w:lineRule="auto"/>
        <w:tabs>
          <w:tab w:leader="none" w:pos="1794"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representations and warranties by or on behalf of the Borrower and BPI made in this Agreement and in the other Loan Documents or any document or instrument delivered to the Agent or the Banks pursuant to or in connection with any of such Loan Documents are true and correct in all material respects (without duplication of materiality qualifiers set forth in such representations and warranties), except with respect to the representations and warranties set forth in §7.19 and §7.20(b), in which case they are true and correct in all respects, and do not include any untrue statement of a material fact or omit to state a material fact required to be stated or necessary to make such representations and warranties not materially misleading.</w:t>
      </w:r>
    </w:p>
    <w:p>
      <w:pPr>
        <w:spacing w:after="0" w:line="162" w:lineRule="exact"/>
        <w:rPr>
          <w:rFonts w:ascii="Times New Roman" w:cs="Times New Roman" w:eastAsia="Times New Roman" w:hAnsi="Times New Roman"/>
          <w:sz w:val="21"/>
          <w:szCs w:val="21"/>
          <w:color w:val="auto"/>
        </w:rPr>
      </w:pPr>
    </w:p>
    <w:p>
      <w:pPr>
        <w:ind w:firstLine="1304"/>
        <w:spacing w:after="0" w:line="271" w:lineRule="auto"/>
        <w:tabs>
          <w:tab w:leader="none" w:pos="1839"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 information included in the Beneficial Ownership Certification, if applicable, furnished to any Bank is true and correct in all respects.</w:t>
      </w:r>
    </w:p>
    <w:p>
      <w:pPr>
        <w:spacing w:after="0" w:line="14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§7.21 </w:t>
      </w:r>
      <w:r>
        <w:rPr>
          <w:rFonts w:ascii="Times New Roman" w:cs="Times New Roman" w:eastAsia="Times New Roman" w:hAnsi="Times New Roman"/>
          <w:sz w:val="22"/>
          <w:szCs w:val="22"/>
          <w:u w:val="single" w:color="auto"/>
          <w:color w:val="000000"/>
        </w:rPr>
        <w:t>Anti-Corruption Laws.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BPI and their respective Subsidiaries have conducted their businesses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compliance with the United States Foreign Corrupt Practices Act of 1977, the UK Bribery Act 2010, and other similar anti-corruption legislation in other jurisdictions and have instituted and maintained policies and procedures designed to promote and achieve compliance with such laws, to the extent applicable.</w:t>
      </w:r>
    </w:p>
    <w:p>
      <w:pPr>
        <w:spacing w:after="0" w:line="18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010000"/>
        </w:rPr>
        <w:t xml:space="preserve">§7.22 </w:t>
      </w:r>
      <w:r>
        <w:rPr>
          <w:rFonts w:ascii="Times New Roman" w:cs="Times New Roman" w:eastAsia="Times New Roman" w:hAnsi="Times New Roman"/>
          <w:sz w:val="22"/>
          <w:szCs w:val="22"/>
          <w:u w:val="single" w:color="auto"/>
          <w:color w:val="000000"/>
        </w:rPr>
        <w:t>Anti-Money Laundering.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None of the Borrower, BPI or any of their respective Subsidiaries, or, to the knowledge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Borrower, any director, officer, employee, agent, affiliate or representative of the Borrower, BPI or any of their respective Subsidiaries has violated or is in violation of any applicable anti-money laundering law. The Borrower, BPI and their respective Subsidiaries have instituted and maintain policies and procedures designed to promote and achieve compliance with such laws, to the extent applicable.</w:t>
      </w:r>
    </w:p>
    <w:p>
      <w:pPr>
        <w:spacing w:after="0" w:line="17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§8 </w:t>
      </w:r>
      <w:r>
        <w:rPr>
          <w:rFonts w:ascii="Times New Roman" w:cs="Times New Roman" w:eastAsia="Times New Roman" w:hAnsi="Times New Roman"/>
          <w:sz w:val="22"/>
          <w:szCs w:val="22"/>
          <w:u w:val="single" w:color="auto"/>
          <w:color w:val="000000"/>
        </w:rPr>
        <w:t>AFFIRMATIVE COVENANTS OF THE BORROWER AND BPI</w:t>
      </w:r>
      <w:r>
        <w:rPr>
          <w:rFonts w:ascii="Times New Roman" w:cs="Times New Roman" w:eastAsia="Times New Roman" w:hAnsi="Times New Roman"/>
          <w:sz w:val="22"/>
          <w:szCs w:val="22"/>
          <w:color w:val="000000"/>
        </w:rPr>
        <w:t>. The Borrower for itself and on behalf of BPI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their respective Subsidiaries (if and to the extent expressly included in subsections contained in this §8) covenants and agrees that, so long as any Loan, Letter of Credit or Note is outstanding or any Bank has any obligation to make any Loans or any Bank has any obligation to issue, extend, increase or renew any Letters of Credit:</w:t>
      </w:r>
    </w:p>
    <w:p>
      <w:pPr>
        <w:spacing w:after="0" w:line="16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§8.1 </w:t>
      </w:r>
      <w:r>
        <w:rPr>
          <w:rFonts w:ascii="Times New Roman" w:cs="Times New Roman" w:eastAsia="Times New Roman" w:hAnsi="Times New Roman"/>
          <w:sz w:val="22"/>
          <w:szCs w:val="22"/>
          <w:u w:val="single" w:color="auto"/>
          <w:color w:val="000000"/>
        </w:rPr>
        <w:t>Punctual Payment.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will duly and punctually pay or cause to be paid the principal and interest on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Loans and all interest, fees, charges and other amounts provided for in this Agreement and the other Loan Documents, all in accordance with the terms of this Agreement and the Notes, and the other Loan Documents.</w:t>
      </w:r>
    </w:p>
    <w:p>
      <w:pPr>
        <w:spacing w:after="0" w:line="15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§8.2 </w:t>
      </w:r>
      <w:r>
        <w:rPr>
          <w:rFonts w:ascii="Times New Roman" w:cs="Times New Roman" w:eastAsia="Times New Roman" w:hAnsi="Times New Roman"/>
          <w:sz w:val="22"/>
          <w:szCs w:val="22"/>
          <w:u w:val="single" w:color="auto"/>
          <w:color w:val="000000"/>
        </w:rPr>
        <w:t>Maintenance of Office.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Borrower and BPI will maintain its principal executive office in Boston,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Massachusetts, or at such other place in the United States of America as each of them shall designate by written notice to the Agent to be delivered within fifteen (15) days of any change of principal executive office, where, subject to §22, notices, presentations and demands to or upon the Borrower and BPI in respect of the Loan Documents may be given or made.</w:t>
      </w:r>
    </w:p>
    <w:p>
      <w:pPr>
        <w:spacing w:after="0" w:line="16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§8.3 </w:t>
      </w:r>
      <w:r>
        <w:rPr>
          <w:rFonts w:ascii="Times New Roman" w:cs="Times New Roman" w:eastAsia="Times New Roman" w:hAnsi="Times New Roman"/>
          <w:sz w:val="22"/>
          <w:szCs w:val="22"/>
          <w:u w:val="single" w:color="auto"/>
          <w:color w:val="000000"/>
        </w:rPr>
        <w:t>Records and Accounts.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Borrower and BPI will (a) keep, and cause each of its Subsidiaries to keep, true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accurate records and books of account in which full, 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273" w:right="339" w:bottom="1440" w:gutter="0" w:footer="0" w:header="0"/>
        </w:sectPr>
      </w:pPr>
    </w:p>
    <w:bookmarkStart w:id="240" w:name="page241"/>
    <w:bookmarkEnd w:id="240"/>
    <w:p>
      <w:pPr>
        <w:jc w:val="both"/>
        <w:spacing w:after="0" w:line="250" w:lineRule="auto"/>
        <w:rPr>
          <w:sz w:val="20"/>
          <w:szCs w:val="20"/>
          <w:color w:val="auto"/>
        </w:rPr>
      </w:pPr>
      <w:r>
        <w:rPr>
          <w:rFonts w:ascii="Times New Roman" w:cs="Times New Roman" w:eastAsia="Times New Roman" w:hAnsi="Times New Roman"/>
          <w:sz w:val="22"/>
          <w:szCs w:val="22"/>
          <w:color w:val="auto"/>
        </w:rPr>
        <w:t>and correct entries in all material respects will be made in accordance with GAAP and (b) maintain adequate accounts and reserves for all taxes (including income taxes), contingencies, depreciation and amortization of its properties and the properties of its Subsidiaries; all of such reserves may be unfunded.</w:t>
      </w:r>
    </w:p>
    <w:p>
      <w:pPr>
        <w:spacing w:after="0" w:line="18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color w:val="010000"/>
        </w:rPr>
        <w:t>§8.4</w:t>
      </w:r>
      <w:r>
        <w:rPr>
          <w:rFonts w:ascii="Times New Roman" w:cs="Times New Roman" w:eastAsia="Times New Roman" w:hAnsi="Times New Roman"/>
          <w:sz w:val="22"/>
          <w:szCs w:val="22"/>
          <w:color w:val="auto"/>
        </w:rPr>
        <w:tab/>
        <w:t>Financial Statements, Certificates and Information. The Borrower will deliver and cause BPI to (and BPI will)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deliver (as applicable) to the Agent:</w:t>
      </w:r>
    </w:p>
    <w:p>
      <w:pPr>
        <w:spacing w:after="0" w:line="182" w:lineRule="exact"/>
        <w:rPr>
          <w:sz w:val="20"/>
          <w:szCs w:val="20"/>
          <w:color w:val="auto"/>
        </w:rPr>
      </w:pPr>
    </w:p>
    <w:p>
      <w:pPr>
        <w:jc w:val="both"/>
        <w:ind w:firstLine="1304"/>
        <w:spacing w:after="0" w:line="241" w:lineRule="auto"/>
        <w:tabs>
          <w:tab w:leader="none" w:pos="1752" w:val="left"/>
        </w:tabs>
        <w:numPr>
          <w:ilvl w:val="0"/>
          <w:numId w:val="2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soon as practicable, but in any event not later than ninety (90) days after the end of each fiscal year of BPI, the audited consolidated balance sheet of BPI and its Subsidiaries at the end of such year, and the related audited consolidated statements of income, changes in shareholder’s equity and cash flows for the year then ended, in each case, setting forth in comparative form the figures as of the end of and for the previous fiscal year and all such statements to be in reasonable detail, prepared in accordance with GAAP which may be provided by inclusion in the Form 10-K of BPI filed with the SEC for such period provided pursuant to clause (g) below), and, in each case, accompanied by an auditor’s report prepared without qualification by the Accountants other than a qualification solely with respect to internal controls over financial reporting as required under Section 404 of the Sarbanes Oxley Act;</w:t>
      </w:r>
    </w:p>
    <w:p>
      <w:pPr>
        <w:spacing w:after="0" w:line="195" w:lineRule="exact"/>
        <w:rPr>
          <w:rFonts w:ascii="Times New Roman" w:cs="Times New Roman" w:eastAsia="Times New Roman" w:hAnsi="Times New Roman"/>
          <w:sz w:val="22"/>
          <w:szCs w:val="22"/>
          <w:color w:val="010000"/>
        </w:rPr>
      </w:pPr>
    </w:p>
    <w:p>
      <w:pPr>
        <w:jc w:val="both"/>
        <w:ind w:firstLine="1304"/>
        <w:spacing w:after="0"/>
        <w:tabs>
          <w:tab w:leader="none" w:pos="1791" w:val="left"/>
        </w:tabs>
        <w:numPr>
          <w:ilvl w:val="0"/>
          <w:numId w:val="2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soon as practicable, but in any event not later than forty-five (45) days after the end of each of its March 31, June 30 and September 30 fiscal quarters, copies of the unaudited consolidated balance sheet of BPI and its Subsidiaries, as at the end of such quarter, and the related unaudited consolidated statements of income, changes in shareholders’ equity and cash flows for the portion of BPI’s fiscal year then elapsed, all in reasonable detail and prepared in accordance with GAAP (which may be provided by inclusion in the Form 10-Q of BPI filed with the SEC for such period provided pursuant to clause (g) below), together with a certification by an Authorized Officer that is the principal financial or accounting officer of BPI that the information contained in such financial statements fairly presents the financial position of BPI and its Subsidiaries on the date thereof (subject to year-end adjustments none of which shall be materially adverse);</w:t>
      </w:r>
    </w:p>
    <w:p>
      <w:pPr>
        <w:spacing w:after="0" w:line="190" w:lineRule="exact"/>
        <w:rPr>
          <w:rFonts w:ascii="Times New Roman" w:cs="Times New Roman" w:eastAsia="Times New Roman" w:hAnsi="Times New Roman"/>
          <w:sz w:val="22"/>
          <w:szCs w:val="22"/>
          <w:color w:val="010000"/>
        </w:rPr>
      </w:pPr>
    </w:p>
    <w:p>
      <w:pPr>
        <w:jc w:val="both"/>
        <w:ind w:firstLine="1304"/>
        <w:spacing w:after="0" w:line="241" w:lineRule="auto"/>
        <w:tabs>
          <w:tab w:leader="none" w:pos="1765" w:val="left"/>
        </w:tabs>
        <w:numPr>
          <w:ilvl w:val="0"/>
          <w:numId w:val="2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simultaneously with the delivery of the financial statements referred to in subsections (a) and (b) above, (i) a Compliance Certificate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hereto signed by an Authorized Officer that is the principal financial or accounting officer of BPI, which Compliance Certificate and each other Compliance Certificate required pursuant to the terms of this Agreement shall be delivered by electronic communication, including fax or email, unless the Agent or a Bank requests executed originals, and each such Compliance Certificate so delivered shall be deemed to be an original authentic counterpart thereof for all purposes, and (if applicable) reconciliations to reflect changes in GAAP since the date of such financial statements and (ii) a quarterly worksheet in the form of </w:t>
      </w:r>
      <w:r>
        <w:rPr>
          <w:rFonts w:ascii="Times New Roman" w:cs="Times New Roman" w:eastAsia="Times New Roman" w:hAnsi="Times New Roman"/>
          <w:sz w:val="22"/>
          <w:szCs w:val="22"/>
          <w:u w:val="single" w:color="auto"/>
          <w:color w:val="auto"/>
        </w:rPr>
        <w:t>Exhibit C-1A</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010000"/>
        </w:rPr>
      </w:pPr>
    </w:p>
    <w:p>
      <w:pPr>
        <w:jc w:val="both"/>
        <w:ind w:firstLine="1304"/>
        <w:spacing w:after="0" w:line="244" w:lineRule="auto"/>
        <w:tabs>
          <w:tab w:leader="none" w:pos="1885" w:val="left"/>
        </w:tabs>
        <w:numPr>
          <w:ilvl w:val="0"/>
          <w:numId w:val="2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promptly as they become available, a copy of each report (including any so-called management letters) submitted to the Borrower or BPI by the Accountants in connection with each annual audit of the books of the Borrower or BPI by such Accountants or in connection with any interim audit thereof pertaining to any phase of the business of the Borrower or BPI;</w:t>
      </w:r>
    </w:p>
    <w:p>
      <w:pPr>
        <w:spacing w:after="0" w:line="186" w:lineRule="exact"/>
        <w:rPr>
          <w:rFonts w:ascii="Times New Roman" w:cs="Times New Roman" w:eastAsia="Times New Roman" w:hAnsi="Times New Roman"/>
          <w:sz w:val="22"/>
          <w:szCs w:val="22"/>
          <w:color w:val="010000"/>
        </w:rPr>
      </w:pPr>
    </w:p>
    <w:p>
      <w:pPr>
        <w:ind w:right="20" w:firstLine="1304"/>
        <w:spacing w:after="0" w:line="258" w:lineRule="auto"/>
        <w:tabs>
          <w:tab w:leader="none" w:pos="1765" w:val="left"/>
        </w:tabs>
        <w:numPr>
          <w:ilvl w:val="0"/>
          <w:numId w:val="2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contemporaneously with (or promptly after) the filing or mailing thereof, copies of all material of a financial nature sent to the holders of any Indebtedness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273" w:right="339" w:bottom="1440" w:gutter="0" w:footer="0" w:header="0"/>
        </w:sectPr>
      </w:pPr>
    </w:p>
    <w:bookmarkStart w:id="241" w:name="page242"/>
    <w:bookmarkEnd w:id="241"/>
    <w:p>
      <w:pPr>
        <w:jc w:val="both"/>
        <w:spacing w:after="0" w:line="250" w:lineRule="auto"/>
        <w:rPr>
          <w:sz w:val="20"/>
          <w:szCs w:val="20"/>
          <w:color w:val="auto"/>
        </w:rPr>
      </w:pPr>
      <w:r>
        <w:rPr>
          <w:rFonts w:ascii="Times New Roman" w:cs="Times New Roman" w:eastAsia="Times New Roman" w:hAnsi="Times New Roman"/>
          <w:sz w:val="22"/>
          <w:szCs w:val="22"/>
          <w:color w:val="auto"/>
        </w:rPr>
        <w:t>(other than the Loans) for borrowed money, to the extent that the information or disclosure contained in such material refers to or could reasonably be expected to have a material adverse effect on the business, assets, financial condition or prospects, or operations of BPLP, BPI or, taken as a whole, the BP Group;</w:t>
      </w:r>
    </w:p>
    <w:p>
      <w:pPr>
        <w:spacing w:after="0" w:line="195" w:lineRule="exact"/>
        <w:rPr>
          <w:sz w:val="20"/>
          <w:szCs w:val="20"/>
          <w:color w:val="auto"/>
        </w:rPr>
      </w:pPr>
    </w:p>
    <w:p>
      <w:pPr>
        <w:ind w:firstLine="1304"/>
        <w:spacing w:after="0" w:line="271" w:lineRule="auto"/>
        <w:tabs>
          <w:tab w:leader="none" w:pos="1728" w:val="left"/>
        </w:tabs>
        <w:numPr>
          <w:ilvl w:val="0"/>
          <w:numId w:val="2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contemporaneously with the filing or mailing thereof, copies of all material of a financial nature filed with the SEC or sent to the stockholders of BPI;</w:t>
      </w:r>
    </w:p>
    <w:p>
      <w:pPr>
        <w:spacing w:after="0" w:line="157"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764" w:val="left"/>
        </w:tabs>
        <w:numPr>
          <w:ilvl w:val="0"/>
          <w:numId w:val="2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as soon as practicable, but in any event not later than ninety (90) days after the end of each fiscal year of BPI, copies of the Form 10-K statement filed by BPI with the SEC for such fiscal year, and as soon as practicable, but in any event not later than fifty (50) days after the end of each fiscal quarter of BPI copies of the Form 10-Q statement filed by BPI with the SEC for such fiscal quarter,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either case, if the SEC has granted an extension for the filing of such statements, BPI shall deliver such statements to the Agent within ten (10) days after the filing thereof with the SEC;</w:t>
      </w:r>
    </w:p>
    <w:p>
      <w:pPr>
        <w:spacing w:after="0" w:line="178"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912" w:val="left"/>
        </w:tabs>
        <w:numPr>
          <w:ilvl w:val="0"/>
          <w:numId w:val="2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from time to time such other financial data and information about the Borrower, BPI, their respective Subsidiaries, the Real Estate Assets and the Partially-Owned Entities as the Agent or any Bank (through the Agent) may reasonably request, including, without limitation, complete rent rolls, existing environmental reports, and insurance certificates with respect to the Real Estate Assets;</w:t>
      </w:r>
    </w:p>
    <w:p>
      <w:pPr>
        <w:spacing w:after="0" w:line="176" w:lineRule="exact"/>
        <w:rPr>
          <w:rFonts w:ascii="Times New Roman" w:cs="Times New Roman" w:eastAsia="Times New Roman" w:hAnsi="Times New Roman"/>
          <w:sz w:val="22"/>
          <w:szCs w:val="22"/>
          <w:color w:val="010000"/>
        </w:rPr>
      </w:pPr>
    </w:p>
    <w:p>
      <w:pPr>
        <w:ind w:left="1720" w:hanging="416"/>
        <w:spacing w:after="0"/>
        <w:tabs>
          <w:tab w:leader="none" w:pos="1720" w:val="left"/>
        </w:tabs>
        <w:numPr>
          <w:ilvl w:val="0"/>
          <w:numId w:val="2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Intentionally Deleted; and</w:t>
      </w:r>
    </w:p>
    <w:p>
      <w:pPr>
        <w:spacing w:after="0" w:line="219"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716" w:val="left"/>
        </w:tabs>
        <w:numPr>
          <w:ilvl w:val="0"/>
          <w:numId w:val="2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soon as practicable, but in any event not later than ninety (90) days after the end of the fiscal year of BPLP, the audited balance sheet of BPLP at the end of each such year, and the related audited statements of income, changes in partners’ capital and cash flows for the year then ended, in each case setting forth in comparative form the figures for the previous fiscal year and all such statements to be in reasonable detail, prepared in accordance with GAAP, together with a certification by an Authorized Officer that is the principal financial or accounting officer of BPLP that the information contained in such financial statements fairly presents the financial position of BPLP on the date thereof, and as soon as practicable, but in any event not later than forty-five (45) days after the end of each of the March 31, June 30 and September 30 fiscal quarters of BPLP, the unaudited balance sheet of BPLP at the end of each such quarter, and the related unaudited statements of income, changes in partners’ capital and cash flows for the quarter then ended, in each case setting forth in comparative form the figures for the previous fiscal quarter and all such statements to be in reasonable detail, prepared in accordance with GAAP, together with a certification by an Authorized Officer that is the principal financial or accounting officer of BPLP that the information contained in such financial statements fairly presents the financial position of BPLP on the date thereof (subject to year-end adjustments none of which shall be materially adverse).</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any provision of this §8.4, for so long as BPI is publicly traded on the New York Stock Exchange, the Borrower shall be deemed to have satisfied its obligations under subsections (a), (b), (f), (g) and (j) of this §8.4 by timely filing its Form 10-Q and Form 10-K with the SEC for each applicable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subsections (a) and (b)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273" w:right="339" w:bottom="1440" w:gutter="0" w:footer="0" w:header="0"/>
        </w:sectPr>
      </w:pPr>
    </w:p>
    <w:bookmarkStart w:id="242" w:name="page243"/>
    <w:bookmarkEnd w:id="242"/>
    <w:p>
      <w:pPr>
        <w:ind w:right="20"/>
        <w:spacing w:after="0" w:line="271" w:lineRule="auto"/>
        <w:rPr>
          <w:sz w:val="20"/>
          <w:szCs w:val="20"/>
          <w:color w:val="auto"/>
        </w:rPr>
      </w:pPr>
      <w:r>
        <w:rPr>
          <w:rFonts w:ascii="Times New Roman" w:cs="Times New Roman" w:eastAsia="Times New Roman" w:hAnsi="Times New Roman"/>
          <w:sz w:val="22"/>
          <w:szCs w:val="22"/>
          <w:color w:val="auto"/>
        </w:rPr>
        <w:t>the Borrower has delivered to the Agent within the time periods required therefor and referred to in subsections (a) and (b), the statement required by subsection (c) above.</w:t>
      </w:r>
    </w:p>
    <w:p>
      <w:pPr>
        <w:spacing w:after="0" w:line="14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§8.5</w:t>
      </w:r>
      <w:r>
        <w:rPr>
          <w:sz w:val="20"/>
          <w:szCs w:val="20"/>
          <w:color w:val="auto"/>
        </w:rPr>
        <w:tab/>
      </w:r>
      <w:r>
        <w:rPr>
          <w:rFonts w:ascii="Times New Roman" w:cs="Times New Roman" w:eastAsia="Times New Roman" w:hAnsi="Times New Roman"/>
          <w:sz w:val="21"/>
          <w:szCs w:val="21"/>
          <w:u w:val="single" w:color="auto"/>
          <w:color w:val="auto"/>
        </w:rPr>
        <w:t>Notices.</w:t>
      </w:r>
    </w:p>
    <w:p>
      <w:pPr>
        <w:spacing w:after="0" w:line="220" w:lineRule="exact"/>
        <w:rPr>
          <w:sz w:val="20"/>
          <w:szCs w:val="20"/>
          <w:color w:val="auto"/>
        </w:rPr>
      </w:pPr>
    </w:p>
    <w:p>
      <w:pPr>
        <w:jc w:val="both"/>
        <w:ind w:firstLine="1304"/>
        <w:spacing w:after="0"/>
        <w:tabs>
          <w:tab w:leader="none" w:pos="1806" w:val="left"/>
        </w:tabs>
        <w:numPr>
          <w:ilvl w:val="0"/>
          <w:numId w:val="2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Defaults</w:t>
      </w:r>
      <w:r>
        <w:rPr>
          <w:rFonts w:ascii="Times New Roman" w:cs="Times New Roman" w:eastAsia="Times New Roman" w:hAnsi="Times New Roman"/>
          <w:sz w:val="22"/>
          <w:szCs w:val="22"/>
          <w:color w:val="auto"/>
        </w:rPr>
        <w:t>. The Borrower will, and will cause BPI, as applicable, to (and BPI will), promptly after obtaining knowledge of the same, notify the Agent in writing of the occurrence of any Default or Event of Default or Non-Material Breach. If any Person shall give any notice or take any other action in respect of (x) a claimed Default or Event of Default or (y) a claimed failure by the Borrower, BPI or any of their respective Subsidiaries, as applicable, to comply with any term, condition or provision of or under any note, evidence of Indebtedness, indenture or other obligation in excess of $10,000,000, individually or in the aggregate, to which or with respect to which any of them is a party or obligor, whether as principal or surety, and such failure to comply would permit the holder of such note or obligation or other evidence of Indebtedness to accelerate the maturity thereof, which acceleration would have a material adverse effect on BPLP, BPI or, taken as a whole, the BP Group or the Borrower shall forthwith give written notice thereof to the Agent, describing the notice or action and the nature of the claimed failure to comply.</w:t>
      </w:r>
    </w:p>
    <w:p>
      <w:pPr>
        <w:spacing w:after="0" w:line="197"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58" w:val="left"/>
        </w:tabs>
        <w:numPr>
          <w:ilvl w:val="0"/>
          <w:numId w:val="20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Environmental Events</w:t>
      </w:r>
      <w:r>
        <w:rPr>
          <w:rFonts w:ascii="Times New Roman" w:cs="Times New Roman" w:eastAsia="Times New Roman" w:hAnsi="Times New Roman"/>
          <w:sz w:val="21"/>
          <w:szCs w:val="21"/>
          <w:color w:val="auto"/>
        </w:rPr>
        <w:t>. The Borrower will, and will cause BPI to, promptly give notice in writing to the Agent of any of the following, if and to the extent any of the events described in clauses (i) through (iv) below would have a material adverse effect on the business, assets or financial condition of the Borrower and its Subsidiaries, taken as a whole: (i) upon the Borrower’s or BPI’s obtaining knowledge of any material violation (as determined by the Borrower or BPI in the exercise of its reasonable discretion) of any Environmental Law regarding any Real Estate Asset or the Borrower’s or BPI’s operations, (ii) upon the Borrower’s or BPI’s obtaining knowledge of any known Release of any Hazardous Substance at, from, or into any Real Estate Asset which it reports in writing or is reportable by it in writing to any governmental authority and which is material in amount or nature or which could materially affect the value of such Real Estate Asset, (iii) upon the Borrower’s or BPI’s receipt of any notice of material violation of any Environmental Laws or of any material Release of Hazardous Substances in violation of any Environmental Laws, including a notice or claim of liability or potential responsibility from any third party (including without limitation any federal, state or local governmental officials) and including notice of any formal inquiry, proceeding, demand, investigation or other action with regard to (A) the Borrower’s or BPI’s or any other Person’s operation of any Real Estate Asset, (B) contamination on, from or into any Real Estate Asset, or (C) investigation or remediation of off-site locations at which the Borrower or BPI or any of its predecessors are alleged to have directly or indirectly disposed of Hazardous Substances, or (iv) upon the Borrower’s or BPI’s obtaining knowledge that any expense or loss has been incurred by such governmental authority in connection with the assessment, containment, removal or remediation of any Hazardous Substances with respect to which the Borrower or BPI or any Partially-Owned Real Estate Entity may be liable or for which a lien may be imposed on any Real Estate Asset. As of the date hereof, the Borrower has notified the Agent of the matters referenced on Schedule 8.5(b), to the extent such matters are disclosed in the Form 10-K referred to therein.</w:t>
      </w:r>
    </w:p>
    <w:p>
      <w:pPr>
        <w:spacing w:after="0" w:line="202" w:lineRule="exact"/>
        <w:rPr>
          <w:rFonts w:ascii="Times New Roman" w:cs="Times New Roman" w:eastAsia="Times New Roman" w:hAnsi="Times New Roman"/>
          <w:sz w:val="21"/>
          <w:szCs w:val="21"/>
          <w:color w:val="010000"/>
        </w:rPr>
      </w:pPr>
    </w:p>
    <w:p>
      <w:pPr>
        <w:ind w:firstLine="1304"/>
        <w:spacing w:after="0" w:line="271" w:lineRule="auto"/>
        <w:tabs>
          <w:tab w:leader="none" w:pos="2008" w:val="left"/>
        </w:tabs>
        <w:numPr>
          <w:ilvl w:val="0"/>
          <w:numId w:val="2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Information and Documentation</w:t>
      </w:r>
      <w:r>
        <w:rPr>
          <w:rFonts w:ascii="Times New Roman" w:cs="Times New Roman" w:eastAsia="Times New Roman" w:hAnsi="Times New Roman"/>
          <w:sz w:val="22"/>
          <w:szCs w:val="22"/>
          <w:color w:val="auto"/>
        </w:rPr>
        <w:t>. Promptly following any request therefor, provide information and documentation reasonably requested by the Agent or any Bank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273" w:right="339" w:bottom="1440" w:gutter="0" w:footer="0" w:header="0"/>
        </w:sectPr>
      </w:pPr>
    </w:p>
    <w:bookmarkStart w:id="243" w:name="page244"/>
    <w:bookmarkEnd w:id="243"/>
    <w:p>
      <w:pPr>
        <w:spacing w:after="0" w:line="284" w:lineRule="auto"/>
        <w:rPr>
          <w:sz w:val="20"/>
          <w:szCs w:val="20"/>
          <w:color w:val="auto"/>
        </w:rPr>
      </w:pPr>
      <w:r>
        <w:rPr>
          <w:rFonts w:ascii="Times New Roman" w:cs="Times New Roman" w:eastAsia="Times New Roman" w:hAnsi="Times New Roman"/>
          <w:sz w:val="22"/>
          <w:szCs w:val="22"/>
          <w:color w:val="auto"/>
        </w:rPr>
        <w:t>purposes of compliance with applicable “know your customer” and anti-money laundering rules and regulations, including the Acts and the Beneficial Ownership Regulation.</w:t>
      </w:r>
    </w:p>
    <w:p>
      <w:pPr>
        <w:spacing w:after="0" w:line="144" w:lineRule="exact"/>
        <w:rPr>
          <w:sz w:val="20"/>
          <w:szCs w:val="20"/>
          <w:color w:val="auto"/>
        </w:rPr>
      </w:pPr>
    </w:p>
    <w:p>
      <w:pPr>
        <w:jc w:val="both"/>
        <w:ind w:firstLine="1304"/>
        <w:spacing w:after="0" w:line="262" w:lineRule="auto"/>
        <w:tabs>
          <w:tab w:leader="none" w:pos="1764" w:val="left"/>
        </w:tabs>
        <w:numPr>
          <w:ilvl w:val="0"/>
          <w:numId w:val="2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Notice of Litigation and Judgments</w:t>
      </w:r>
      <w:r>
        <w:rPr>
          <w:rFonts w:ascii="Times New Roman" w:cs="Times New Roman" w:eastAsia="Times New Roman" w:hAnsi="Times New Roman"/>
          <w:sz w:val="21"/>
          <w:szCs w:val="21"/>
          <w:color w:val="auto"/>
        </w:rPr>
        <w:t>. The Borrower will give notice to the Agent in writing within fifteen (15) days of becoming aware of any litigation or proceedings threatened in writing or any pending litigation and proceedings an adverse determination in which could materially affect BPLP, BPI or taken as a whole, the BP Group, or to which the Borrower, BPI or any of their respective Subsidiaries is or is to become a party involving an uninsured claim against the Borrower, BPI or any of their respective Subsidiaries that could reasonably be expected to have a materially adverse effect on BPLP, BPI or, taken as a whole, the BP Group, and stating the nature and status of such litigation or proceedings. The Borrower will give notice to the Agent, in writing, in form and detail reasonably satisfactory to the Agent, within ten (10) days of any judgment not covered by insurance, final or otherwise, against the Borrower, BPI or any of such Subsidiaries in an amount in excess of $20,000,000.</w:t>
      </w:r>
    </w:p>
    <w:p>
      <w:pPr>
        <w:spacing w:after="0" w:line="172" w:lineRule="exact"/>
        <w:rPr>
          <w:rFonts w:ascii="Times New Roman" w:cs="Times New Roman" w:eastAsia="Times New Roman" w:hAnsi="Times New Roman"/>
          <w:sz w:val="21"/>
          <w:szCs w:val="21"/>
          <w:color w:val="010000"/>
        </w:rPr>
      </w:pPr>
    </w:p>
    <w:p>
      <w:pPr>
        <w:ind w:firstLine="1304"/>
        <w:spacing w:after="0" w:line="271" w:lineRule="auto"/>
        <w:tabs>
          <w:tab w:leader="none" w:pos="1806" w:val="left"/>
        </w:tabs>
        <w:numPr>
          <w:ilvl w:val="0"/>
          <w:numId w:val="2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Insolvency Events</w:t>
      </w:r>
      <w:r>
        <w:rPr>
          <w:rFonts w:ascii="Times New Roman" w:cs="Times New Roman" w:eastAsia="Times New Roman" w:hAnsi="Times New Roman"/>
          <w:sz w:val="22"/>
          <w:szCs w:val="22"/>
          <w:color w:val="auto"/>
        </w:rPr>
        <w:t>. The Borrower shall notify the Agent in writing promptly after the occurrence of any of the events described in §14.1(g) or (h) with respect to any member of the BP Group other than BPLP and BPI.</w:t>
      </w:r>
    </w:p>
    <w:p>
      <w:pPr>
        <w:spacing w:after="0" w:line="171" w:lineRule="exact"/>
        <w:rPr>
          <w:rFonts w:ascii="Times New Roman" w:cs="Times New Roman" w:eastAsia="Times New Roman" w:hAnsi="Times New Roman"/>
          <w:sz w:val="22"/>
          <w:szCs w:val="22"/>
          <w:color w:val="010000"/>
        </w:rPr>
      </w:pPr>
    </w:p>
    <w:p>
      <w:pPr>
        <w:ind w:firstLine="1304"/>
        <w:spacing w:after="0" w:line="271" w:lineRule="auto"/>
        <w:tabs>
          <w:tab w:leader="none" w:pos="1741" w:val="left"/>
        </w:tabs>
        <w:numPr>
          <w:ilvl w:val="0"/>
          <w:numId w:val="2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Copies of Notices to Banks</w:t>
      </w:r>
      <w:r>
        <w:rPr>
          <w:rFonts w:ascii="Times New Roman" w:cs="Times New Roman" w:eastAsia="Times New Roman" w:hAnsi="Times New Roman"/>
          <w:sz w:val="22"/>
          <w:szCs w:val="22"/>
          <w:color w:val="auto"/>
        </w:rPr>
        <w:t>. The Agent shall promptly provide the Banks with copies of any notices received by the Agent under this §8.5.</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§8.6 </w:t>
      </w:r>
      <w:r>
        <w:rPr>
          <w:rFonts w:ascii="Times New Roman" w:cs="Times New Roman" w:eastAsia="Times New Roman" w:hAnsi="Times New Roman"/>
          <w:sz w:val="22"/>
          <w:szCs w:val="22"/>
          <w:u w:val="single" w:color="auto"/>
          <w:color w:val="000000"/>
        </w:rPr>
        <w:t>Existence of Borrower; Maintenance of Properties.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will do or cause to be done all things necessary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and shall, preserve and keep in full force and effect its existence in its jurisdiction of organization and will do or cause to be done all things necessary to preserve and keep in full force all of its rights and franchises and those of its Subsidiaries each of which in the sole judgment of the Borrower (exercised in good faith) may be necessary to properly and advantageously conduct the businesses conducted by it. The Borrower (a) will cause all necessary repairs, renewals, replacements, betterments and improvements to be made to all Real Estate Assets owned or controlled by it, all as in the sole judgment of the Borrower may be necessary so that the business carried on in connection therewith may be properly and advantageously conducted at all times, subject to the terms of the applicable Leases and partnership agreements or other entity charter documents, and in any event, will keep all of the Real Estate Assets (for so long as such Real Estate Assets are owned by the Borrower or any of its Subsidiaries) in a condition consistent with the Real Estate Assets currently owned or controlled by the Borrower or its Subsidiaries, (b) will cause all of its other properties and those of its Subsidiaries (to the extent controlled by the Borrower) used or useful in the conduct of its business or the business of its Subsidiaries to be maintained and kept in good condition, repair and working order and supplied with all necessary equipment, (c) will not permit BPI to (and BPI will not) directly own or lease any Real Estate Asset, and (d) will, and will cause each of its Subsidiaries to continue to engage primarily in the businesses now conducted by it and in related businesses, all of the foregoing to the extent necessary to comply with the other terms and conditions set forth in this Agreement, and in the case of clauses (a), (b) and (d) above, except to the extent that the failure to comply with the provisions thereof constitutes a Non-Material Breach.</w:t>
      </w:r>
    </w:p>
    <w:p>
      <w:pPr>
        <w:spacing w:after="0" w:line="19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§8.7 </w:t>
      </w:r>
      <w:r>
        <w:rPr>
          <w:rFonts w:ascii="Times New Roman" w:cs="Times New Roman" w:eastAsia="Times New Roman" w:hAnsi="Times New Roman"/>
          <w:sz w:val="22"/>
          <w:szCs w:val="22"/>
          <w:u w:val="single" w:color="auto"/>
          <w:color w:val="000000"/>
        </w:rPr>
        <w:t>Existence of BPI; Maintenance of REIT Status of BPI; Maintenance of Properties.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will cause BPI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BPI will) do or cause to be done all things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287" w:right="339" w:bottom="1440" w:gutter="0" w:footer="0" w:header="0"/>
        </w:sectPr>
      </w:pPr>
    </w:p>
    <w:bookmarkStart w:id="244" w:name="page245"/>
    <w:bookmarkEnd w:id="244"/>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preserve and keep in full force and effect BPI’s existence as a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BPI becomes a corporation existing under the laws of a state other than Delaware, the Borrower will promptly furnish to the Agent the evidence thereof, including copies of any merger, reincorporation merger, conversion or other reincorporation documents, together with a good standing certificate for BPI from such applicable state. The Borrower will cause BPI (and BPI will) at all times (i) to maintain its status as a REIT and not to take any action which could lead to its disqualification as a REIT and (ii) to continue to be listed on a nationally-recognized stock exchange. Without limitation of §9.3(f), the Borrower will cause BPI not to (and BPI will not) engage in any business other than the business of acting as a REIT and serving as the general partner and limited partner of the Borrower, and as a member, partner or stockholder of Subsidiaries of the Borrower, including Boston Properties LLC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BPI’s percentage equity interest in any such Subsidiary shall not exceed 1%), and matters directly relating thereto, and shall cause BPI to (and BPI will) (x) conduct all or substantially all of its business operations through the Borrower or through subsidiary partnerships or other entities in which the Borrower owns at least 99% of the economic interests, (y) own no real property or material personal property other than (1) through its ownership interests in the Borrower and its Subsidiaries, including Boston Properties LLC, in compliance with the terms hereof, and (2) contracts and agreements of the nature described in Schedule 9.1(e), and (z) continue to hold in excess of 51% of the partnership interests of the Borrower and in all events to remain the sole general partner thereof with the power to direct or cause the direction of the management, activities and policies of the Borrower. The Borrower will cause BPI to (and BPI will) (a) cause all of its properties and those of its Subsidiaries used or useful in the conduct of its business or the business of its Subsidiaries to be maintained and kept in good condition, repair and working order, and supplied with all necessary equipment, (b) cause to be made all necessary repairs, renewals, replacements, betterments and improvements thereof, all as in the judgment of BPI may be necessary so that the business carried on in connection therewith may be properly and advantageously conducted at all times, and (c) cause each of its Subsidiaries to continue to engage primarily in the businesses now conducted by it and in related businesses, in each case under clauses (a), (b) and (c) above to the extent, in the sole judgment of BPI (exercised in good faith), necessary to properly and advantageously conduct the businesses being conducted by it, except to the extent that the failure to comply with the provisions thereof constitutes a Non-Material Breach.</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§8.8 </w:t>
      </w:r>
      <w:r>
        <w:rPr>
          <w:rFonts w:ascii="Times New Roman" w:cs="Times New Roman" w:eastAsia="Times New Roman" w:hAnsi="Times New Roman"/>
          <w:sz w:val="22"/>
          <w:szCs w:val="22"/>
          <w:u w:val="single" w:color="auto"/>
          <w:color w:val="000000"/>
        </w:rPr>
        <w:t>Insurance.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will, and will cause BPI to (and BPI will), maintain with respect to its properties, and will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cause each of its Subsidiaries to maintain with financially sound and reputable insurers, insurance with respect to such properties and its business against such casualties and contingencies as shall be in accordance with the general practices of businesses engaged in similar activities in similar geographic areas and in amounts, containing such terms, in such forms and for such periods as may be reasonable and prudent, unless any failure to do so is a Non-Material Breach.</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§8.9 </w:t>
      </w:r>
      <w:r>
        <w:rPr>
          <w:rFonts w:ascii="Times New Roman" w:cs="Times New Roman" w:eastAsia="Times New Roman" w:hAnsi="Times New Roman"/>
          <w:sz w:val="22"/>
          <w:szCs w:val="22"/>
          <w:u w:val="single" w:color="auto"/>
          <w:color w:val="000000"/>
        </w:rPr>
        <w:t>Taxes.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will, and will cause BPI and each of their respective Subsidiaries to (and BPI will), pay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cause to be paid real estate taxes, other taxes, assessments and other governmental charges against the Real Estate Assets before the same become delinquent and will duly pay and discharge, or cause to be paid and discharged, before the same shall become overdue, all taxes, assessments and other governmental charges imposed upon its sales and activities, or any part thereof, or upon the income or profits therefrom, as well as all claims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287" w:right="339" w:bottom="1440" w:gutter="0" w:footer="0" w:header="0"/>
        </w:sectPr>
      </w:pPr>
    </w:p>
    <w:bookmarkStart w:id="245" w:name="page246"/>
    <w:bookmarkEnd w:id="245"/>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labor, materials, or supplies that if unpaid might by law become a lien or charge upon any of the Real Estate Assets, unless any failure to do so is a Non-Material Breach;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any real estate taxes, other taxes, assessments and other governmental charges against the Real Estate Assets or any taxes, assessments and other governmental charges imposed upon its sales and activities, or any part thereof, or upon the income or profits therefrom, and any claims for labor, materials, or supplies that if unpaid might by law become a lien or charge upon any of the Real Estate Assets need not be paid if the validity or amount thereof shall currently be contested in good faith by appropriate proceedings and if the Borrower or BPI shall have set aside on its books adequate reserves with respect thereto;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the Borrower or BPI will pay, if and to the extent required to be paid above, all such taxes, assessments, charges, levies or claims forthwith prior to the consummation of proceedings to foreclose any lien that may have attached as security therefor. Promptly upon request by the Agent if required for bank regulatory compliance purposes or similar bank purposes, the Borrower will provide evidence of the payment of real estate taxes, other taxes, assessments and other governmental charges against the Real Estate Assets in the form of receipted tax bills or other form reasonably acceptable to the Agent, or evidence of the existence of applicable contests as contemplated herein.</w:t>
      </w:r>
    </w:p>
    <w:p>
      <w:pPr>
        <w:spacing w:after="0" w:line="193"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§8.10</w:t>
      </w:r>
      <w:r>
        <w:rPr>
          <w:sz w:val="20"/>
          <w:szCs w:val="20"/>
          <w:color w:val="auto"/>
        </w:rPr>
        <w:tab/>
      </w:r>
      <w:r>
        <w:rPr>
          <w:rFonts w:ascii="Times New Roman" w:cs="Times New Roman" w:eastAsia="Times New Roman" w:hAnsi="Times New Roman"/>
          <w:sz w:val="21"/>
          <w:szCs w:val="21"/>
          <w:u w:val="single" w:color="auto"/>
          <w:color w:val="auto"/>
        </w:rPr>
        <w:t>Inspection of Properties and Books; Treatment of Certain Information; Confidentiality.</w:t>
      </w:r>
    </w:p>
    <w:p>
      <w:pPr>
        <w:spacing w:after="0" w:line="206" w:lineRule="exact"/>
        <w:rPr>
          <w:sz w:val="20"/>
          <w:szCs w:val="20"/>
          <w:color w:val="auto"/>
        </w:rPr>
      </w:pPr>
    </w:p>
    <w:p>
      <w:pPr>
        <w:jc w:val="both"/>
        <w:ind w:firstLine="1304"/>
        <w:spacing w:after="0" w:line="254" w:lineRule="auto"/>
        <w:tabs>
          <w:tab w:leader="none" w:pos="1873" w:val="left"/>
        </w:tabs>
        <w:numPr>
          <w:ilvl w:val="0"/>
          <w:numId w:val="20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the rights of tenants to limit or prohibit such access, as denoted in the applicable leases, the Borrower will, and will cause BPI to (and BPI will), permit the Agent or any of the Banks’ other designated representatives upon no less than 24 hours’ notice (which notice may be given orally or in writing), to visit and inspect any of the properties of the Borrower, BPI or any of their respective Subsidiaries to examine the books of account of the Borrower, BPI and their respective Subsidiaries (and to make copies thereof and extracts therefrom) and to discuss the affairs, finances and accounts of the Borrower, BPI and their respective Subsidiaries with, and to be advised as to the same by, its officers, all at such reasonable times and intervals as the Agent may reasonably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so long as no Event of Default has occurred and is continuing, the Borrower shall only be responsible for the costs and expenses incurred by the Agent in connection with such inspections.</w:t>
      </w:r>
    </w:p>
    <w:p>
      <w:pPr>
        <w:spacing w:after="0" w:line="169" w:lineRule="exact"/>
        <w:rPr>
          <w:rFonts w:ascii="Times New Roman" w:cs="Times New Roman" w:eastAsia="Times New Roman" w:hAnsi="Times New Roman"/>
          <w:sz w:val="21"/>
          <w:szCs w:val="21"/>
          <w:color w:val="010000"/>
        </w:rPr>
      </w:pPr>
    </w:p>
    <w:p>
      <w:pPr>
        <w:jc w:val="both"/>
        <w:ind w:firstLine="1304"/>
        <w:spacing w:after="0" w:line="241" w:lineRule="auto"/>
        <w:tabs>
          <w:tab w:leader="none" w:pos="1831" w:val="left"/>
        </w:tabs>
        <w:numPr>
          <w:ilvl w:val="0"/>
          <w:numId w:val="2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hereby agrees that each of the Banks and the Agent (and each of their respective, and their respective affiliates’, employees, officers, directors, agents and advisors (collectively,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is, and has been from the commencement of discussions with respect to the facilities established by the Agreement (collectively, the “</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permitted to disclose to any and all Persons, without limitation of any kind, the structure and tax aspects (as such terms are used in Code sections 6011 and 6111) of the Facility, and all materials of any kind (including opinions or other tax analyses) that are or have been provided to such Bank or the Agent related to such structure and tax aspects. In this regard, each of the Banks and the Agent acknowledges and agrees that its disclosure of the structure or tax aspects of the Facility is not limited in any way by an express or implied understanding or agreement, oral or written (whether or not such understanding or agreement is legally binding). Furthermore, each of the Banks and the Agent acknowledges and agrees that it does not know or have reason to know that its use or disclosure of information relating to the structure or tax aspects of the Facility is limited in any other manner (such as where the Facility is claimed to be proprietary or exclusive) for the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287" w:right="339" w:bottom="1440" w:gutter="0" w:footer="0" w:header="0"/>
        </w:sectPr>
      </w:pPr>
    </w:p>
    <w:bookmarkStart w:id="246" w:name="page247"/>
    <w:bookmarkEnd w:id="246"/>
    <w:p>
      <w:pPr>
        <w:jc w:val="both"/>
        <w:spacing w:after="0" w:line="246" w:lineRule="auto"/>
        <w:rPr>
          <w:sz w:val="20"/>
          <w:szCs w:val="20"/>
          <w:color w:val="auto"/>
        </w:rPr>
      </w:pPr>
      <w:r>
        <w:rPr>
          <w:rFonts w:ascii="Times New Roman" w:cs="Times New Roman" w:eastAsia="Times New Roman" w:hAnsi="Times New Roman"/>
          <w:sz w:val="22"/>
          <w:szCs w:val="22"/>
          <w:color w:val="auto"/>
        </w:rPr>
        <w:t>of any other Person. Notwithstanding the foregoing (i) the Banks and the Agent shall not disclose any materials or information of any kind or nature whatsoever which are not specifically permitted to be disclosed in accordance with the terms of this subparagraph (b) or are not otherwise specifically permitted to be disclosed pursuant to the express provisions of this §8.10 and</w:t>
      </w:r>
    </w:p>
    <w:p>
      <w:pPr>
        <w:spacing w:after="0" w:line="2" w:lineRule="exact"/>
        <w:rPr>
          <w:sz w:val="20"/>
          <w:szCs w:val="20"/>
          <w:color w:val="auto"/>
        </w:rPr>
      </w:pPr>
    </w:p>
    <w:p>
      <w:pPr>
        <w:jc w:val="both"/>
        <w:ind w:firstLine="8"/>
        <w:spacing w:after="0" w:line="238" w:lineRule="auto"/>
        <w:tabs>
          <w:tab w:leader="none" w:pos="35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change, amendment, modification or clarification of Code sections 6011 and/or 6111 (or any other applicable section of the Code) or any Regulations promulgated thereunder, or the issuance by any Person of any guidance on which the Banks, the Agent and the Representatives are entitled to rely or are otherwise bound by (including, by way of example only, private letter rulings), which in any way limits or restricts what may be disclosed pursuant to the terms of this paragraph, or otherwise establishes that such Code sections do not, or are not intended to, apply to loan facilities such as the Facility (or other similar transactions), the terms of this subparagraph (b) shall be deemed modified thereby. In this regard, the Banks and the Agent intend that this transaction will not be a “confidential transaction” under Code sections 6011, 6111 or 6112, and the regulations promulgated thereunder.</w:t>
      </w:r>
    </w:p>
    <w:p>
      <w:pPr>
        <w:spacing w:after="0" w:line="183" w:lineRule="exact"/>
        <w:rPr>
          <w:rFonts w:ascii="Times New Roman" w:cs="Times New Roman" w:eastAsia="Times New Roman" w:hAnsi="Times New Roman"/>
          <w:sz w:val="22"/>
          <w:szCs w:val="22"/>
          <w:color w:val="auto"/>
        </w:rPr>
      </w:pPr>
    </w:p>
    <w:p>
      <w:pPr>
        <w:jc w:val="both"/>
        <w:ind w:firstLine="1304"/>
        <w:spacing w:after="0" w:line="243" w:lineRule="auto"/>
        <w:tabs>
          <w:tab w:leader="none" w:pos="2049" w:val="left"/>
        </w:tabs>
        <w:numPr>
          <w:ilvl w:val="1"/>
          <w:numId w:val="2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herein (including, without limitation, the provisions of subparagraph (b) above), neither the Agent nor any Bank may disclose to any Person any information that constitutes material non-public information regarding the Borrower or its securities for purposes of Regulation FD of the Securities and Exchange Commission or any other federal or state securities laws (it being acknowledged and agreed that the provisions of this §8.10 with respect to such information are reasonably necessary to comply with said Regulation FD and/or such other federal and state securities laws) except as set forth in §8.10 (f) of this Agreement.</w:t>
      </w:r>
    </w:p>
    <w:p>
      <w:pPr>
        <w:spacing w:after="0" w:line="191"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845" w:val="left"/>
        </w:tabs>
        <w:numPr>
          <w:ilvl w:val="1"/>
          <w:numId w:val="20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of the Banks and the Agent hereby agrees that the Borrower (and its, and its affiliates’, employees, officers, directors, advisors and agents (collectively “</w:t>
      </w:r>
      <w:r>
        <w:rPr>
          <w:rFonts w:ascii="Times New Roman" w:cs="Times New Roman" w:eastAsia="Times New Roman" w:hAnsi="Times New Roman"/>
          <w:sz w:val="21"/>
          <w:szCs w:val="21"/>
          <w:u w:val="single" w:color="auto"/>
          <w:color w:val="auto"/>
        </w:rPr>
        <w:t>Borrower Representatives</w:t>
      </w:r>
      <w:r>
        <w:rPr>
          <w:rFonts w:ascii="Times New Roman" w:cs="Times New Roman" w:eastAsia="Times New Roman" w:hAnsi="Times New Roman"/>
          <w:sz w:val="21"/>
          <w:szCs w:val="21"/>
          <w:color w:val="auto"/>
        </w:rPr>
        <w:t>”) is, and has been from the commencement of discussions with respect to the Facility, permitted to disclose to any and all Persons, without limitation of any kind, the structure and tax aspects (as such terms are used in Code sections 6011 and 6111) of the Facility, and all materials of any kind (including opinions or other tax analyses) that are or have been provided to the Borrower related to such structure and tax aspects. In this regard, the Borrower acknowledges and agrees that its disclosure of the structure or tax aspects of the Facility is not limited in any way by an express or implied understanding or agreement, oral or written (whether or not such understanding or agreement is legally binding). Furthermore, each of the Borrower, each Bank and the Agent acknowledges and agrees that it does not know or have reason to know that its use or disclosure of information relating to the structure or tax aspects of the Facility is limited in any other manner (such as where the Facility is claimed to be proprietary or exclusive) for the benefit of any other Person.</w:t>
      </w:r>
    </w:p>
    <w:p>
      <w:pPr>
        <w:spacing w:after="0" w:line="167" w:lineRule="exact"/>
        <w:rPr>
          <w:rFonts w:ascii="Times New Roman" w:cs="Times New Roman" w:eastAsia="Times New Roman" w:hAnsi="Times New Roman"/>
          <w:sz w:val="21"/>
          <w:szCs w:val="21"/>
          <w:color w:val="010000"/>
        </w:rPr>
      </w:pPr>
    </w:p>
    <w:p>
      <w:pPr>
        <w:jc w:val="both"/>
        <w:ind w:firstLine="1304"/>
        <w:spacing w:after="0" w:line="241" w:lineRule="auto"/>
        <w:tabs>
          <w:tab w:leader="none" w:pos="1792" w:val="left"/>
        </w:tabs>
        <w:numPr>
          <w:ilvl w:val="1"/>
          <w:numId w:val="2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hereby acknowledges that (a) the Agent and/or the Arrangers may, but shall not be obligated to, make available to the Banks and the Fronting Banks materials and/or information provided by or on behalf of the Borrower hereunder (collectively, “</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by posting the Borrower Materials on IntraLinks, Syndtrak, ClearPar or a substantially similar electronic transmission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and (b) certain of the Banks (each, a “</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273" w:right="339" w:bottom="1440" w:gutter="0" w:footer="0" w:header="0"/>
        </w:sectPr>
      </w:pPr>
    </w:p>
    <w:bookmarkStart w:id="247" w:name="page248"/>
    <w:bookmarkEnd w:id="247"/>
    <w:p>
      <w:pPr>
        <w:jc w:val="both"/>
        <w:spacing w:after="0"/>
        <w:rPr>
          <w:sz w:val="20"/>
          <w:szCs w:val="20"/>
          <w:color w:val="auto"/>
        </w:rPr>
      </w:pPr>
      <w:r>
        <w:rPr>
          <w:rFonts w:ascii="Times New Roman" w:cs="Times New Roman" w:eastAsia="Times New Roman" w:hAnsi="Times New Roman"/>
          <w:sz w:val="22"/>
          <w:szCs w:val="22"/>
          <w:color w:val="auto"/>
        </w:rPr>
        <w:t xml:space="preserve">made available to Public Lenders shall be clearly and conspicuously marked “PUBLIC” which, at a minimum, shall mean that the word “PUBLIC” shall appear prominently on the first page thereof; (x) by marking such materials “PUBLIC,” the Borrower shall be deemed to have authorized the Agent, the Arrangers, the Fronting Banks and the Banks to treat such materials as not containing any material non-public information with respect to the Borrower or its securities for purposes of United States Federal and state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such Borrower Materials constitute Borrower Information, they shall be treated as set forth in §8.10(f); (y) all Borrower Materials marked “PUBLIC” are permitted to be made available through a portion of the Platform designated “Public Side Information”; and (z) the Agent and the Arrangers shall be entitled to treat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211" w:lineRule="exact"/>
        <w:rPr>
          <w:sz w:val="20"/>
          <w:szCs w:val="20"/>
          <w:color w:val="auto"/>
        </w:rPr>
      </w:pPr>
    </w:p>
    <w:p>
      <w:pPr>
        <w:jc w:val="both"/>
        <w:ind w:firstLine="1304"/>
        <w:spacing w:after="0" w:line="246" w:lineRule="auto"/>
        <w:tabs>
          <w:tab w:leader="none" w:pos="1755" w:val="left"/>
        </w:tabs>
        <w:numPr>
          <w:ilvl w:val="0"/>
          <w:numId w:val="2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Agent, the Banks and the Fronting Banks agrees to maintain the confidentiality of the Borrower Information (as defined below), except that Borrower Information may be disclosed (a) to its Affiliates, auditors and Related Parties (it being understood that the Persons to whom such disclosure is made will be informed of the confidential nature of such Borrower Information and instructed to keep such Borrower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that may be invited to become a party to, and a “Bank” under, this Agreement in connection with an Increase pursuant to §2.10 of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written consent of the Borrower or (i) to the extent such Borrower Information (x) becomes publicly available other than as a result of a breach of this Section, (y) becomes available to the Agent, any Bank, any Fronting Bank or any of their respective Affiliates on a nonconfidential basis from a source other than the Borrower or (z) is independently discovered or developed by a party hereto without utilizing any Information received from the Borrower or violating the terms of this §8.10(f). In addition, the Agent and the Banks may disclose to market data collectors, similar service providers to the lending industry and service providers to the Agent and the Banks in connection with the administration of this Agreement, the other Loan Documents, and the Commitments the existence of this Agreement and such other information about this Agreement as is customarily disclosed by the Agent and the Banks to such Persons. For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273" w:right="339" w:bottom="1440" w:gutter="0" w:footer="0" w:header="0"/>
        </w:sectPr>
      </w:pPr>
    </w:p>
    <w:bookmarkStart w:id="248" w:name="page249"/>
    <w:bookmarkEnd w:id="248"/>
    <w:p>
      <w:pPr>
        <w:jc w:val="both"/>
        <w:spacing w:after="0" w:line="263" w:lineRule="auto"/>
        <w:rPr>
          <w:sz w:val="20"/>
          <w:szCs w:val="20"/>
          <w:color w:val="auto"/>
        </w:rPr>
      </w:pPr>
      <w:r>
        <w:rPr>
          <w:rFonts w:ascii="Times New Roman" w:cs="Times New Roman" w:eastAsia="Times New Roman" w:hAnsi="Times New Roman"/>
          <w:sz w:val="22"/>
          <w:szCs w:val="22"/>
          <w:color w:val="auto"/>
        </w:rPr>
        <w:t>Section, “Borrower Information” means all information received from the Borrower or any Subsidiary relating to the Borrower or any Subsidiary or any of their respective businesses, other than any such information that is available to the Agent, any Bank or any Fronting Bank on a nonconfidential basis prior to disclosure by the Borrower or any Subsidiary.</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Each of the Agent, the Banks and the Fronting Banks acknowledges that (a) the Borrower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provisions of this §8.10 supersede any confidentiality obligations of the Borrower, the Agent or any of the Banks relating to the Facility under any agreements between or among the Borrower and the Agent and/or the Banks, as applicable. The parties hereto agree that any such confidentiality obligations shall be deemed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§8.11 </w:t>
      </w:r>
      <w:r>
        <w:rPr>
          <w:rFonts w:ascii="Times New Roman" w:cs="Times New Roman" w:eastAsia="Times New Roman" w:hAnsi="Times New Roman"/>
          <w:sz w:val="22"/>
          <w:szCs w:val="22"/>
          <w:u w:val="single" w:color="auto"/>
          <w:color w:val="000000"/>
        </w:rPr>
        <w:t>Compliance with Laws, Contracts, Licenses, and Permits.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will, and will cause BPI to (and BPI</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will), comply with, and will cause each of their respective Subsidiaries to comply with (a) all applicable Laws now or hereafter in effect wherever its business is conducted, including, without limitation, all Environmental Laws and all applicable federal and state securities laws, (b) the provisions of its partnership agreement or corporate charter and other charter documents and by-laws, as applicable, (c) all material agreements and instruments to which it is a party or by which it or any of its properties may be bound (including the Real Estate Assets and the Leases) and (d) all applicable decrees, orders, and judgments, unless such non-compliance constitutes a Non-Material Breach. If at any time while any Loan or Note or Letter of Credit is outstanding or the Banks have any obligation to make Loans or issue Letters of Credit hereunder, any Permit shall become necessary or required in order that the Borrower may fulfill any of its obligations hereunder, the Borrower and BPI and their respective Subsidiaries will immediately take or cause to be taken all reasonable steps within the power of the Borrower or BPI, as applicable, to obtain such Permit and furnish the Agent with evidence thereof.</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010000"/>
        </w:rPr>
        <w:t xml:space="preserve">§8.12 </w:t>
      </w:r>
      <w:r>
        <w:rPr>
          <w:rFonts w:ascii="Times New Roman" w:cs="Times New Roman" w:eastAsia="Times New Roman" w:hAnsi="Times New Roman"/>
          <w:sz w:val="22"/>
          <w:szCs w:val="22"/>
          <w:u w:val="single" w:color="auto"/>
          <w:color w:val="000000"/>
        </w:rPr>
        <w:t>Use of Proceeds.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Subject at all times to the other provisions of this Agreement, the Borrower will use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proceeds of the Loans solely for working capital and general corporate purposes. It is agreed by the Banks that, from time to time, the Borrower may request that the proceeds of the Loans be used to refinance certain secured mortgage Indebtedness of the Borrower and/or its Subsidiaries by written notice to the Agent (for distribution to the Banks) at least 45 days prior to the proposed date of funding of such Loans, in which event, a portion of the Loans equal to the amount of the advances made hereunder in connection with such refinancing may, at the Borrower’s election, be secured by the refinanced mortgage (a “</w:t>
      </w:r>
      <w:r>
        <w:rPr>
          <w:rFonts w:ascii="Times New Roman" w:cs="Times New Roman" w:eastAsia="Times New Roman" w:hAnsi="Times New Roman"/>
          <w:sz w:val="22"/>
          <w:szCs w:val="22"/>
          <w:u w:val="single" w:color="auto"/>
          <w:color w:val="000000"/>
        </w:rPr>
        <w:t>Refinancing Mortgage</w:t>
      </w:r>
      <w:r>
        <w:rPr>
          <w:rFonts w:ascii="Times New Roman" w:cs="Times New Roman" w:eastAsia="Times New Roman" w:hAnsi="Times New Roman"/>
          <w:sz w:val="22"/>
          <w:szCs w:val="22"/>
          <w:color w:val="000000"/>
        </w:rPr>
        <w:t>”). At least seven (7) Business Days prior to the recordation of any Refinancing Mortgage, the Agent shall provide all Banks with a legal description and special flood hazard determination form for all property proposed to be encumbered thereby. Any such Refinancing Mortgage would (i) be required to be in form and substance reasonably satisfactory to the Agent, (ii) be subject to customary terms and conditions reasonably satisfactory to the Agent, (iii) be amended and restated to provide for economic and other terms which are identical to those of the Loans (e.g., the maturity date shall be amended to be the Maturity Date hereunder and the interest rate and payment terms will be amended to be the same as those hereunder, it being further acknowledged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287" w:right="339" w:bottom="1440" w:gutter="0" w:footer="0" w:header="0"/>
        </w:sectPr>
      </w:pPr>
    </w:p>
    <w:bookmarkStart w:id="249" w:name="page250"/>
    <w:bookmarkEnd w:id="249"/>
    <w:p>
      <w:pPr>
        <w:jc w:val="both"/>
        <w:spacing w:after="0"/>
        <w:rPr>
          <w:sz w:val="20"/>
          <w:szCs w:val="20"/>
          <w:color w:val="auto"/>
        </w:rPr>
      </w:pPr>
      <w:r>
        <w:rPr>
          <w:rFonts w:ascii="Times New Roman" w:cs="Times New Roman" w:eastAsia="Times New Roman" w:hAnsi="Times New Roman"/>
          <w:sz w:val="22"/>
          <w:szCs w:val="22"/>
          <w:color w:val="auto"/>
        </w:rPr>
        <w:t>that such modified interest rate may be based upon either a Revolving Credit Loan or a Bid Rate Loan calculation, as elected by the Borrower pursuant to the terms hereof), (iv) be subject to being released or transferred by the Agent at the request of the Borrower, (v) be taken in the name of the Agent for the benefit of the Banks and (vi) not be recorded until (x) either (i) the Agent is satisfied, in its discretion, that no building or other improvements located on or otherwise forming part of the Real Estate Asset(s) subject to such Refinancing Mortgage is located in a “Special Flood Hazard Area” as designated by the U.S. Federal Emergency Management Agency or other applicable Governmental Authority or (y) the Borrower has provided evidence to the Agent that it has fully paid flood hazard insurance with respect to such Real Estate Asset(s), including but not limited to contents insurance, which insurance shall be in form and content acceptable to the Agent, in its discretion, and in amounts at least sufficient to comply with applicable Laws. In addition, in connection with each Refinancing Mortgage, the Agent would agree to provide, at the request of the Borrower, subordination, non-disturbance and attornment agreements in form and substance reasonably satisfactory to the Agent. No Real Estate Asset that is subject to a Refinancing Mortgage will qualify as an Unencumbered Asset hereunder.</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 xml:space="preserve">Notwithstanding any other provision of this Agreement or any other Loan Document to the contrary, the Agent may in its reasonable discretion, and shall at the direction of the Required Banks acting in their reasonable discretion, terminate and release any Refinancing Mortgage so long as the Agent shall have given the Borrower written notice thereof at least fifteen (15) Business Days prior to any such termination and release;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Agent shall not be required to give any such prior notice to the Borrower if the Agent, in its reasonable discretion, has determined that delay of such termination and release would be detrimental to the Agent, the Fronting Banks or the Banks. The Agent shall, at the Borrower’s sole cost and expense, enter into such documents and instruments as are required to effect any such termination and release of any such Refinancing Mortgage, which documents and instruments shall be in form and substance reasonably satisfactory to the Agent. Notwithstanding anything to the contrary contained in this Agreement, the termination and/or release of any Refinancing Mortgage shall not constitute a waiver, termination or release of any of the other rights and remedies of the Agent or the Banks under the Loan Documents.</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1"/>
          <w:szCs w:val="21"/>
          <w:color w:val="auto"/>
        </w:rPr>
        <w:t>The Borrower hereby agrees, on behalf of itself and its Affiliates, that neither the Agent nor any Bank shall be responsible for any losses, costs or expenses incurred by the Borrower or any Affiliate thereof in connection with the loss of any mortgage recording tax credits pertaining to any Refinancing Mortgage. Furthermore, and without limitation of any of the Borrower’s obligations under §17(b), the Borrower shall and hereby agrees to indemnify, defend and hold harmless the Agent, each Bank and each other Indemnified Party from and against any and all losses, costs, claims, damages, liabilities, deficiencies, judgments or expenses of every kind and nature (including, without limitation, amounts paid in settlement, court costs and the fees and the reasonable and documented fees, charges and disbursements of any counsel for any Indemnified Party incurred in connection with any litigation, investigation, claim or proceeding or any advice rendered in connection therewith) actually incurred by any Indemnified Party or asserted against any Indemnified Party by any Person (including the Borrower) other than such Indemnified Party and its Related Parties in connection with, arising out of, or by reason of, any of the transactions or arrangements contemplated under this §8.12 or any suit, cause of action, claim, arbitration, investigation or settlement, consent decree, subpoena or other proceeding relating thereto, including, without limitation, any losses, costs, claims, damages, liabilities, deficiencies, judgments or expenses resulting from (i) the failure of any Person to pay any mortgage recording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273" w:right="339" w:bottom="1440" w:gutter="0" w:footer="0" w:header="0"/>
        </w:sectPr>
      </w:pPr>
    </w:p>
    <w:bookmarkStart w:id="250" w:name="page251"/>
    <w:bookmarkEnd w:id="250"/>
    <w:p>
      <w:pPr>
        <w:jc w:val="both"/>
        <w:spacing w:after="0" w:line="271" w:lineRule="auto"/>
        <w:rPr>
          <w:sz w:val="20"/>
          <w:szCs w:val="20"/>
          <w:color w:val="auto"/>
        </w:rPr>
      </w:pPr>
      <w:r>
        <w:rPr>
          <w:rFonts w:ascii="Times New Roman" w:cs="Times New Roman" w:eastAsia="Times New Roman" w:hAnsi="Times New Roman"/>
          <w:sz w:val="22"/>
          <w:szCs w:val="22"/>
          <w:color w:val="auto"/>
        </w:rPr>
        <w:t>taxes associated with any Refinancing Mortgage and (ii) the assignment of any Refinancing Mortgage and any related splitting and/or assignment of any Indebtedness under any related mortgage note.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§8.13 </w:t>
      </w:r>
      <w:r>
        <w:rPr>
          <w:rFonts w:ascii="Times New Roman" w:cs="Times New Roman" w:eastAsia="Times New Roman" w:hAnsi="Times New Roman"/>
          <w:sz w:val="22"/>
          <w:szCs w:val="22"/>
          <w:u w:val="single" w:color="auto"/>
          <w:color w:val="000000"/>
        </w:rPr>
        <w:t>Sanctions.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Borrower, BPI and their respective Subsidiaries will conduct its businesses in a manner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that will not result in a violation by any individual or entity (including any individual or entity participating in the transaction, whether as Bank, Arranger, Agent, Fronting Bank, or otherwise) of Sanctions, to the extent applicable.</w:t>
      </w:r>
    </w:p>
    <w:p>
      <w:pPr>
        <w:spacing w:after="0" w:line="159"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§8.14</w:t>
      </w:r>
      <w:r>
        <w:rPr>
          <w:sz w:val="20"/>
          <w:szCs w:val="20"/>
          <w:color w:val="auto"/>
        </w:rPr>
        <w:tab/>
      </w:r>
      <w:r>
        <w:rPr>
          <w:rFonts w:ascii="Times New Roman" w:cs="Times New Roman" w:eastAsia="Times New Roman" w:hAnsi="Times New Roman"/>
          <w:sz w:val="21"/>
          <w:szCs w:val="21"/>
          <w:u w:val="single" w:color="auto"/>
          <w:color w:val="auto"/>
        </w:rPr>
        <w:t>Intentionally Deleted.</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§8.15 </w:t>
      </w:r>
      <w:r>
        <w:rPr>
          <w:rFonts w:ascii="Times New Roman" w:cs="Times New Roman" w:eastAsia="Times New Roman" w:hAnsi="Times New Roman"/>
          <w:sz w:val="22"/>
          <w:szCs w:val="22"/>
          <w:u w:val="single" w:color="auto"/>
          <w:color w:val="000000"/>
        </w:rPr>
        <w:t>Further Assurances.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will, and will cause BPI to (and BPI will), cooperate with, the Agent and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Banks and execute such further instruments and documents as the Banks or the Agent shall reasonably request to carry out to their satisfaction the transactions contemplated by this Agreement and the other Loan Documents.</w:t>
      </w:r>
    </w:p>
    <w:p>
      <w:pPr>
        <w:spacing w:after="0" w:line="16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§8.16 </w:t>
      </w:r>
      <w:r>
        <w:rPr>
          <w:rFonts w:ascii="Times New Roman" w:cs="Times New Roman" w:eastAsia="Times New Roman" w:hAnsi="Times New Roman"/>
          <w:sz w:val="22"/>
          <w:szCs w:val="22"/>
          <w:u w:val="single" w:color="auto"/>
          <w:color w:val="000000"/>
        </w:rPr>
        <w:t>Anti-Corruption Laws.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Borrower, BPI and their respective Subsidiaries will conduct its businesses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compliance with the United States Foreign Corrupt Practices Act of 1977, the UK Bribery Act 2010, and other similar anti-corruption legislation in other jurisdictions and maintain policies and procedures designed to promote and achieve compliance with such laws, to the extent applicable.</w:t>
      </w:r>
    </w:p>
    <w:p>
      <w:pPr>
        <w:spacing w:after="0" w:line="18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§8.17 </w:t>
      </w:r>
      <w:r>
        <w:rPr>
          <w:rFonts w:ascii="Times New Roman" w:cs="Times New Roman" w:eastAsia="Times New Roman" w:hAnsi="Times New Roman"/>
          <w:sz w:val="22"/>
          <w:szCs w:val="22"/>
          <w:u w:val="single" w:color="auto"/>
          <w:color w:val="000000"/>
        </w:rPr>
        <w:t>Environmental Indemnification.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covenants and agrees that it will indemnify and hold the Agent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each Bank, and each of their respective Affiliates, harmless from and against any and all Environmental Liability.</w:t>
      </w:r>
    </w:p>
    <w:p>
      <w:pPr>
        <w:spacing w:after="0" w:line="17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010000"/>
        </w:rPr>
        <w:t xml:space="preserve">§8.18 </w:t>
      </w:r>
      <w:r>
        <w:rPr>
          <w:rFonts w:ascii="Times New Roman" w:cs="Times New Roman" w:eastAsia="Times New Roman" w:hAnsi="Times New Roman"/>
          <w:sz w:val="22"/>
          <w:szCs w:val="22"/>
          <w:u w:val="single" w:color="auto"/>
          <w:color w:val="000000"/>
        </w:rPr>
        <w:t>Response Actions.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covenants and agrees that if any Release or disposal of Hazardous Substances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occur or shall have occurred on any Real Estate Asset owned directly or indirectly by the Borrower or BPI, in material violation of applicable Environmental Laws, the Borrower will cause the prompt containment and removal of such Hazardous Substances and remediation of such wholly-owned Real Estate Asset as necessary to comply in all material respects with all Environmental Laws, unless such non-compliance would constitute a Non-Material Breach.</w:t>
      </w:r>
    </w:p>
    <w:p>
      <w:pPr>
        <w:spacing w:after="0" w:line="17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§8.19 </w:t>
      </w:r>
      <w:r>
        <w:rPr>
          <w:rFonts w:ascii="Times New Roman" w:cs="Times New Roman" w:eastAsia="Times New Roman" w:hAnsi="Times New Roman"/>
          <w:sz w:val="22"/>
          <w:szCs w:val="22"/>
          <w:u w:val="single" w:color="auto"/>
          <w:color w:val="000000"/>
        </w:rPr>
        <w:t>Anti-Money Laundering.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Borrower, BPI and their respective Subsidiaries will conduct its businesses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a manner that will not result in a violation of any applicable law, regulation or other binding measure by the Organisation for Economic Cooperation and Development’s Financial Action Task Force on Money Laundering or any other applicable anti-money laundering law and will maintain policies and procedures designed to promote and achieve compliance with such laws.</w:t>
      </w:r>
    </w:p>
    <w:p>
      <w:pPr>
        <w:spacing w:after="0" w:line="183"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§8.20</w:t>
      </w:r>
      <w:r>
        <w:rPr>
          <w:sz w:val="20"/>
          <w:szCs w:val="20"/>
          <w:color w:val="auto"/>
        </w:rPr>
        <w:tab/>
      </w:r>
      <w:r>
        <w:rPr>
          <w:rFonts w:ascii="Times New Roman" w:cs="Times New Roman" w:eastAsia="Times New Roman" w:hAnsi="Times New Roman"/>
          <w:sz w:val="21"/>
          <w:szCs w:val="21"/>
          <w:color w:val="auto"/>
        </w:rPr>
        <w:t>E</w:t>
      </w:r>
      <w:r>
        <w:rPr>
          <w:rFonts w:ascii="Times New Roman" w:cs="Times New Roman" w:eastAsia="Times New Roman" w:hAnsi="Times New Roman"/>
          <w:sz w:val="21"/>
          <w:szCs w:val="21"/>
          <w:u w:val="single" w:color="auto"/>
          <w:color w:val="auto"/>
        </w:rPr>
        <w:t>mployee Benefit Plans.</w:t>
      </w:r>
    </w:p>
    <w:p>
      <w:pPr>
        <w:spacing w:after="0" w:line="206" w:lineRule="exact"/>
        <w:rPr>
          <w:sz w:val="20"/>
          <w:szCs w:val="20"/>
          <w:color w:val="auto"/>
        </w:rPr>
      </w:pPr>
    </w:p>
    <w:p>
      <w:pPr>
        <w:jc w:val="both"/>
        <w:ind w:firstLine="1304"/>
        <w:spacing w:after="0" w:line="248" w:lineRule="auto"/>
        <w:tabs>
          <w:tab w:leader="none" w:pos="1765" w:val="left"/>
        </w:tabs>
        <w:numPr>
          <w:ilvl w:val="0"/>
          <w:numId w:val="2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The Borrower will, and will cause BPI to (and BPI will), notify the Agent within a reasonable period after the establishment of any Pension Plan by any of them or any of their respective ERISA Affiliates other than those disclosed in the SEC Filings and the Borrower will not, and will not permit BPI to, establish any Pension Plan which could reasonably be expected to have a material adverse effect on BPLP, BPI or, taken as a whole, the BP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273" w:right="339" w:bottom="1440" w:gutter="0" w:footer="0" w:header="0"/>
        </w:sectPr>
      </w:pPr>
    </w:p>
    <w:bookmarkStart w:id="251" w:name="page252"/>
    <w:bookmarkEnd w:id="251"/>
    <w:p>
      <w:pPr>
        <w:jc w:val="both"/>
        <w:ind w:firstLine="1304"/>
        <w:spacing w:after="0" w:line="250" w:lineRule="auto"/>
        <w:tabs>
          <w:tab w:leader="none" w:pos="1791" w:val="left"/>
        </w:tabs>
        <w:numPr>
          <w:ilvl w:val="0"/>
          <w:numId w:val="2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Each Employee Benefit Plan maintained by the Borrower, BPI or any of their respective ERISA Affiliates will be operated in compliance in all material respects with the provisions of ERISA and, to the extent applicable, the Code, including but not limited to the provisions thereunder respecting prohibited transactions.</w:t>
      </w:r>
    </w:p>
    <w:p>
      <w:pPr>
        <w:spacing w:after="0" w:line="181" w:lineRule="exact"/>
        <w:rPr>
          <w:rFonts w:ascii="Times New Roman" w:cs="Times New Roman" w:eastAsia="Times New Roman" w:hAnsi="Times New Roman"/>
          <w:sz w:val="22"/>
          <w:szCs w:val="22"/>
          <w:color w:val="010000"/>
        </w:rPr>
      </w:pPr>
    </w:p>
    <w:p>
      <w:pPr>
        <w:jc w:val="both"/>
        <w:ind w:firstLine="1304"/>
        <w:spacing w:after="0" w:line="243" w:lineRule="auto"/>
        <w:tabs>
          <w:tab w:leader="none" w:pos="1779" w:val="left"/>
        </w:tabs>
        <w:numPr>
          <w:ilvl w:val="0"/>
          <w:numId w:val="2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Unfunded or Underfunded Liabilities</w:t>
      </w:r>
      <w:r>
        <w:rPr>
          <w:rFonts w:ascii="Times New Roman" w:cs="Times New Roman" w:eastAsia="Times New Roman" w:hAnsi="Times New Roman"/>
          <w:sz w:val="22"/>
          <w:szCs w:val="22"/>
          <w:color w:val="auto"/>
        </w:rPr>
        <w:t>. The Borrower will not, and will not permit BPI to (and BPI will not), at any time, have accruing or accrued unfunded or underfunded liabilities with respect to any Employee Benefit Plan or Pension Plan, or permit any condition to exist under any Pension Plan that would create a withdrawal liability, which such liability could, individually or in the aggregate, reasonably be expected to have a material adverse effect on BPLP, BPI or, taken as a whole, the BP Group.</w:t>
      </w:r>
    </w:p>
    <w:p>
      <w:pPr>
        <w:spacing w:after="0" w:line="19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010000"/>
        </w:rPr>
        <w:t xml:space="preserve">§8.21 </w:t>
      </w:r>
      <w:r>
        <w:rPr>
          <w:rFonts w:ascii="Times New Roman" w:cs="Times New Roman" w:eastAsia="Times New Roman" w:hAnsi="Times New Roman"/>
          <w:sz w:val="22"/>
          <w:szCs w:val="22"/>
          <w:u w:val="single" w:color="auto"/>
          <w:color w:val="000000"/>
        </w:rPr>
        <w:t>No Amendments to Certain Documents.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will not, and will not permit BPI to (and BPI will not), at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time cause or permit its certificate of limited partnership, agreement of limited partnership (including without limitation the Agreement of Limited Partnership of the Borrower, articles of incorporation, by-laws, operating agreement or other charter documents, as the case may be), to be modified, amended or supplemented in any respect whatever, without (in each case) the express prior written consent or approval of the Agent, if such changes would affect BPI’s REIT status or otherwise materially adversely affect the rights of the Agent and the Banks hereunder or under any other Loan Document.</w:t>
      </w:r>
    </w:p>
    <w:p>
      <w:pPr>
        <w:spacing w:after="0" w:line="178"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§9 </w:t>
      </w:r>
      <w:r>
        <w:rPr>
          <w:rFonts w:ascii="Times New Roman" w:cs="Times New Roman" w:eastAsia="Times New Roman" w:hAnsi="Times New Roman"/>
          <w:sz w:val="22"/>
          <w:szCs w:val="22"/>
          <w:u w:val="single" w:color="auto"/>
          <w:color w:val="000000"/>
        </w:rPr>
        <w:t>CERTAIN NEGATIVE COVENANTS OF THE BORROWER AND BPI</w:t>
      </w:r>
      <w:r>
        <w:rPr>
          <w:rFonts w:ascii="Times New Roman" w:cs="Times New Roman" w:eastAsia="Times New Roman" w:hAnsi="Times New Roman"/>
          <w:sz w:val="22"/>
          <w:szCs w:val="22"/>
          <w:color w:val="000000"/>
        </w:rPr>
        <w:t>. The Borrower for itself and on behalf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BPI covenants and agrees that, so long as any Loan, Letter of Credit or Note is outstanding or any Bank has any obligation to make any Loans or any Bank has any obligation to issue, extend, increase or renew any Letters of Credit: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010000"/>
        </w:rPr>
        <w:t xml:space="preserve">§9.1 </w:t>
      </w:r>
      <w:r>
        <w:rPr>
          <w:rFonts w:ascii="Times New Roman" w:cs="Times New Roman" w:eastAsia="Times New Roman" w:hAnsi="Times New Roman"/>
          <w:sz w:val="21"/>
          <w:szCs w:val="21"/>
          <w:u w:val="single" w:color="auto"/>
          <w:color w:val="000000"/>
        </w:rPr>
        <w:t>Restrictions on Liabilities.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Borrower and BPI may, and may permit their respective Subsidiaries to, create,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incur, assume, guarantee or be or remain liable for, contingently or otherwise, any Liabilities other than the specific Liabilities which are prohibited under this §9.1 (the “</w:t>
      </w:r>
      <w:r>
        <w:rPr>
          <w:rFonts w:ascii="Times New Roman" w:cs="Times New Roman" w:eastAsia="Times New Roman" w:hAnsi="Times New Roman"/>
          <w:sz w:val="21"/>
          <w:szCs w:val="21"/>
          <w:u w:val="single" w:color="auto"/>
          <w:color w:val="000000"/>
        </w:rPr>
        <w:t>Prohibited Liabilities</w:t>
      </w:r>
      <w:r>
        <w:rPr>
          <w:rFonts w:ascii="Times New Roman" w:cs="Times New Roman" w:eastAsia="Times New Roman" w:hAnsi="Times New Roman"/>
          <w:sz w:val="21"/>
          <w:szCs w:val="21"/>
          <w:color w:val="000000"/>
        </w:rPr>
        <w:t>”), it being agreed that, except as specifically noted in clauses (a) through (e) below, neither the Borrower nor BPI will, or will permit any Subsidiary to, create, incur, assume, guarantee or be or remain liable for, contingently or otherwise, singularly or in the aggregate for any of such Prohibited Liabilities, as follows:</w:t>
      </w:r>
    </w:p>
    <w:p>
      <w:pPr>
        <w:spacing w:after="0" w:line="160" w:lineRule="exact"/>
        <w:rPr>
          <w:sz w:val="20"/>
          <w:szCs w:val="20"/>
          <w:color w:val="auto"/>
        </w:rPr>
      </w:pPr>
    </w:p>
    <w:p>
      <w:pPr>
        <w:ind w:left="1760" w:hanging="456"/>
        <w:spacing w:after="0"/>
        <w:tabs>
          <w:tab w:leader="none" w:pos="1760" w:val="left"/>
        </w:tabs>
        <w:numPr>
          <w:ilvl w:val="0"/>
          <w:numId w:val="2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[Intentionally Omitted.]</w:t>
      </w:r>
    </w:p>
    <w:p>
      <w:pPr>
        <w:spacing w:after="0" w:line="219"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2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Indebtedness which would result in a Default or Event of Default under §10;</w:t>
      </w:r>
    </w:p>
    <w:p>
      <w:pPr>
        <w:spacing w:after="0" w:line="219" w:lineRule="exact"/>
        <w:rPr>
          <w:rFonts w:ascii="Times New Roman" w:cs="Times New Roman" w:eastAsia="Times New Roman" w:hAnsi="Times New Roman"/>
          <w:sz w:val="22"/>
          <w:szCs w:val="22"/>
          <w:color w:val="010000"/>
        </w:rPr>
      </w:pPr>
    </w:p>
    <w:p>
      <w:pPr>
        <w:jc w:val="both"/>
        <w:ind w:firstLine="1304"/>
        <w:spacing w:after="0" w:line="244" w:lineRule="auto"/>
        <w:tabs>
          <w:tab w:leader="none" w:pos="1995" w:val="left"/>
        </w:tabs>
        <w:numPr>
          <w:ilvl w:val="0"/>
          <w:numId w:val="2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 aggregate amount in excess of $20,000,000 at any one time in respect of taxes, assessments, governmental charges or levies and claims for labor, materials and supplies (other than in respect of properties owned by Partially-Owned Entities) for which payment therefor is required to be made in accordance with the provisions of §8.9 and such payment is due and delinquent and which is not being contested diligently and in good faith;</w:t>
      </w:r>
    </w:p>
    <w:p>
      <w:pPr>
        <w:spacing w:after="0" w:line="186"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777" w:val="left"/>
        </w:tabs>
        <w:numPr>
          <w:ilvl w:val="0"/>
          <w:numId w:val="2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 aggregate amount in excess of $20,000,000 at any one time in respect of uninsured judgments or awards with respect to which the applicable periods for taking appeals have expired, or with respect to which final and nonappealable judgments or awards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273" w:right="339" w:bottom="1440" w:gutter="0" w:footer="0" w:header="0"/>
        </w:sectPr>
      </w:pPr>
    </w:p>
    <w:bookmarkStart w:id="252" w:name="page253"/>
    <w:bookmarkEnd w:id="252"/>
    <w:p>
      <w:pPr>
        <w:spacing w:after="0" w:line="271" w:lineRule="auto"/>
        <w:rPr>
          <w:sz w:val="20"/>
          <w:szCs w:val="20"/>
          <w:color w:val="auto"/>
        </w:rPr>
      </w:pPr>
      <w:r>
        <w:rPr>
          <w:rFonts w:ascii="Times New Roman" w:cs="Times New Roman" w:eastAsia="Times New Roman" w:hAnsi="Times New Roman"/>
          <w:sz w:val="22"/>
          <w:szCs w:val="22"/>
          <w:color w:val="auto"/>
        </w:rPr>
        <w:t>rendered, and such judgments or awards remain unpaid for more than thirty (30) days, but excluding in all events, judgments in respect of loans for borrowed money secured by Real Estate Assets; and</w:t>
      </w:r>
    </w:p>
    <w:p>
      <w:pPr>
        <w:spacing w:after="0" w:line="144" w:lineRule="exact"/>
        <w:rPr>
          <w:sz w:val="20"/>
          <w:szCs w:val="20"/>
          <w:color w:val="auto"/>
        </w:rPr>
      </w:pPr>
    </w:p>
    <w:p>
      <w:pPr>
        <w:jc w:val="both"/>
        <w:ind w:firstLine="1304"/>
        <w:spacing w:after="0" w:line="257" w:lineRule="auto"/>
        <w:tabs>
          <w:tab w:leader="none" w:pos="1792" w:val="left"/>
        </w:tabs>
        <w:numPr>
          <w:ilvl w:val="0"/>
          <w:numId w:val="21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 respect to BPI only, any and all Liabilities other than (i) the Liabilities of the kind or nature described on Schedule 9.1(e), (ii) Liabilities incurred by BPI in the ordinary course of business and which are of the same or similar kind or nature to those permitted under subclause (i) above, (iii) Liabilities incurred by BPI in connection with its maintenance of corporate status, preparation of SEC filings, accountants’ fees and similar administrative matters, (iv) Liabilities to underwriters and private placement agents incurred by BPI in the ordinary course of business under underwriting agreements and private placement agreements, and (v) other Liabilities incurred by BPI of the same or similar kind or nature as currently exist, so long as such Liabilities are not, individually or in the aggregate, material to BPI, BPLP or, taken as a whole, the BP Group.</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and provisions of this §9.1 are in addition to, and not in limitation of, the covenants set forth in §10.</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any other provision of this Agreement, in the event that any Subsidiary of BPLP incurs Unsecured Indebtedness, (i) the Real Estate Assets owned by such Subsidiary shall not be treated as Unencumbered Assets for purposes of this Agreement until such Unsecured Indebtedness has been repaid and the loan documents evidencing such Unsecured Indebtedness have been terminated and (ii) no Default or Event of Default may result from the incurrence of such Unsecured Indebtedness, and after giving effect to such Unsecured Indebtedness (and to the exclusion of any Unencumbered Assets owned by the applicable Subsidiary), the Borrower must be in compliance with each of the covenants set forth in §10.</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Without limiting the foregoing, but subject to the other provisions of this Agreement (including without limitation §10), Indebtedness Without Recourse to the Borrower or any of its assets other than its interests in the Real Estate Assets that are subject to such Indebtedness Without Recourse is not restricted.</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§9.2 </w:t>
      </w:r>
      <w:r>
        <w:rPr>
          <w:rFonts w:ascii="Times New Roman" w:cs="Times New Roman" w:eastAsia="Times New Roman" w:hAnsi="Times New Roman"/>
          <w:sz w:val="22"/>
          <w:szCs w:val="22"/>
          <w:u w:val="single" w:color="auto"/>
          <w:color w:val="000000"/>
        </w:rPr>
        <w:t>Restrictions on Liens, Etc.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None of the Borrower, BPI and any Wholly-owned Subsidiary will: (a) create or incur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suffer to be created or incurred or to exist any lien, mortgage, pledge, attachment, security interest or other rights of third parties of any kind upon any of the Unencumbered Assets, whether now owned or hereafter acquired (but only if and to the extent such Real Estate Asset is included as an Unencumbered Asset in a compliance calculation in effect under §10 hereof), or upon the income or profits therefrom; (b) acquire, or agree or have an option to acquire, any property or assets upon conditional sale or other title retention or purchase money security agreement, device or arrangement in connection with the operation of the Unencumbered Assets (but only if and to the extent such Real Estate Asset is included as an Unencumbered Asset in a compliance calculation in effect under §10); (c) suffer to exist for a period of more than thirty (30) days, with respect to the Unencumbered Assets (but only if and to the extent such Real Estate Asset is included as an Unencumbered Asset in a compliance calculation in effect under §10), any taxes, assessments, governmental charges and claims for labor, materials and supplies for which payment thereof is not being contested or for which payment notwithstanding a contest is required to be made in accordance with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273" w:right="339" w:bottom="1440" w:gutter="0" w:footer="0" w:header="0"/>
        </w:sectPr>
      </w:pPr>
    </w:p>
    <w:bookmarkStart w:id="253" w:name="page254"/>
    <w:bookmarkEnd w:id="253"/>
    <w:p>
      <w:pPr>
        <w:jc w:val="both"/>
        <w:spacing w:after="0" w:line="260" w:lineRule="auto"/>
        <w:rPr>
          <w:sz w:val="20"/>
          <w:szCs w:val="20"/>
          <w:color w:val="auto"/>
        </w:rPr>
      </w:pPr>
      <w:r>
        <w:rPr>
          <w:rFonts w:ascii="Times New Roman" w:cs="Times New Roman" w:eastAsia="Times New Roman" w:hAnsi="Times New Roman"/>
          <w:sz w:val="21"/>
          <w:szCs w:val="21"/>
          <w:color w:val="auto"/>
        </w:rPr>
        <w:t>§8.9 and has not been timely made and, with respect to any individual Unencumbered Asset (but only if and to the extent such Real Estate Asset is included as an Unencumbered Asset in a compliance calculation in effect under §10), is in an amount in excess of the lesser of (i) $2,500,000 and (ii) three percent (3%) of the fair market value of the applicable Unencumbered Asset; or (d) sell, assign, pledge or otherwise transfer for security any accounts, contract rights, general intangibles, chattel paper or instruments, with or without recourse, relating to the Unencumbered Assets (but only if and to the extent such Real Estate Asset is included as an Unencumbered Asset in a compliance calculation in effect under §10) (the foregoing items (a) through (d) being sometimes referred to in this §9.2 collectively as “</w:t>
      </w: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for all purposes hereunder, the rights of joint venture partners or members in any Subsidiaries or Partially-Owned Entities, pursuant to the organizational documents thereof, except only Liens encumbering Real Estate Assets in the nature of those set forth in item (a) above, shall be excluded from Liens, and</w:t>
      </w:r>
    </w:p>
    <w:p>
      <w:pPr>
        <w:spacing w:after="0" w:line="5" w:lineRule="exact"/>
        <w:rPr>
          <w:sz w:val="20"/>
          <w:szCs w:val="20"/>
          <w:color w:val="auto"/>
        </w:rPr>
      </w:pPr>
    </w:p>
    <w:p>
      <w:pPr>
        <w:ind w:firstLine="8"/>
        <w:spacing w:after="0" w:line="248" w:lineRule="auto"/>
        <w:tabs>
          <w:tab w:leader="none" w:pos="36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any Wholly-owned Subsidiary may create or incur or suffer to be created or incurred or to exist (collectively, the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2600" w:hanging="648"/>
        <w:spacing w:after="0" w:line="284" w:lineRule="auto"/>
        <w:tabs>
          <w:tab w:leader="none" w:pos="2439" w:val="left"/>
        </w:tabs>
        <w:numPr>
          <w:ilvl w:val="1"/>
          <w:numId w:val="2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Liens securing taxes, assessments, governmental charges or levies or claims for labor, material and supplies, the Indebtedness with respect to which is not prohibited by §9.1(c) or §9.2(c);</w:t>
      </w:r>
    </w:p>
    <w:p>
      <w:pPr>
        <w:spacing w:after="0" w:line="143" w:lineRule="exact"/>
        <w:rPr>
          <w:rFonts w:ascii="Times New Roman" w:cs="Times New Roman" w:eastAsia="Times New Roman" w:hAnsi="Times New Roman"/>
          <w:sz w:val="22"/>
          <w:szCs w:val="22"/>
          <w:color w:val="010000"/>
        </w:rPr>
      </w:pPr>
    </w:p>
    <w:p>
      <w:pPr>
        <w:ind w:left="2600" w:hanging="648"/>
        <w:spacing w:after="0" w:line="275" w:lineRule="auto"/>
        <w:tabs>
          <w:tab w:leader="none" w:pos="2472" w:val="left"/>
        </w:tabs>
        <w:numPr>
          <w:ilvl w:val="1"/>
          <w:numId w:val="2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Liens arising out of deposits or pledges made in connection with, or to secure payment of, worker’s compensation, unemployment insurance, old age pensions or other social security obligations; and deposits with utility companies and other similar deposits made in the ordinary course of business;</w:t>
      </w:r>
    </w:p>
    <w:p>
      <w:pPr>
        <w:spacing w:after="0" w:line="155" w:lineRule="exact"/>
        <w:rPr>
          <w:rFonts w:ascii="Times New Roman" w:cs="Times New Roman" w:eastAsia="Times New Roman" w:hAnsi="Times New Roman"/>
          <w:sz w:val="21"/>
          <w:szCs w:val="21"/>
          <w:color w:val="010000"/>
        </w:rPr>
      </w:pPr>
    </w:p>
    <w:p>
      <w:pPr>
        <w:ind w:left="2600" w:hanging="648"/>
        <w:spacing w:after="0" w:line="256" w:lineRule="auto"/>
        <w:tabs>
          <w:tab w:leader="none" w:pos="2519" w:val="left"/>
        </w:tabs>
        <w:numPr>
          <w:ilvl w:val="1"/>
          <w:numId w:val="2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Liens (other than affecting the Unencumbered Assets, but only if and to the extent such Real Estate Asset is included as an Unencumbered Asset in a compliance calculation in effect under §10) in respect of judgments or awards, the Indebtedness with respect to which is not prohibited by §9.1(d);</w:t>
      </w:r>
    </w:p>
    <w:p>
      <w:pPr>
        <w:spacing w:after="0" w:line="176" w:lineRule="exact"/>
        <w:rPr>
          <w:rFonts w:ascii="Times New Roman" w:cs="Times New Roman" w:eastAsia="Times New Roman" w:hAnsi="Times New Roman"/>
          <w:sz w:val="22"/>
          <w:szCs w:val="22"/>
          <w:color w:val="010000"/>
        </w:rPr>
      </w:pPr>
    </w:p>
    <w:p>
      <w:pPr>
        <w:jc w:val="both"/>
        <w:ind w:left="2600" w:hanging="648"/>
        <w:spacing w:after="0" w:line="249" w:lineRule="auto"/>
        <w:tabs>
          <w:tab w:leader="none" w:pos="2588" w:val="left"/>
        </w:tabs>
        <w:numPr>
          <w:ilvl w:val="1"/>
          <w:numId w:val="2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encumbrances on properties consisting of easements, rights of way, covenants, zoning and other land-use restrictions, building restrictions, restrictions on the use of real property and defects and irregularities in the title thereto; landlord’s or lessor’s Liens under Leases to which the Borrower or any Wholly-owned Subsidiary is a party or bound; purchase options granted at a price not less than the market value of such property; and other minor Liens or encumbrances on properties, none of which interferes materially and adversely with the use of the property affected in the ordinary conduct of the business of the Borrower, and which matters (x) do not individually or in the aggregate have a material adverse effect on the business of BPLP, BPI or, taken as a whole, the BP Group and (y) do not make title to such property unmarketable by the conveyancing standards in effect where such property is located;</w:t>
      </w:r>
    </w:p>
    <w:p>
      <w:pPr>
        <w:spacing w:after="0" w:line="183" w:lineRule="exact"/>
        <w:rPr>
          <w:rFonts w:ascii="Times New Roman" w:cs="Times New Roman" w:eastAsia="Times New Roman" w:hAnsi="Times New Roman"/>
          <w:sz w:val="22"/>
          <w:szCs w:val="22"/>
          <w:color w:val="010000"/>
        </w:rPr>
      </w:pPr>
    </w:p>
    <w:p>
      <w:pPr>
        <w:ind w:left="2420" w:hanging="468"/>
        <w:spacing w:after="0"/>
        <w:tabs>
          <w:tab w:leader="none" w:pos="2420" w:val="left"/>
        </w:tabs>
        <w:numPr>
          <w:ilvl w:val="1"/>
          <w:numId w:val="2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1287" w:right="339" w:bottom="1440" w:gutter="0" w:footer="0" w:header="0"/>
        </w:sectPr>
      </w:pPr>
    </w:p>
    <w:bookmarkStart w:id="254" w:name="page255"/>
    <w:bookmarkEnd w:id="254"/>
    <w:p>
      <w:pPr>
        <w:jc w:val="both"/>
        <w:ind w:left="1480" w:hanging="648"/>
        <w:spacing w:after="0" w:line="250" w:lineRule="auto"/>
        <w:tabs>
          <w:tab w:leader="none" w:pos="1454"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Liens and other encumbrances or rights of others which exist on the date of this Agreement and which do not otherwise constitute a breach of this Agreement, including, without limitation, Liens created by or pursuant to the Organizational Documents of the Borrower with respect to a restriction on sale or refinancing of a Real Estate Asset that would be an acceptable Lien under the definition of “Unencumbered Asset”, so long as all such Liens, individually, or in the aggregate, do not have a material adverse effect on BPLP, BPI or, taken as a whole, the BP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clause (vi) shall be deemed or construed to permit an Unencumbered Asset to be subject to a Lien to secure Indebtedness at any time such Unencumbered Asset is included in a compliance calculation in effect under §10 hereof;</w:t>
      </w:r>
    </w:p>
    <w:p>
      <w:pPr>
        <w:spacing w:after="0" w:line="179" w:lineRule="exact"/>
        <w:rPr>
          <w:rFonts w:ascii="Times New Roman" w:cs="Times New Roman" w:eastAsia="Times New Roman" w:hAnsi="Times New Roman"/>
          <w:sz w:val="22"/>
          <w:szCs w:val="22"/>
          <w:color w:val="010000"/>
        </w:rPr>
      </w:pPr>
    </w:p>
    <w:p>
      <w:pPr>
        <w:jc w:val="both"/>
        <w:ind w:left="1480" w:hanging="648"/>
        <w:spacing w:after="0" w:line="253" w:lineRule="auto"/>
        <w:tabs>
          <w:tab w:leader="none" w:pos="1555"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as to Real Estate Assets which are acquired after the date of this Agreement, Liens and other encumbrances or rights of others which exist on the date of acquisition and which do not otherwise constitute a breach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clause (vii) shall be deemed or construed to permit an Unencumbered Asset to be subject to a Lien at any time such Unencumbered Asset is included in a Compliance Calculation in effect under §10;</w:t>
      </w:r>
    </w:p>
    <w:p>
      <w:pPr>
        <w:spacing w:after="0" w:line="178" w:lineRule="exact"/>
        <w:rPr>
          <w:rFonts w:ascii="Times New Roman" w:cs="Times New Roman" w:eastAsia="Times New Roman" w:hAnsi="Times New Roman"/>
          <w:sz w:val="22"/>
          <w:szCs w:val="22"/>
          <w:color w:val="010000"/>
        </w:rPr>
      </w:pPr>
    </w:p>
    <w:p>
      <w:pPr>
        <w:jc w:val="both"/>
        <w:ind w:left="1480" w:hanging="648"/>
        <w:spacing w:after="0" w:line="249" w:lineRule="auto"/>
        <w:tabs>
          <w:tab w:leader="none" w:pos="1534"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Liens affecting the Unencumbered Assets (but only if and to the extent such Real Estate Asset is included as an Unencumbered Asset in a Compliance Calculation in effect under §10) in respect of judgments or awards that are under appeal or have been in force for less than the applicable period for taking an appeal, so long as execution is not levied thereunder or in respect of which, at the time, a good faith appeal or proceeding for review is being diligently prosecuted, and in respect of which a stay of execution shall have been obtained pending such appeal or review;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have obtained a bond or insurance or made other arrangements with respect thereto, in each case reasonably satisfactory to the Agent;</w:t>
      </w:r>
    </w:p>
    <w:p>
      <w:pPr>
        <w:spacing w:after="0" w:line="195" w:lineRule="exact"/>
        <w:rPr>
          <w:rFonts w:ascii="Times New Roman" w:cs="Times New Roman" w:eastAsia="Times New Roman" w:hAnsi="Times New Roman"/>
          <w:sz w:val="22"/>
          <w:szCs w:val="22"/>
          <w:color w:val="010000"/>
        </w:rPr>
      </w:pPr>
    </w:p>
    <w:p>
      <w:pPr>
        <w:jc w:val="both"/>
        <w:ind w:left="1480" w:hanging="648"/>
        <w:spacing w:after="0" w:line="257" w:lineRule="auto"/>
        <w:tabs>
          <w:tab w:leader="none" w:pos="1427"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Liens securing Indebtedness for the purchase price of capital assets (other than Real Estate Assets but including Indebtedness in respect of Capitalized Leases for equipment and other equipment leases) to the extent not otherwise prohibited by §9.1; and</w:t>
      </w:r>
    </w:p>
    <w:p>
      <w:pPr>
        <w:spacing w:after="0" w:line="172" w:lineRule="exact"/>
        <w:rPr>
          <w:rFonts w:ascii="Times New Roman" w:cs="Times New Roman" w:eastAsia="Times New Roman" w:hAnsi="Times New Roman"/>
          <w:sz w:val="22"/>
          <w:szCs w:val="22"/>
          <w:color w:val="010000"/>
        </w:rPr>
      </w:pPr>
    </w:p>
    <w:p>
      <w:pPr>
        <w:ind w:left="1480" w:hanging="648"/>
        <w:spacing w:after="0" w:line="257" w:lineRule="auto"/>
        <w:tabs>
          <w:tab w:leader="none" w:pos="1354"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 Liens (other than affecting the Unencumbered Assets, but only if and to the extent such Real Estate Asset is included as an Unencumbered Asset in a Compliance Calculation in effect under §10) in connection with any Indebtedness permitted under §9.1.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0120"/>
          </w:cols>
          <w:pgMar w:left="1440" w:top="1287" w:right="339" w:bottom="1440" w:gutter="0" w:footer="0" w:header="0"/>
        </w:sectPr>
      </w:pPr>
    </w:p>
    <w:bookmarkStart w:id="255" w:name="page256"/>
    <w:bookmarkEnd w:id="255"/>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Nothing contained in this §9.2 shall restrict or limit the Borrower or any of their respective Wholly-owned Subsidiaries from creating a Lien in connection with any Real Estate Asset which is not an Unencumbered Asset included in any compliance calculation in effect under §10 and otherwise is in compliance with the other terms of this Agreement.</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BPI shall not create or incur or suffer to be created or incurred any Lien on its general partner interests and limited partner interests in the Borrower. Further, notwithstanding any other provision of this Agreement, in the event that the Borrower (or any Subsidiary of the Borrower, as applicable) grants, creates or incurs any Lien on the equity or other profits interests of a Subsidiary of the Borrower, (i) the Real Estate Assets owned by such Subsidiary shall not be treated as Unencumbered Assets for purposes of this Agreement until such Lien has been released and terminated, and (ii) no Default or Event of Default shall result from the granting, creation or incurrence of such Lien, and after giving effect to such Lien (and to the exclusion of any Unencumbered Assets owned by the relevant Subsidiary), the Borrower must be in compliance with each of the covenants set forth in §10.</w:t>
      </w:r>
    </w:p>
    <w:p>
      <w:pPr>
        <w:spacing w:after="0" w:line="16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010000"/>
        </w:rPr>
        <w:t xml:space="preserve">§9.3 </w:t>
      </w:r>
      <w:r>
        <w:rPr>
          <w:rFonts w:ascii="Times New Roman" w:cs="Times New Roman" w:eastAsia="Times New Roman" w:hAnsi="Times New Roman"/>
          <w:sz w:val="21"/>
          <w:szCs w:val="21"/>
          <w:u w:val="single" w:color="auto"/>
          <w:color w:val="000000"/>
        </w:rPr>
        <w:t>Restrictions on Investments.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None of the Borrower, BPI, or any of their respective Subsidiaries will make or permit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to exist or to remain outstanding any Investment except, with respect to the Borrower and its Subsidiaries only, Investments in:</w:t>
      </w:r>
    </w:p>
    <w:p>
      <w:pPr>
        <w:spacing w:after="0" w:line="135" w:lineRule="exact"/>
        <w:rPr>
          <w:sz w:val="20"/>
          <w:szCs w:val="20"/>
          <w:color w:val="auto"/>
        </w:rPr>
      </w:pPr>
    </w:p>
    <w:p>
      <w:pPr>
        <w:jc w:val="both"/>
        <w:ind w:firstLine="1304"/>
        <w:spacing w:after="0" w:line="250" w:lineRule="auto"/>
        <w:tabs>
          <w:tab w:leader="none" w:pos="1765" w:val="left"/>
        </w:tabs>
        <w:numPr>
          <w:ilvl w:val="0"/>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marketable direct or guaranteed obligations of the United States of America that mature within two (2) years from the date of purchase (including investments in securities guaranteed by the United States of America such as securities in so called “overseas private investment corporations”);</w:t>
      </w:r>
    </w:p>
    <w:p>
      <w:pPr>
        <w:spacing w:after="0" w:line="167"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31" w:val="left"/>
        </w:tabs>
        <w:numPr>
          <w:ilvl w:val="0"/>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(x) demand deposits, certificates of deposit, bankers acceptances and time deposits of United States banks having total assets in excess of $1,000,000,000, (y) mutual funds and (z) other Investments which are rated by S&amp;P as BBB or better or by Moody’s as Baa2 or better;</w:t>
      </w:r>
    </w:p>
    <w:p>
      <w:pPr>
        <w:spacing w:after="0" w:line="181"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765" w:val="left"/>
        </w:tabs>
        <w:numPr>
          <w:ilvl w:val="0"/>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securities commonly known as “commercial paper” issued by a corporation organized and existing under the laws of the United States of America or any state thereof that at the time of purchase have been rated and the ratings for which are not less than “P 1” if rated by Moody’s, and not less than “A 1” if rated by S&amp;P;</w:t>
      </w:r>
    </w:p>
    <w:p>
      <w:pPr>
        <w:spacing w:after="0" w:line="167"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2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Investments existing on the Closing Date and listed in the SEC Filings or in the financial statements referred</w:t>
      </w:r>
    </w:p>
    <w:p>
      <w:pPr>
        <w:spacing w:after="0" w:line="39"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to in §7.4;</w:t>
      </w:r>
    </w:p>
    <w:p>
      <w:pPr>
        <w:spacing w:after="0" w:line="195" w:lineRule="exact"/>
        <w:rPr>
          <w:rFonts w:ascii="Times New Roman" w:cs="Times New Roman" w:eastAsia="Times New Roman" w:hAnsi="Times New Roman"/>
          <w:sz w:val="21"/>
          <w:szCs w:val="21"/>
          <w:color w:val="010000"/>
        </w:rPr>
      </w:pPr>
    </w:p>
    <w:p>
      <w:pPr>
        <w:jc w:val="both"/>
        <w:ind w:firstLine="1304"/>
        <w:spacing w:after="0" w:line="250" w:lineRule="auto"/>
        <w:tabs>
          <w:tab w:leader="none" w:pos="1792" w:val="left"/>
        </w:tabs>
        <w:numPr>
          <w:ilvl w:val="0"/>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 Investments hereafter in connection with the acquisition and development of Permitted Properties and other Real Estate Assets (other than with respect to Real Estate Assets Under Development which are covered by clause (f), below, and subject to any applicable limitations contained in clause (l) below);</w:t>
      </w:r>
    </w:p>
    <w:p>
      <w:pPr>
        <w:spacing w:after="0" w:line="167" w:lineRule="exact"/>
        <w:rPr>
          <w:rFonts w:ascii="Times New Roman" w:cs="Times New Roman" w:eastAsia="Times New Roman" w:hAnsi="Times New Roman"/>
          <w:sz w:val="22"/>
          <w:szCs w:val="22"/>
          <w:color w:val="010000"/>
        </w:rPr>
      </w:pPr>
    </w:p>
    <w:p>
      <w:pPr>
        <w:ind w:left="1740" w:hanging="436"/>
        <w:spacing w:after="0"/>
        <w:tabs>
          <w:tab w:leader="none" w:pos="1740" w:val="left"/>
        </w:tabs>
        <w:numPr>
          <w:ilvl w:val="0"/>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in Development Costs in Real Estate Assets Under Development;</w:t>
      </w:r>
    </w:p>
    <w:p>
      <w:pPr>
        <w:spacing w:after="0" w:line="219" w:lineRule="exact"/>
        <w:rPr>
          <w:rFonts w:ascii="Times New Roman" w:cs="Times New Roman" w:eastAsia="Times New Roman" w:hAnsi="Times New Roman"/>
          <w:sz w:val="22"/>
          <w:szCs w:val="22"/>
          <w:color w:val="010000"/>
        </w:rPr>
      </w:pPr>
    </w:p>
    <w:p>
      <w:pPr>
        <w:ind w:firstLine="1304"/>
        <w:spacing w:after="0" w:line="258" w:lineRule="auto"/>
        <w:tabs>
          <w:tab w:leader="none" w:pos="1818" w:val="left"/>
        </w:tabs>
        <w:numPr>
          <w:ilvl w:val="0"/>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in Subsidiaries (other than Wholly-owned Subsidiaries) and/or Partially-Owned Entities (other than with respect to Development Costs in Real Estate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287" w:right="339" w:bottom="1440" w:gutter="0" w:footer="0" w:header="0"/>
        </w:sectPr>
      </w:pPr>
    </w:p>
    <w:bookmarkStart w:id="256" w:name="page257"/>
    <w:bookmarkEnd w:id="256"/>
    <w:p>
      <w:pPr>
        <w:spacing w:after="0" w:line="271" w:lineRule="auto"/>
        <w:rPr>
          <w:sz w:val="20"/>
          <w:szCs w:val="20"/>
          <w:color w:val="auto"/>
        </w:rPr>
      </w:pPr>
      <w:r>
        <w:rPr>
          <w:rFonts w:ascii="Times New Roman" w:cs="Times New Roman" w:eastAsia="Times New Roman" w:hAnsi="Times New Roman"/>
          <w:sz w:val="22"/>
          <w:szCs w:val="22"/>
          <w:color w:val="auto"/>
        </w:rPr>
        <w:t>under Development which are covered by clause (f), above), including, without limitation, preferred equity investments in and loans to such Subsidiaries and Partially-Owned Entities;</w:t>
      </w:r>
    </w:p>
    <w:p>
      <w:pPr>
        <w:spacing w:after="0" w:line="144" w:lineRule="exact"/>
        <w:rPr>
          <w:sz w:val="20"/>
          <w:szCs w:val="20"/>
          <w:color w:val="auto"/>
        </w:rPr>
      </w:pPr>
    </w:p>
    <w:p>
      <w:pPr>
        <w:ind w:left="1780" w:hanging="476"/>
        <w:spacing w:after="0"/>
        <w:tabs>
          <w:tab w:leader="none" w:pos="1780" w:val="left"/>
        </w:tabs>
        <w:numPr>
          <w:ilvl w:val="0"/>
          <w:numId w:val="2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Investments now or hereafter made in any Wholly-owned Subsidiary;</w:t>
      </w:r>
    </w:p>
    <w:p>
      <w:pPr>
        <w:spacing w:after="0" w:line="219"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851" w:val="left"/>
        </w:tabs>
        <w:numPr>
          <w:ilvl w:val="0"/>
          <w:numId w:val="2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in respect of (1) equipment, inventory and other tangible personal property acquired in the ordinary course of business, (2) current trade and customer accounts receivable for services rendered in the ordinary course of business and payable in accordance with customary trade terms, (3) advances in the ordinary course of business to employees for travel expenses, drawing accounts and similar expenditures, (4) prepaid expenses made in the ordinary course of business;</w:t>
      </w:r>
    </w:p>
    <w:p>
      <w:pPr>
        <w:spacing w:after="0" w:line="169"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797" w:val="left"/>
        </w:tabs>
        <w:numPr>
          <w:ilvl w:val="0"/>
          <w:numId w:val="2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shares of so-called “money market funds” registered with the SEC under the Investment Company Act of 1940 which maintain a level per-share value, invest principally in marketable direct or guaranteed obligations of the United States of America and agencies and instrumentalities thereof, and have total assets in excess of $50,000,000;</w:t>
      </w:r>
    </w:p>
    <w:p>
      <w:pPr>
        <w:spacing w:after="0" w:line="181" w:lineRule="exact"/>
        <w:rPr>
          <w:rFonts w:ascii="Times New Roman" w:cs="Times New Roman" w:eastAsia="Times New Roman" w:hAnsi="Times New Roman"/>
          <w:sz w:val="22"/>
          <w:szCs w:val="22"/>
          <w:color w:val="010000"/>
        </w:rPr>
      </w:pPr>
    </w:p>
    <w:p>
      <w:pPr>
        <w:jc w:val="both"/>
        <w:ind w:firstLine="1304"/>
        <w:spacing w:after="0" w:line="241" w:lineRule="auto"/>
        <w:tabs>
          <w:tab w:leader="none" w:pos="1804" w:val="left"/>
        </w:tabs>
        <w:numPr>
          <w:ilvl w:val="0"/>
          <w:numId w:val="2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made by the Borrower in businesses which are not in the business of commercial real estate so long as such businesses have real estate related purposes or such Investments are in connection with a real estate related transaction, including, without limitation, Investments in Mezzanine Loans, Mortgages, contracts for the management of real estate assets for third parties unrelated to the Borrower, and swaps, capped calls, hedges and other derivatives and similar or dissimilar hedging instruments entered into by the Borrower in the ordinary course of business for the purpose of mitigating risks associated with liabilities, commitments, investments, assets, or property held or reasonably anticipated by the Borrower, or changes in the value of securities issued by the Borrower, and not as an investment for purposes of speculation;</w:t>
      </w:r>
    </w:p>
    <w:p>
      <w:pPr>
        <w:spacing w:after="0" w:line="192" w:lineRule="exact"/>
        <w:rPr>
          <w:rFonts w:ascii="Times New Roman" w:cs="Times New Roman" w:eastAsia="Times New Roman" w:hAnsi="Times New Roman"/>
          <w:sz w:val="22"/>
          <w:szCs w:val="22"/>
          <w:color w:val="010000"/>
        </w:rPr>
      </w:pPr>
    </w:p>
    <w:p>
      <w:pPr>
        <w:jc w:val="both"/>
        <w:ind w:firstLine="1304"/>
        <w:spacing w:after="0" w:line="243" w:lineRule="auto"/>
        <w:tabs>
          <w:tab w:leader="none" w:pos="1905" w:val="left"/>
        </w:tabs>
        <w:numPr>
          <w:ilvl w:val="0"/>
          <w:numId w:val="2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Investments made, directly or indirectly, by the Borrower in Real Estate Assets which are not office properties (including as “office properties” for such purpose, office, industrial, research and development, technology and laboratory properties and other properties and facilities which are ancillary to any such property investment, mixed-use properties that include office and retail and/or residential space and mixed-use developments that contain one or more office buildings and one or more buildings with retail and/or residential space (collectively, “</w:t>
      </w:r>
      <w:r>
        <w:rPr>
          <w:rFonts w:ascii="Times New Roman" w:cs="Times New Roman" w:eastAsia="Times New Roman" w:hAnsi="Times New Roman"/>
          <w:sz w:val="22"/>
          <w:szCs w:val="22"/>
          <w:u w:val="single" w:color="auto"/>
          <w:color w:val="auto"/>
        </w:rPr>
        <w:t>Permitted Properties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Notwithstanding the foregoing, BPI shall be permitted to make and maintain (i) Investments in the Borrower, (ii) Investments in the Borrower’s Subsidiaries (including, without limitation, in Boston Properties LLC),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BPI’s percentage equity interest in any such Subsidiary shall not exceed 1%, (iii) Investments which exist as of the date of this Agreement and are set forth on Schedule 9.3, and (iv) other Investments which would be permitted by the terms of this Agreement, including §8.7 above. The Borrower shall cause BPI to (and BPI will) contribute to the Borrower, promptly upon, and in any event within 3 Business Days of, BPI’s receipt thereof, 100% of the aggregate proceeds received by BPI in connection with any offering of stock or debt in BPI (net of fees and expenses customarily incurred in such offerings).</w:t>
      </w:r>
    </w:p>
    <w:p>
      <w:pPr>
        <w:spacing w:after="0" w:line="19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§9.4</w:t>
      </w:r>
      <w:r>
        <w:rPr>
          <w:sz w:val="20"/>
          <w:szCs w:val="20"/>
          <w:color w:val="auto"/>
        </w:rPr>
        <w:tab/>
      </w:r>
      <w:r>
        <w:rPr>
          <w:rFonts w:ascii="Times New Roman" w:cs="Times New Roman" w:eastAsia="Times New Roman" w:hAnsi="Times New Roman"/>
          <w:sz w:val="21"/>
          <w:szCs w:val="21"/>
          <w:u w:val="single" w:color="auto"/>
          <w:color w:val="auto"/>
        </w:rPr>
        <w:t>Merger, Consolidation and Disposition of Assets; Assets of BPI.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1273" w:right="339" w:bottom="1440" w:gutter="0" w:footer="0" w:header="0"/>
        </w:sectPr>
      </w:pPr>
    </w:p>
    <w:bookmarkStart w:id="257" w:name="page258"/>
    <w:bookmarkEnd w:id="257"/>
    <w:p>
      <w:pPr>
        <w:ind w:left="660"/>
        <w:spacing w:after="0"/>
        <w:rPr>
          <w:sz w:val="20"/>
          <w:szCs w:val="20"/>
          <w:color w:val="auto"/>
        </w:rPr>
      </w:pPr>
      <w:r>
        <w:rPr>
          <w:rFonts w:ascii="Times New Roman" w:cs="Times New Roman" w:eastAsia="Times New Roman" w:hAnsi="Times New Roman"/>
          <w:sz w:val="22"/>
          <w:szCs w:val="22"/>
          <w:color w:val="auto"/>
        </w:rPr>
        <w:t>Neither the Borrower nor BPI will:</w:t>
      </w:r>
    </w:p>
    <w:p>
      <w:pPr>
        <w:spacing w:after="0" w:line="220" w:lineRule="exact"/>
        <w:rPr>
          <w:sz w:val="20"/>
          <w:szCs w:val="20"/>
          <w:color w:val="auto"/>
        </w:rPr>
      </w:pPr>
    </w:p>
    <w:p>
      <w:pPr>
        <w:jc w:val="both"/>
        <w:ind w:firstLine="1304"/>
        <w:spacing w:after="0" w:line="239" w:lineRule="auto"/>
        <w:tabs>
          <w:tab w:leader="none" w:pos="1765" w:val="left"/>
        </w:tabs>
        <w:numPr>
          <w:ilvl w:val="0"/>
          <w:numId w:val="2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become a party to any merger or consolidation without prior written approval of the Required Banks, except that so long as no Default or Event of Default has occurred and is continuing, or would occur after giving effect thereto, the merger or consolidation of one or more Persons with and into the Borrower or BPI shall be permitted in connection with the acquisition of Real Estate Assets if the Borrower or BPI, as the case may be, is the surviving entity and reincorporation mergers shall be permitted as and to the extent the same would not cause a breach of §8.7;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such merger or consolidation involves BPI, the assets acquired (including any equity interests) are, promptly after the consummation of the acquisition, contributed to the Borrower or one of its Subsidiaries and all liabilities assumed by BPI in connection with the acquisition are assumed by the Borrower or such Subsidiary, and (ii) prior to any such merger or consolidation (other than (x) the merger or consolidation of one or more Wholly-owned Subsidiaries with and into the Borrower or (y) the merger or consolidation of two or more Wholly owned Subsidiaries of the Borrower), the Borrower shall provide to the Agent a statement in the form of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hereto signed by the chief financial officer or treasurer of BPI and setting forth in reasonable detail computations evidencing compliance with the covenants contained in §§10.1 through 10.6 and certifying, to the best knowledge of the signatory, that no Default or Event of Default has occurred and is continuing, or would occur and be continuing after giving effect to such merger or consolidation and all liabilities, fixed or contingent, pursuant thereto; or</w:t>
      </w:r>
    </w:p>
    <w:p>
      <w:pPr>
        <w:spacing w:after="0" w:line="199" w:lineRule="exact"/>
        <w:rPr>
          <w:rFonts w:ascii="Times New Roman" w:cs="Times New Roman" w:eastAsia="Times New Roman" w:hAnsi="Times New Roman"/>
          <w:sz w:val="22"/>
          <w:szCs w:val="22"/>
          <w:color w:val="010000"/>
        </w:rPr>
      </w:pPr>
    </w:p>
    <w:p>
      <w:pPr>
        <w:jc w:val="both"/>
        <w:ind w:firstLine="1304"/>
        <w:spacing w:after="0" w:line="244" w:lineRule="auto"/>
        <w:tabs>
          <w:tab w:leader="none" w:pos="1804" w:val="left"/>
        </w:tabs>
        <w:numPr>
          <w:ilvl w:val="0"/>
          <w:numId w:val="2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without limitation of the other provisions of this Agreement, sell, transfer or otherwise dispose (whether in one transaction or in a series of transactions or pursuant to a Division) of any Real Estate Assets or grant a Lien to secure Indebtedness otherwise permitted hereunder unless no Default or Event of Default would exist or occur and be continuing after giving effect to any such transaction.</w:t>
      </w:r>
    </w:p>
    <w:p>
      <w:pPr>
        <w:spacing w:after="0" w:line="18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1"/>
          <w:szCs w:val="21"/>
          <w:color w:val="010000"/>
        </w:rPr>
        <w:t>§9.5</w:t>
      </w:r>
      <w:r>
        <w:rPr>
          <w:sz w:val="20"/>
          <w:szCs w:val="20"/>
          <w:color w:val="auto"/>
        </w:rPr>
        <w:tab/>
      </w:r>
      <w:r>
        <w:rPr>
          <w:rFonts w:ascii="Times New Roman" w:cs="Times New Roman" w:eastAsia="Times New Roman" w:hAnsi="Times New Roman"/>
          <w:sz w:val="21"/>
          <w:szCs w:val="21"/>
          <w:u w:val="single" w:color="auto"/>
          <w:color w:val="auto"/>
        </w:rPr>
        <w:t>Compliance with Environmental Laws.</w:t>
      </w:r>
      <w:r>
        <w:rPr>
          <w:rFonts w:ascii="Times New Roman" w:cs="Times New Roman" w:eastAsia="Times New Roman" w:hAnsi="Times New Roman"/>
          <w:sz w:val="21"/>
          <w:szCs w:val="21"/>
          <w:color w:val="auto"/>
        </w:rPr>
        <w:t xml:space="preserve"> None of the Borrower, BPI or any Subsidiary will do any of the following:</w:t>
      </w:r>
    </w:p>
    <w:p>
      <w:pPr>
        <w:spacing w:after="0" w:line="26" w:lineRule="exact"/>
        <w:rPr>
          <w:sz w:val="20"/>
          <w:szCs w:val="20"/>
          <w:color w:val="auto"/>
        </w:rPr>
      </w:pPr>
    </w:p>
    <w:p>
      <w:pPr>
        <w:jc w:val="both"/>
        <w:ind w:firstLine="8"/>
        <w:spacing w:after="0" w:line="238" w:lineRule="auto"/>
        <w:tabs>
          <w:tab w:leader="none" w:pos="324"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any of the Real Estate Assets or any portion thereof as a facility for the handling, processing, storage or disposal of Hazardous Substances except for quantities of Hazardous Substances used in the ordinary course of business and in compliance with all applicable Environmental Laws, (b) cause or permit to be located on any of the Real Estate Assets any underground tank or other underground storage receptacle for Hazardous Substances except in compliance with Environmental Laws, (c) generate any Hazardous Substances on any of the Real Estate Assets except in compliance with Environmental Laws, or (d) conduct any activity at any Real Estate Asset or use any Real Estate Asset in any manner so as to cause a Release in violation of applicable Environmental Laws; unless, with respect to clause (d) above, any such occurrence would constitute a Non-Material Breach hereunder.</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§9.6 </w:t>
      </w:r>
      <w:r>
        <w:rPr>
          <w:rFonts w:ascii="Times New Roman" w:cs="Times New Roman" w:eastAsia="Times New Roman" w:hAnsi="Times New Roman"/>
          <w:sz w:val="22"/>
          <w:szCs w:val="22"/>
          <w:u w:val="single" w:color="auto"/>
          <w:color w:val="000000"/>
        </w:rPr>
        <w:t>Distributions.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BPI will not, during any period when any monetary Event of Default has occurred and is continuing,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make any Distributions in excess of the Distributions required to be made by BPI in order to maintain its status as a REIT.</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§9.7 </w:t>
      </w:r>
      <w:r>
        <w:rPr>
          <w:rFonts w:ascii="Times New Roman" w:cs="Times New Roman" w:eastAsia="Times New Roman" w:hAnsi="Times New Roman"/>
          <w:sz w:val="22"/>
          <w:szCs w:val="22"/>
          <w:u w:val="single" w:color="auto"/>
          <w:color w:val="000000"/>
        </w:rPr>
        <w:t>Sanctions.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None of the Borrower, BPI or any Subsidiary will, directly or knowingly indirectly, use the proceeds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Loan or use any Letter of Credit, or lend, contribute or otherwise make available such proceeds or such Letter of Credit to any Subsidiary,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1273" w:right="339" w:bottom="1440" w:gutter="0" w:footer="0" w:header="0"/>
        </w:sectPr>
      </w:pPr>
    </w:p>
    <w:bookmarkStart w:id="258" w:name="page259"/>
    <w:bookmarkEnd w:id="258"/>
    <w:p>
      <w:pPr>
        <w:jc w:val="both"/>
        <w:spacing w:after="0" w:line="256" w:lineRule="auto"/>
        <w:rPr>
          <w:sz w:val="20"/>
          <w:szCs w:val="20"/>
          <w:color w:val="auto"/>
        </w:rPr>
      </w:pPr>
      <w:r>
        <w:rPr>
          <w:rFonts w:ascii="Times New Roman" w:cs="Times New Roman" w:eastAsia="Times New Roman" w:hAnsi="Times New Roman"/>
          <w:sz w:val="22"/>
          <w:szCs w:val="22"/>
          <w:color w:val="auto"/>
        </w:rPr>
        <w:t>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Bank, Arranger, Agent, Fronting Bank, or otherwise) of Sanctions.</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§9.8 </w:t>
      </w:r>
      <w:r>
        <w:rPr>
          <w:rFonts w:ascii="Times New Roman" w:cs="Times New Roman" w:eastAsia="Times New Roman" w:hAnsi="Times New Roman"/>
          <w:sz w:val="22"/>
          <w:szCs w:val="22"/>
          <w:u w:val="single" w:color="auto"/>
          <w:color w:val="000000"/>
        </w:rPr>
        <w:t>Anti-Corruption Laws</w:t>
      </w:r>
      <w:r>
        <w:rPr>
          <w:rFonts w:ascii="Times New Roman" w:cs="Times New Roman" w:eastAsia="Times New Roman" w:hAnsi="Times New Roman"/>
          <w:sz w:val="22"/>
          <w:szCs w:val="22"/>
          <w:color w:val="000000"/>
        </w:rPr>
        <w:t>. None of the Borrower, BPI or any Subsidiary will, directly or knowingly indirectly use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proceeds of any Loan or use any Letter of Credit for any purpose which would breach the United States Foreign Corrupt Practices Act of 1977, the UK Bribery Act 2010, and other similar anti-corruption legislation in other jurisdictions.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§10 </w:t>
      </w:r>
      <w:r>
        <w:rPr>
          <w:rFonts w:ascii="Times New Roman" w:cs="Times New Roman" w:eastAsia="Times New Roman" w:hAnsi="Times New Roman"/>
          <w:sz w:val="22"/>
          <w:szCs w:val="22"/>
          <w:u w:val="single" w:color="auto"/>
          <w:color w:val="000000"/>
        </w:rPr>
        <w:t>FINANCIAL COVENANTS</w:t>
      </w:r>
      <w:r>
        <w:rPr>
          <w:rFonts w:ascii="Times New Roman" w:cs="Times New Roman" w:eastAsia="Times New Roman" w:hAnsi="Times New Roman"/>
          <w:sz w:val="22"/>
          <w:szCs w:val="22"/>
          <w:color w:val="000000"/>
        </w:rPr>
        <w:t>. The Borrower covenants and agrees that, so long as any Loan, Letter of Credit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Note is outstanding or any Bank has any obligation to make any Loan or any Fronting Bank has any obligation to issue, extend, increase or renew any Letters of Credit: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010000"/>
        </w:rPr>
        <w:t xml:space="preserve">§10.1 </w:t>
      </w:r>
      <w:r>
        <w:rPr>
          <w:rFonts w:ascii="Times New Roman" w:cs="Times New Roman" w:eastAsia="Times New Roman" w:hAnsi="Times New Roman"/>
          <w:sz w:val="21"/>
          <w:szCs w:val="21"/>
          <w:u w:val="single" w:color="auto"/>
          <w:color w:val="000000"/>
        </w:rPr>
        <w:t>Consolidated Total Indebtedness.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As at the end of any fiscal quarter or any other date of measurement, the ratio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Consolidated Total Indebtedness to Consolidated Total Adjusted Asset Value shall not exceed 60%,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such ratio may exceed 60% from time to time so long as (a) such ratio does not exceed 65%, (b) such ratio ceases to exceed 60% within one year following each date such ratio first exceeded 60% (in respect of such instance), and (c) in respect of each such instance, the Borrower provides to the Agent a certificate, which certificate shall be in substantially the form of </w:t>
      </w:r>
      <w:r>
        <w:rPr>
          <w:rFonts w:ascii="Times New Roman" w:cs="Times New Roman" w:eastAsia="Times New Roman" w:hAnsi="Times New Roman"/>
          <w:sz w:val="21"/>
          <w:szCs w:val="21"/>
          <w:u w:val="single" w:color="auto"/>
          <w:color w:val="000000"/>
        </w:rPr>
        <w:t>Exhibit G</w:t>
      </w:r>
      <w:r>
        <w:rPr>
          <w:rFonts w:ascii="Times New Roman" w:cs="Times New Roman" w:eastAsia="Times New Roman" w:hAnsi="Times New Roman"/>
          <w:sz w:val="21"/>
          <w:szCs w:val="21"/>
          <w:color w:val="000000"/>
        </w:rPr>
        <w:t xml:space="preserve"> hereto, when such ratio first exceeds 60% and when such ratio ceases to exceed 60%. Notwithstanding anything to the contrary contained herein, for the purposes of this covenant, (i) Consolidated Total Indebtedness on any date shall be adjusted by deducting therefrom an amount equal to the lesser of (x) the aggregate amount of Consolidated Total Indebtedness outstanding on such date that by its terms is scheduled to mature on or before the date that is twenty-four (24) months following such date and (y) the aggregate amount of all Unrestricted Cash and Cash Equivalents on such date and (ii) Consolidated Total Adjusted Asset Value shall be adjusted by deducting therefrom the amount by which Consolidated Total Indebtedness is adjusted under clause (i).</w:t>
      </w:r>
    </w:p>
    <w:p>
      <w:pPr>
        <w:spacing w:after="0" w:line="17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010000"/>
        </w:rPr>
        <w:t xml:space="preserve">§10.2 </w:t>
      </w:r>
      <w:r>
        <w:rPr>
          <w:rFonts w:ascii="Times New Roman" w:cs="Times New Roman" w:eastAsia="Times New Roman" w:hAnsi="Times New Roman"/>
          <w:sz w:val="22"/>
          <w:szCs w:val="22"/>
          <w:u w:val="single" w:color="auto"/>
          <w:color w:val="000000"/>
        </w:rPr>
        <w:t>Secured Consolidated Total Indebtedness.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 at the end of any fiscal quarter, Secured Consolidated Total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Indebtedness shall not exceed 55% of Consolidated Total Adjusted Asset Value on the last day of such quarter.</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§10.3 </w:t>
      </w:r>
      <w:r>
        <w:rPr>
          <w:rFonts w:ascii="Times New Roman" w:cs="Times New Roman" w:eastAsia="Times New Roman" w:hAnsi="Times New Roman"/>
          <w:sz w:val="22"/>
          <w:szCs w:val="22"/>
          <w:u w:val="single" w:color="auto"/>
          <w:color w:val="000000"/>
        </w:rPr>
        <w:t>Fixed Charge Coverage.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 at the end of any fiscal quarter, the ratio of (i) Consolidated EBITDA for such quarter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(ii) Consolidated Fixed Charges for such quarter shall not be less than 1.40 to 1.0.</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§10.4 </w:t>
      </w:r>
      <w:r>
        <w:rPr>
          <w:rFonts w:ascii="Times New Roman" w:cs="Times New Roman" w:eastAsia="Times New Roman" w:hAnsi="Times New Roman"/>
          <w:sz w:val="22"/>
          <w:szCs w:val="22"/>
          <w:u w:val="single" w:color="auto"/>
          <w:color w:val="000000"/>
        </w:rPr>
        <w:t>Unsecured Leverage Ratio.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 at the end of any fiscal quarter or other date of measurement, the ratio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Unsecured Consolidated Total Indebtedness to Consolidated Unencumbered Asset Value shall not exceed 60%,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such ratio may exceed 60% from time to time so long as (a) such ratio does not exceed 65%, (b) such ratio ceases to exceed 60% within one year following each date such ratio first exceeded 60% (in respect of such instance), and (c) in respect of each such instance, the Borrower provides to the Agent a certificate, which certificate shall be in substantially the form of </w:t>
      </w:r>
      <w:r>
        <w:rPr>
          <w:rFonts w:ascii="Times New Roman" w:cs="Times New Roman" w:eastAsia="Times New Roman" w:hAnsi="Times New Roman"/>
          <w:sz w:val="22"/>
          <w:szCs w:val="22"/>
          <w:u w:val="single" w:color="auto"/>
          <w:color w:val="000000"/>
        </w:rPr>
        <w:t>Exhibit G</w:t>
      </w:r>
      <w:r>
        <w:rPr>
          <w:rFonts w:ascii="Times New Roman" w:cs="Times New Roman" w:eastAsia="Times New Roman" w:hAnsi="Times New Roman"/>
          <w:sz w:val="22"/>
          <w:szCs w:val="22"/>
          <w:color w:val="000000"/>
        </w:rPr>
        <w:t xml:space="preserve"> hereto, when such ratio first exceeds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287" w:right="339" w:bottom="1440" w:gutter="0" w:footer="0" w:header="0"/>
        </w:sectPr>
      </w:pPr>
    </w:p>
    <w:bookmarkStart w:id="259" w:name="page260"/>
    <w:bookmarkEnd w:id="259"/>
    <w:p>
      <w:pPr>
        <w:jc w:val="both"/>
        <w:spacing w:after="0" w:line="251" w:lineRule="auto"/>
        <w:rPr>
          <w:sz w:val="20"/>
          <w:szCs w:val="20"/>
          <w:color w:val="auto"/>
        </w:rPr>
      </w:pPr>
      <w:r>
        <w:rPr>
          <w:rFonts w:ascii="Times New Roman" w:cs="Times New Roman" w:eastAsia="Times New Roman" w:hAnsi="Times New Roman"/>
          <w:sz w:val="22"/>
          <w:szCs w:val="22"/>
          <w:color w:val="auto"/>
        </w:rPr>
        <w:t>60% and when such ratio ceases to exceed 60%. Notwithstanding anything to the contrary contained herein, for the purposes of this covenant, (i) Unsecured Consolidated Total Indebtedness on any date shall be adjusted by deducting therefrom an amount equal to the lesser of (x) the aggregate amount of Unsecured Consolidated Total Indebtedness that by its terms is scheduled to mature on or before the date that is twenty-four (24) months following such date and (y) the aggregate amount of all Unrestricted Cash and Cash Equivalents on such date and (ii) Consolidated Unencumbered Asset Value shall be adjusted by deducting therefrom the amount by which Unsecured Consolidated Total Indebtedness is adjusted under clause (i).</w:t>
      </w:r>
    </w:p>
    <w:p>
      <w:pPr>
        <w:spacing w:after="0" w:line="195"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§10.5</w:t>
      </w:r>
      <w:r>
        <w:rPr>
          <w:sz w:val="20"/>
          <w:szCs w:val="20"/>
          <w:color w:val="auto"/>
        </w:rPr>
        <w:tab/>
      </w:r>
      <w:r>
        <w:rPr>
          <w:rFonts w:ascii="Times New Roman" w:cs="Times New Roman" w:eastAsia="Times New Roman" w:hAnsi="Times New Roman"/>
          <w:sz w:val="21"/>
          <w:szCs w:val="21"/>
          <w:color w:val="auto"/>
        </w:rPr>
        <w:t>[Reserved.]</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§10.6 </w:t>
      </w:r>
      <w:r>
        <w:rPr>
          <w:rFonts w:ascii="Times New Roman" w:cs="Times New Roman" w:eastAsia="Times New Roman" w:hAnsi="Times New Roman"/>
          <w:sz w:val="22"/>
          <w:szCs w:val="22"/>
          <w:u w:val="single" w:color="auto"/>
          <w:color w:val="000000"/>
        </w:rPr>
        <w:t>Unsecured Interest Coverage.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 at the end of any fiscal quarter, the ratio of Consolidated Unencumbered NOI,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calculated for such quarter, to Consolidated Unencumbered Interest Expense, as calculated for such quarter, shall not be less than 1.75 to 1.0.</w:t>
      </w:r>
    </w:p>
    <w:p>
      <w:pPr>
        <w:spacing w:after="0" w:line="17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010000"/>
        </w:rPr>
        <w:t>§11</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2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010000"/>
        </w:rPr>
        <w:t xml:space="preserve">§12 </w:t>
      </w:r>
      <w:r>
        <w:rPr>
          <w:rFonts w:ascii="Times New Roman" w:cs="Times New Roman" w:eastAsia="Times New Roman" w:hAnsi="Times New Roman"/>
          <w:sz w:val="21"/>
          <w:szCs w:val="21"/>
          <w:u w:val="single" w:color="auto"/>
          <w:color w:val="000000"/>
        </w:rPr>
        <w:t>CONDITIONS TO EFFECTIVENESS</w:t>
      </w:r>
      <w:r>
        <w:rPr>
          <w:rFonts w:ascii="Times New Roman" w:cs="Times New Roman" w:eastAsia="Times New Roman" w:hAnsi="Times New Roman"/>
          <w:sz w:val="21"/>
          <w:szCs w:val="21"/>
          <w:color w:val="000000"/>
        </w:rPr>
        <w:t>. The effectiveness of this Agreement and the obligations of any Bank to</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make the Committed Loans and of each Fronting Bank to issue Letters of Credit (and to maintain the existing outstanding Loans and Letters of Credit) shall be subject to the satisfaction of the following conditions precedent on or prior to the Closing Date:</w:t>
      </w:r>
    </w:p>
    <w:p>
      <w:pPr>
        <w:spacing w:after="0" w:line="1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§12.1 </w:t>
      </w:r>
      <w:r>
        <w:rPr>
          <w:rFonts w:ascii="Times New Roman" w:cs="Times New Roman" w:eastAsia="Times New Roman" w:hAnsi="Times New Roman"/>
          <w:sz w:val="22"/>
          <w:szCs w:val="22"/>
          <w:u w:val="single" w:color="auto"/>
          <w:color w:val="000000"/>
        </w:rPr>
        <w:t>Loan Documents.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Loan Documents shall have been duly executed and delivered by the respective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parties thereto and shall be in full force and effect.</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§12.2 </w:t>
      </w:r>
      <w:r>
        <w:rPr>
          <w:rFonts w:ascii="Times New Roman" w:cs="Times New Roman" w:eastAsia="Times New Roman" w:hAnsi="Times New Roman"/>
          <w:sz w:val="22"/>
          <w:szCs w:val="22"/>
          <w:u w:val="single" w:color="auto"/>
          <w:color w:val="000000"/>
        </w:rPr>
        <w:t>Certified Copies of Organization Documents.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Agent shall have received (i) from the Borrower a copy,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certified as of a recent date by an Authorized Officer, to be true and complete, of the Agreement of Limited Partnership of BPLP and any other Organizational Document or other agreement governing the rights of the partners or other equity owners of the Borrower, and (ii) from BPI a copy, certified as of a recent date by the appropriate officer of the State of Delaware to be true and correct, of the corporate charter of BPI, in each case along with any other organization documents of the Borrower or BPI and their respective general partners, as the case may be, and each as in effect on the date of such certification.</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§12.3 </w:t>
      </w:r>
      <w:r>
        <w:rPr>
          <w:rFonts w:ascii="Times New Roman" w:cs="Times New Roman" w:eastAsia="Times New Roman" w:hAnsi="Times New Roman"/>
          <w:sz w:val="22"/>
          <w:szCs w:val="22"/>
          <w:u w:val="single" w:color="auto"/>
          <w:color w:val="000000"/>
        </w:rPr>
        <w:t>By-laws; Resolutions.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All action on the part of the Borrower and BPI necessary for the valid execution, delivery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performance by the Borrower and BPI of this Agreement and the other Loan Documents to which any of them is or is to become a party shall have been duly and effectively taken, and evidence thereof satisfactory to the Banks shall have been provided to the Agent. The Agent shall have received from BPI true copies of its by-laws and the resolutions adopted by its board of directors authorizing the transactions described herein and evidencing the due authorization, execution and delivery of the Loan Documents to which BPI and/or the Borrower is a party, each certified by the secretary as of a recent date to be true and complete.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§12.4 </w:t>
      </w:r>
      <w:r>
        <w:rPr>
          <w:rFonts w:ascii="Times New Roman" w:cs="Times New Roman" w:eastAsia="Times New Roman" w:hAnsi="Times New Roman"/>
          <w:sz w:val="22"/>
          <w:szCs w:val="22"/>
          <w:u w:val="single" w:color="auto"/>
          <w:color w:val="000000"/>
        </w:rPr>
        <w:t>Incumbency Certificate: Authorized Signers.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Agent shall have received from BPI an incumbency certificate,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dated as of the Closing Date, signed by an Authorized Officer of BPI and giving the name of each individual who shall be an Authorized Officer hereunder and, as such authorized: (a) to sign, in the name and on behalf of the Borrower and BPI,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240"/>
          </w:cols>
          <w:pgMar w:left="320" w:top="1287" w:right="339" w:bottom="1440" w:gutter="0" w:footer="0" w:header="0"/>
        </w:sectPr>
      </w:pPr>
    </w:p>
    <w:bookmarkStart w:id="260" w:name="page261"/>
    <w:bookmarkEnd w:id="260"/>
    <w:p>
      <w:pPr>
        <w:jc w:val="both"/>
        <w:spacing w:after="0" w:line="256" w:lineRule="auto"/>
        <w:rPr>
          <w:sz w:val="20"/>
          <w:szCs w:val="20"/>
          <w:color w:val="auto"/>
        </w:rPr>
      </w:pPr>
      <w:r>
        <w:rPr>
          <w:rFonts w:ascii="Times New Roman" w:cs="Times New Roman" w:eastAsia="Times New Roman" w:hAnsi="Times New Roman"/>
          <w:sz w:val="22"/>
          <w:szCs w:val="22"/>
          <w:color w:val="auto"/>
        </w:rPr>
        <w:t>be, each of the Loan Documents to which the Borrower or BPI is or is to become a party; (b) to make Loan and Conversion Requests on behalf of the Borrower and (c) to give notices and to take other action on behalf of the Borrower or BPI as applicable, under the Loan Documents. The Agent and the Banks shall be entitled to rely upon any such incumbency certificate as provided until and unless a replacement incumbency certificate is provided to the Agent by BPI.</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§12.5 </w:t>
      </w:r>
      <w:r>
        <w:rPr>
          <w:rFonts w:ascii="Times New Roman" w:cs="Times New Roman" w:eastAsia="Times New Roman" w:hAnsi="Times New Roman"/>
          <w:sz w:val="22"/>
          <w:szCs w:val="22"/>
          <w:u w:val="single" w:color="auto"/>
          <w:color w:val="000000"/>
        </w:rPr>
        <w:t>Pro Forma Financial Statements.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Banks and the Agent shall have received satisfactory pro forma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consolidated financial statements of the Borrower (including, without limitation, projected balance sheets, income statements, and cash flow statements), together with covenant compliance projections covering the period from the Closing Date through December 31, 2021 on a quarterly basis and annually for the calendar years 2022 and 2023. The Agent and the Banks acknowledge that the pro forma financial information provided in the offering memorandum relating to the credit facilities evidenced by this Agreement has fully satisfied this condition.</w:t>
      </w:r>
    </w:p>
    <w:p>
      <w:pPr>
        <w:spacing w:after="0" w:line="181"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§12.6</w:t>
      </w:r>
      <w:r>
        <w:rPr>
          <w:sz w:val="20"/>
          <w:szCs w:val="20"/>
          <w:color w:val="auto"/>
        </w:rPr>
        <w:tab/>
      </w:r>
      <w:r>
        <w:rPr>
          <w:rFonts w:ascii="Times New Roman" w:cs="Times New Roman" w:eastAsia="Times New Roman" w:hAnsi="Times New Roman"/>
          <w:sz w:val="21"/>
          <w:szCs w:val="21"/>
          <w:u w:val="single" w:color="auto"/>
          <w:color w:val="auto"/>
        </w:rPr>
        <w:t>Intentionally Deleted.</w:t>
      </w:r>
    </w:p>
    <w:p>
      <w:pPr>
        <w:spacing w:after="0" w:line="220"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§12.7</w:t>
      </w:r>
      <w:r>
        <w:rPr>
          <w:sz w:val="20"/>
          <w:szCs w:val="20"/>
          <w:color w:val="auto"/>
        </w:rPr>
        <w:tab/>
      </w:r>
      <w:r>
        <w:rPr>
          <w:rFonts w:ascii="Times New Roman" w:cs="Times New Roman" w:eastAsia="Times New Roman" w:hAnsi="Times New Roman"/>
          <w:sz w:val="21"/>
          <w:szCs w:val="21"/>
          <w:u w:val="single" w:color="auto"/>
          <w:color w:val="auto"/>
        </w:rPr>
        <w:t>Intentionally Deleted.</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§12.8 </w:t>
      </w:r>
      <w:r>
        <w:rPr>
          <w:rFonts w:ascii="Times New Roman" w:cs="Times New Roman" w:eastAsia="Times New Roman" w:hAnsi="Times New Roman"/>
          <w:sz w:val="22"/>
          <w:szCs w:val="22"/>
          <w:u w:val="single" w:color="auto"/>
          <w:color w:val="000000"/>
        </w:rPr>
        <w:t>Opinion of Counsel Concerning Organization and Loan Documents.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Banks and the Agent shall have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received favorable opinions addressed to the Banks, the Fronting Banks and the Agent in form and substance reasonably satisfactory to the Banks and the Agent from Goodwin Procter LLP, as counsel to the Borrower and BPI, with respect to applicable law, including, without limitation, New York law and certain matters of Delaware law.</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§12.9 </w:t>
      </w:r>
      <w:r>
        <w:rPr>
          <w:rFonts w:ascii="Times New Roman" w:cs="Times New Roman" w:eastAsia="Times New Roman" w:hAnsi="Times New Roman"/>
          <w:sz w:val="22"/>
          <w:szCs w:val="22"/>
          <w:u w:val="single" w:color="auto"/>
          <w:color w:val="000000"/>
        </w:rPr>
        <w:t>Compliance with the Acts.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Upon the reasonable request of any Bank made at least ten (10) days prior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Closing Date, the Borrower shall have provided to such Bank the documentation and other information so requested in connection with applicable “know your customer” and anti-money laundering rules and regulations, including the Acts and the Beneficial Ownership Regulation (including a Beneficial Ownership Certification), in each case, at least five (5) days prior to the Closing Date.</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010000"/>
        </w:rPr>
        <w:t>§12.10</w:t>
      </w:r>
      <w:r>
        <w:rPr>
          <w:sz w:val="20"/>
          <w:szCs w:val="20"/>
          <w:color w:val="auto"/>
        </w:rPr>
        <w:tab/>
      </w:r>
      <w:r>
        <w:rPr>
          <w:rFonts w:ascii="Times New Roman" w:cs="Times New Roman" w:eastAsia="Times New Roman" w:hAnsi="Times New Roman"/>
          <w:sz w:val="21"/>
          <w:szCs w:val="21"/>
          <w:u w:val="single" w:color="auto"/>
          <w:color w:val="auto"/>
        </w:rPr>
        <w:t>Intentionally Deleted.</w:t>
      </w:r>
    </w:p>
    <w:p>
      <w:pPr>
        <w:spacing w:after="0" w:line="233"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010000"/>
        </w:rPr>
        <w:t>§12.11</w:t>
      </w:r>
      <w:r>
        <w:rPr>
          <w:sz w:val="20"/>
          <w:szCs w:val="20"/>
          <w:color w:val="auto"/>
        </w:rPr>
        <w:tab/>
      </w:r>
      <w:r>
        <w:rPr>
          <w:rFonts w:ascii="Times New Roman" w:cs="Times New Roman" w:eastAsia="Times New Roman" w:hAnsi="Times New Roman"/>
          <w:sz w:val="21"/>
          <w:szCs w:val="21"/>
          <w:u w:val="single" w:color="auto"/>
          <w:color w:val="auto"/>
        </w:rPr>
        <w:t>Intentionally Deleted.</w:t>
      </w:r>
    </w:p>
    <w:p>
      <w:pPr>
        <w:spacing w:after="0" w:line="220"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010000"/>
        </w:rPr>
        <w:t>§12.12</w:t>
      </w:r>
      <w:r>
        <w:rPr>
          <w:sz w:val="20"/>
          <w:szCs w:val="20"/>
          <w:color w:val="auto"/>
        </w:rPr>
        <w:tab/>
      </w:r>
      <w:r>
        <w:rPr>
          <w:rFonts w:ascii="Times New Roman" w:cs="Times New Roman" w:eastAsia="Times New Roman" w:hAnsi="Times New Roman"/>
          <w:sz w:val="21"/>
          <w:szCs w:val="21"/>
          <w:u w:val="single" w:color="auto"/>
          <w:color w:val="auto"/>
        </w:rPr>
        <w:t>Intentionally Deleted.</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§12.13 </w:t>
      </w:r>
      <w:r>
        <w:rPr>
          <w:rFonts w:ascii="Times New Roman" w:cs="Times New Roman" w:eastAsia="Times New Roman" w:hAnsi="Times New Roman"/>
          <w:sz w:val="22"/>
          <w:szCs w:val="22"/>
          <w:u w:val="single" w:color="auto"/>
          <w:color w:val="000000"/>
        </w:rPr>
        <w:t>Certifications from Government Officials.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Agent shall have received certifications from government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officials evidencing the legal existence, good standing and foreign qualification of the Borrower and BPI, along with a certified copy of the certificate of limited partnership of the Borrower, all as of the most recent practicable date.</w:t>
      </w:r>
    </w:p>
    <w:p>
      <w:pPr>
        <w:spacing w:after="0" w:line="173"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010000"/>
        </w:rPr>
        <w:t>§12.14</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§12.15 </w:t>
      </w:r>
      <w:r>
        <w:rPr>
          <w:rFonts w:ascii="Times New Roman" w:cs="Times New Roman" w:eastAsia="Times New Roman" w:hAnsi="Times New Roman"/>
          <w:sz w:val="22"/>
          <w:szCs w:val="22"/>
          <w:u w:val="single" w:color="auto"/>
          <w:color w:val="000000"/>
        </w:rPr>
        <w:t>Proceedings and Documents.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All proceedings in connection with the transactions contemplated by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the other Loan Documents and all other documents incident thereto shall be satisfactory in form and substance to each of the Banks and to the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1287" w:right="339" w:bottom="1440" w:gutter="0" w:footer="0" w:header="0"/>
        </w:sectPr>
      </w:pPr>
    </w:p>
    <w:bookmarkStart w:id="261" w:name="page262"/>
    <w:bookmarkEnd w:id="261"/>
    <w:p>
      <w:pPr>
        <w:jc w:val="both"/>
        <w:spacing w:after="0" w:line="284" w:lineRule="auto"/>
        <w:rPr>
          <w:sz w:val="20"/>
          <w:szCs w:val="20"/>
          <w:color w:val="auto"/>
        </w:rPr>
      </w:pPr>
      <w:r>
        <w:rPr>
          <w:rFonts w:ascii="Times New Roman" w:cs="Times New Roman" w:eastAsia="Times New Roman" w:hAnsi="Times New Roman"/>
          <w:sz w:val="22"/>
          <w:szCs w:val="22"/>
          <w:color w:val="auto"/>
        </w:rPr>
        <w:t>counsel, and the Agent, each of the Banks and such counsel shall have received all information and such counterpart originals or certified or other copies of such documents as the Agent may reasonably request.</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§12.16 </w:t>
      </w:r>
      <w:r>
        <w:rPr>
          <w:rFonts w:ascii="Times New Roman" w:cs="Times New Roman" w:eastAsia="Times New Roman" w:hAnsi="Times New Roman"/>
          <w:sz w:val="22"/>
          <w:szCs w:val="22"/>
          <w:u w:val="single" w:color="auto"/>
          <w:color w:val="000000"/>
        </w:rPr>
        <w:t>Fees.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shall have paid to the Agent, for the accounts of the Banks or for its own account,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applicable, all of the fees and expenses that are due and payable as of the Closing Date in accordance with this Agreement or any fee letter entered into in connection with this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§12.17 </w:t>
      </w:r>
      <w:r>
        <w:rPr>
          <w:rFonts w:ascii="Times New Roman" w:cs="Times New Roman" w:eastAsia="Times New Roman" w:hAnsi="Times New Roman"/>
          <w:sz w:val="22"/>
          <w:szCs w:val="22"/>
          <w:u w:val="single" w:color="auto"/>
          <w:color w:val="000000"/>
        </w:rPr>
        <w:t>Closing Certificate; Compliance Certificate; Sustainability Metric Annual Certificate.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shall have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delivered a Closing Certificate to the Agent, the form of which is attached hereto as </w:t>
      </w:r>
      <w:r>
        <w:rPr>
          <w:rFonts w:ascii="Times New Roman" w:cs="Times New Roman" w:eastAsia="Times New Roman" w:hAnsi="Times New Roman"/>
          <w:sz w:val="22"/>
          <w:szCs w:val="22"/>
          <w:u w:val="single" w:color="auto"/>
          <w:color w:val="000000"/>
        </w:rPr>
        <w:t>Exhibit E</w:t>
      </w:r>
      <w:r>
        <w:rPr>
          <w:rFonts w:ascii="Times New Roman" w:cs="Times New Roman" w:eastAsia="Times New Roman" w:hAnsi="Times New Roman"/>
          <w:sz w:val="22"/>
          <w:szCs w:val="22"/>
          <w:color w:val="000000"/>
        </w:rPr>
        <w:t xml:space="preserve">. The Borrower shall have delivered a compliance certificate in the form of </w:t>
      </w:r>
      <w:r>
        <w:rPr>
          <w:rFonts w:ascii="Times New Roman" w:cs="Times New Roman" w:eastAsia="Times New Roman" w:hAnsi="Times New Roman"/>
          <w:sz w:val="22"/>
          <w:szCs w:val="22"/>
          <w:u w:val="single" w:color="auto"/>
          <w:color w:val="000000"/>
        </w:rPr>
        <w:t>Exhibit C-4</w:t>
      </w:r>
      <w:r>
        <w:rPr>
          <w:rFonts w:ascii="Times New Roman" w:cs="Times New Roman" w:eastAsia="Times New Roman" w:hAnsi="Times New Roman"/>
          <w:sz w:val="22"/>
          <w:szCs w:val="22"/>
          <w:color w:val="000000"/>
        </w:rPr>
        <w:t xml:space="preserve"> hereto evidencing compliance with the covenants set forth in §10 on a pro forma basis. The Borrower shall have delivered a Sustainability Metric Annual Certificate substantially in the form of </w:t>
      </w:r>
      <w:r>
        <w:rPr>
          <w:rFonts w:ascii="Times New Roman" w:cs="Times New Roman" w:eastAsia="Times New Roman" w:hAnsi="Times New Roman"/>
          <w:sz w:val="22"/>
          <w:szCs w:val="22"/>
          <w:u w:val="single" w:color="auto"/>
          <w:color w:val="000000"/>
        </w:rPr>
        <w:t>Exhibit I</w:t>
      </w:r>
      <w:r>
        <w:rPr>
          <w:rFonts w:ascii="Times New Roman" w:cs="Times New Roman" w:eastAsia="Times New Roman" w:hAnsi="Times New Roman"/>
          <w:sz w:val="22"/>
          <w:szCs w:val="22"/>
          <w:color w:val="000000"/>
        </w:rPr>
        <w:t xml:space="preserve"> hereto certifying the Sustainability Metric for the fiscal year of the Borrower ended December 31, 2020.</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Without limiting the generality of the provisions of the last paragraph §16.3 for purposes of determining compliance with the conditions specified in this §12, each Bank that has signed this Agreement shall be deemed to have consented to, approved or accepted or to be satisfied with, each document or other matter required thereunder to be consented to or approved by or acceptable or satisfactory to a Bank unless the Agent shall have received notice from such Bank prior to the proposed Closing Date specifying its objection thereto.</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§13 </w:t>
      </w:r>
      <w:r>
        <w:rPr>
          <w:rFonts w:ascii="Times New Roman" w:cs="Times New Roman" w:eastAsia="Times New Roman" w:hAnsi="Times New Roman"/>
          <w:sz w:val="22"/>
          <w:szCs w:val="22"/>
          <w:u w:val="single" w:color="auto"/>
          <w:color w:val="000000"/>
        </w:rPr>
        <w:t>CONDITIONS TO ALL EXTENSIONS OF CREDIT</w:t>
      </w:r>
      <w:r>
        <w:rPr>
          <w:rFonts w:ascii="Times New Roman" w:cs="Times New Roman" w:eastAsia="Times New Roman" w:hAnsi="Times New Roman"/>
          <w:sz w:val="22"/>
          <w:szCs w:val="22"/>
          <w:color w:val="000000"/>
        </w:rPr>
        <w:t>. The obligations of any Bank to make any Loan (including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Bid Rate Loan) and of any Fronting Bank to issue, extend, increase or renew any Letter of Credit, in each case, whether on or after the Closing Date, shall also be subject to the satisfaction of the following conditions precedent:</w:t>
      </w:r>
    </w:p>
    <w:p>
      <w:pPr>
        <w:spacing w:after="0" w:line="16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§13.1 </w:t>
      </w:r>
      <w:r>
        <w:rPr>
          <w:rFonts w:ascii="Times New Roman" w:cs="Times New Roman" w:eastAsia="Times New Roman" w:hAnsi="Times New Roman"/>
          <w:sz w:val="22"/>
          <w:szCs w:val="22"/>
          <w:u w:val="single" w:color="auto"/>
          <w:color w:val="000000"/>
        </w:rPr>
        <w:t>Representations True; No Event of Default.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representations and warranties made by or on behalf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or BPI contained in this Agreement, the other Loan Documents or in any document or instrument delivered pursuant to or in connection with this Agreement shall be true and correct in all material respects as of the date as of which they were made and shall also be true and correct in all material respects at and as of the time of the making of each Loan or the issuance, extension, increase or renewal of each Letter of Credit (other than the representations in §7.5 and §7.14, which shall be made only as of the Closing Date), with the same effect as if made at and as of that time (in each case, without duplication of materiality qualifiers set forth in such representations and warranties), except (i) with respect to the representations and warranties set forth in §7.19 and §7.20(b), in which case they are true and correct in all respects, (ii) where such representations and warranties expressly relate to an earlier date, in which case such representations and warranties shall have been true and correct in all material respects as of such earlier date (without duplication of materiality qualifiers set forth in such representations and warranties, and except with respect to the representation and warranty set forth in §7.20(b), which shall have been true and correct in all respects), (iii) to the extent of changes resulting from transactions contemplated or not prohibited by this Agreement or the other Loan Documents and changes occurring in the ordinary course of business, and (iv) that for purposes of this §13.1, the representations and warranties contained in §7.4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287" w:right="339" w:bottom="1440" w:gutter="0" w:footer="0" w:header="0"/>
        </w:sectPr>
      </w:pPr>
    </w:p>
    <w:bookmarkStart w:id="262" w:name="page263"/>
    <w:bookmarkEnd w:id="262"/>
    <w:p>
      <w:pPr>
        <w:jc w:val="both"/>
        <w:spacing w:after="0" w:line="251" w:lineRule="auto"/>
        <w:rPr>
          <w:sz w:val="20"/>
          <w:szCs w:val="20"/>
          <w:color w:val="auto"/>
        </w:rPr>
      </w:pPr>
      <w:r>
        <w:rPr>
          <w:rFonts w:ascii="Times New Roman" w:cs="Times New Roman" w:eastAsia="Times New Roman" w:hAnsi="Times New Roman"/>
          <w:sz w:val="22"/>
          <w:szCs w:val="22"/>
          <w:color w:val="auto"/>
        </w:rPr>
        <w:t>refer to the most recent statements furnished pursuant to subsections (a) and (b), respectively, of §8.4; and no Default or Event of Default shall have occurred and be continuing on the date of any Completed Loan Request (or request for a Bid Rate Advance Borrowing Notice) or Letter of Credit Application or on the Drawdown Date (or other date of advance) of any Loan or the date of issuance, extension, increase or renewal of any Letter of Credit, and each Completed Loan Request and Letter of Credit Application submitted by the Borrower shall be deemed to be a representation and warranty by the Borrower that the conditions specified in this §13.1 have been satisfied on and as of such dates.</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§13.2 </w:t>
      </w:r>
      <w:r>
        <w:rPr>
          <w:rFonts w:ascii="Times New Roman" w:cs="Times New Roman" w:eastAsia="Times New Roman" w:hAnsi="Times New Roman"/>
          <w:sz w:val="22"/>
          <w:szCs w:val="22"/>
          <w:u w:val="single" w:color="auto"/>
          <w:color w:val="000000"/>
        </w:rPr>
        <w:t>No Legal Impediment.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 change shall have occurred in any law or regulations thereunder or interpretations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thereof that in the reasonable opinion, as determined in good faith, of the Agent or any Bank would make it illegal for any Bank to make such Loan or to participate in the issuance, extension, increase or renewal of such Letter of Credit or, in the reasonable opinion, as determined in good faith, of the Agent or the applicable Fronting Bank, would make it illegal to issue, extend, increase or renew such Letter of Credit.</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§13.3 </w:t>
      </w:r>
      <w:r>
        <w:rPr>
          <w:rFonts w:ascii="Times New Roman" w:cs="Times New Roman" w:eastAsia="Times New Roman" w:hAnsi="Times New Roman"/>
          <w:sz w:val="22"/>
          <w:szCs w:val="22"/>
          <w:u w:val="single" w:color="auto"/>
          <w:color w:val="000000"/>
        </w:rPr>
        <w:t>Governmental Regulation.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Bank shall have received such statements in substance and form reasonably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satisfactory to such Bank as such Bank shall reasonably require in good faith for the purpose of compliance with any applicable regulations of the Comptroller of the Currency or the Board of Governors of the Federal Reserve System.</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010000"/>
        </w:rPr>
        <w:t xml:space="preserve">§13.4 </w:t>
      </w:r>
      <w:r>
        <w:rPr>
          <w:rFonts w:ascii="Times New Roman" w:cs="Times New Roman" w:eastAsia="Times New Roman" w:hAnsi="Times New Roman"/>
          <w:sz w:val="21"/>
          <w:szCs w:val="21"/>
          <w:u w:val="single" w:color="auto"/>
          <w:color w:val="000000"/>
        </w:rPr>
        <w:t>No Change Rendering Extension of Credit in Alternative Currency Impracticable.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 the case of any Loan or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issuance, extension, increase or renewal of any Letter of Credit to be denominated in an Alternative Currency, (i) such Alternative Currency remains an Eligible Currency and (ii) there shall not have occurred any change in national or international financial, political or economic conditions or currency exchange rates or exchange controls which in the reasonable and good faith opinion of the Agent, the Required Revolving Credit Banks (in the case of any Loan to be denominated in an Alternative Currency) or the applicable Fronting Bank (in the case of any Letter of Credit to be denominated in an Alternative Currency) would make it impracticable for such Loan or Letter of Credit to be denominated in the relevant Alternative Currency (but only to the extent that such determination is made with respect to the Borrower in a non-discriminatory manner, as determined in good faith by the Agent, the Required Revolving Credit Banks and/or such Fronting Bank, as applicable, without any obligation to disclose the identity of any other borrower, letter of credit beneficiary or credit facility).</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010000"/>
        </w:rPr>
        <w:t>§14</w:t>
      </w:r>
      <w:r>
        <w:rPr>
          <w:sz w:val="20"/>
          <w:szCs w:val="20"/>
          <w:color w:val="auto"/>
        </w:rPr>
        <w:tab/>
      </w:r>
      <w:r>
        <w:rPr>
          <w:rFonts w:ascii="Times New Roman" w:cs="Times New Roman" w:eastAsia="Times New Roman" w:hAnsi="Times New Roman"/>
          <w:sz w:val="21"/>
          <w:szCs w:val="21"/>
          <w:u w:val="single" w:color="auto"/>
          <w:color w:val="auto"/>
        </w:rPr>
        <w:t>EVENTS OF DEFAULT; ACCELERATION; ETC</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§14.1</w:t>
      </w:r>
      <w:r>
        <w:rPr>
          <w:sz w:val="20"/>
          <w:szCs w:val="20"/>
          <w:color w:val="auto"/>
        </w:rPr>
        <w:tab/>
      </w:r>
      <w:r>
        <w:rPr>
          <w:rFonts w:ascii="Times New Roman" w:cs="Times New Roman" w:eastAsia="Times New Roman" w:hAnsi="Times New Roman"/>
          <w:sz w:val="21"/>
          <w:szCs w:val="21"/>
          <w:u w:val="single" w:color="auto"/>
          <w:color w:val="auto"/>
        </w:rPr>
        <w:t xml:space="preserve">Events of Default and Acceleration. </w:t>
      </w:r>
      <w:r>
        <w:rPr>
          <w:rFonts w:ascii="Times New Roman" w:cs="Times New Roman" w:eastAsia="Times New Roman" w:hAnsi="Times New Roman"/>
          <w:sz w:val="21"/>
          <w:szCs w:val="21"/>
          <w:color w:val="auto"/>
        </w:rPr>
        <w:t>Each of the following shall constitute an Event of Default:</w:t>
      </w:r>
    </w:p>
    <w:p>
      <w:pPr>
        <w:spacing w:after="0" w:line="220" w:lineRule="exact"/>
        <w:rPr>
          <w:sz w:val="20"/>
          <w:szCs w:val="20"/>
          <w:color w:val="auto"/>
        </w:rPr>
      </w:pPr>
    </w:p>
    <w:p>
      <w:pPr>
        <w:ind w:right="20" w:firstLine="1304"/>
        <w:spacing w:after="0" w:line="271" w:lineRule="auto"/>
        <w:tabs>
          <w:tab w:leader="none" w:pos="1752" w:val="left"/>
        </w:tabs>
        <w:numPr>
          <w:ilvl w:val="0"/>
          <w:numId w:val="2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shall fail to pay any principal of the Loans when the same shall become due and payable and in the currency required hereunder;</w:t>
      </w:r>
    </w:p>
    <w:p>
      <w:pPr>
        <w:spacing w:after="0" w:line="171" w:lineRule="exact"/>
        <w:rPr>
          <w:rFonts w:ascii="Times New Roman" w:cs="Times New Roman" w:eastAsia="Times New Roman" w:hAnsi="Times New Roman"/>
          <w:sz w:val="22"/>
          <w:szCs w:val="22"/>
          <w:color w:val="010000"/>
        </w:rPr>
      </w:pPr>
    </w:p>
    <w:p>
      <w:pPr>
        <w:jc w:val="both"/>
        <w:ind w:firstLine="1304"/>
        <w:spacing w:after="0" w:line="275" w:lineRule="auto"/>
        <w:tabs>
          <w:tab w:leader="none" w:pos="1777" w:val="left"/>
        </w:tabs>
        <w:numPr>
          <w:ilvl w:val="0"/>
          <w:numId w:val="2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Borrower shall fail to pay any interest on the Loans or any other sums due hereunder or under any of the other Loan Documents (including, without limitation, amounts due under §8.17) when the same shall become due and payable, and such failure continues for three (3) days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such sums due other than for interest,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287"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2"/>
          <w:szCs w:val="22"/>
          <w:color w:val="auto"/>
        </w:rPr>
        <w:t>shall have received from the Agent notice of the nature and amount of such other amounts and that payment therefor is due);</w:t>
      </w:r>
    </w:p>
    <w:p>
      <w:pPr>
        <w:spacing w:after="0" w:line="233" w:lineRule="exact"/>
        <w:rPr>
          <w:sz w:val="20"/>
          <w:szCs w:val="20"/>
          <w:color w:val="auto"/>
        </w:rPr>
      </w:pPr>
    </w:p>
    <w:p>
      <w:pPr>
        <w:ind w:firstLine="1304"/>
        <w:spacing w:after="0" w:line="271" w:lineRule="auto"/>
        <w:tabs>
          <w:tab w:leader="none" w:pos="1833" w:val="left"/>
        </w:tabs>
        <w:numPr>
          <w:ilvl w:val="1"/>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or BPI shall fail to comply, or to cause BPI to comply, as the case may be, with any of the respective covenants contained in the following:</w:t>
      </w:r>
    </w:p>
    <w:p>
      <w:pPr>
        <w:spacing w:after="0" w:line="157" w:lineRule="exact"/>
        <w:rPr>
          <w:rFonts w:ascii="Times New Roman" w:cs="Times New Roman" w:eastAsia="Times New Roman" w:hAnsi="Times New Roman"/>
          <w:sz w:val="22"/>
          <w:szCs w:val="22"/>
          <w:color w:val="010000"/>
        </w:rPr>
      </w:pPr>
    </w:p>
    <w:p>
      <w:pPr>
        <w:ind w:left="2380" w:hanging="428"/>
        <w:spacing w:after="0"/>
        <w:tabs>
          <w:tab w:leader="none" w:pos="238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§8.1 (except with respect to principal, interest and other sums covered by clauses (a) or (b) above);</w:t>
      </w:r>
    </w:p>
    <w:p>
      <w:pPr>
        <w:spacing w:after="0" w:line="219" w:lineRule="exact"/>
        <w:rPr>
          <w:rFonts w:ascii="Times New Roman" w:cs="Times New Roman" w:eastAsia="Times New Roman" w:hAnsi="Times New Roman"/>
          <w:sz w:val="22"/>
          <w:szCs w:val="22"/>
          <w:color w:val="010000"/>
        </w:rPr>
      </w:pPr>
    </w:p>
    <w:p>
      <w:pPr>
        <w:ind w:left="2440" w:hanging="488"/>
        <w:spacing w:after="0"/>
        <w:tabs>
          <w:tab w:leader="none" w:pos="244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§8.5 (clauses (a) through (d)), unless such failure is cured within fifteen (15) Business Days;</w:t>
      </w:r>
    </w:p>
    <w:p>
      <w:pPr>
        <w:spacing w:after="0" w:line="219" w:lineRule="exact"/>
        <w:rPr>
          <w:rFonts w:ascii="Times New Roman" w:cs="Times New Roman" w:eastAsia="Times New Roman" w:hAnsi="Times New Roman"/>
          <w:sz w:val="22"/>
          <w:szCs w:val="22"/>
          <w:color w:val="010000"/>
        </w:rPr>
      </w:pPr>
    </w:p>
    <w:p>
      <w:pPr>
        <w:ind w:left="2500" w:hanging="548"/>
        <w:spacing w:after="0"/>
        <w:tabs>
          <w:tab w:leader="none" w:pos="250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§8.6 (as to the legal existence of the Borrower);</w:t>
      </w:r>
    </w:p>
    <w:p>
      <w:pPr>
        <w:spacing w:after="0" w:line="233" w:lineRule="exact"/>
        <w:rPr>
          <w:rFonts w:ascii="Times New Roman" w:cs="Times New Roman" w:eastAsia="Times New Roman" w:hAnsi="Times New Roman"/>
          <w:sz w:val="22"/>
          <w:szCs w:val="22"/>
          <w:color w:val="010000"/>
        </w:rPr>
      </w:pPr>
    </w:p>
    <w:p>
      <w:pPr>
        <w:ind w:left="2480" w:hanging="528"/>
        <w:spacing w:after="0"/>
        <w:tabs>
          <w:tab w:leader="none" w:pos="248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§8.7 (as to the legal existence and REIT status of BPI or as it otherwise relates to BPI);</w:t>
      </w:r>
    </w:p>
    <w:p>
      <w:pPr>
        <w:spacing w:after="0" w:line="219" w:lineRule="exact"/>
        <w:rPr>
          <w:rFonts w:ascii="Times New Roman" w:cs="Times New Roman" w:eastAsia="Times New Roman" w:hAnsi="Times New Roman"/>
          <w:sz w:val="22"/>
          <w:szCs w:val="22"/>
          <w:color w:val="010000"/>
        </w:rPr>
      </w:pPr>
    </w:p>
    <w:p>
      <w:pPr>
        <w:ind w:left="2420" w:hanging="468"/>
        <w:spacing w:after="0"/>
        <w:tabs>
          <w:tab w:leader="none" w:pos="242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§8.10, unless such failure is cured within three (3) Business Days;</w:t>
      </w:r>
    </w:p>
    <w:p>
      <w:pPr>
        <w:spacing w:after="0" w:line="219" w:lineRule="exact"/>
        <w:rPr>
          <w:rFonts w:ascii="Times New Roman" w:cs="Times New Roman" w:eastAsia="Times New Roman" w:hAnsi="Times New Roman"/>
          <w:sz w:val="22"/>
          <w:szCs w:val="22"/>
          <w:color w:val="010000"/>
        </w:rPr>
      </w:pPr>
    </w:p>
    <w:p>
      <w:pPr>
        <w:ind w:left="2480" w:hanging="528"/>
        <w:spacing w:after="0"/>
        <w:tabs>
          <w:tab w:leader="none" w:pos="248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§8.12;</w:t>
      </w:r>
    </w:p>
    <w:p>
      <w:pPr>
        <w:spacing w:after="0" w:line="219" w:lineRule="exact"/>
        <w:rPr>
          <w:rFonts w:ascii="Times New Roman" w:cs="Times New Roman" w:eastAsia="Times New Roman" w:hAnsi="Times New Roman"/>
          <w:sz w:val="22"/>
          <w:szCs w:val="22"/>
          <w:color w:val="010000"/>
        </w:rPr>
      </w:pPr>
    </w:p>
    <w:p>
      <w:pPr>
        <w:ind w:left="2540" w:hanging="588"/>
        <w:spacing w:after="0"/>
        <w:tabs>
          <w:tab w:leader="none" w:pos="254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[Intentionally Deleted];</w:t>
      </w:r>
    </w:p>
    <w:p>
      <w:pPr>
        <w:spacing w:after="0" w:line="21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[Intentionally Deleted];</w:t>
      </w:r>
    </w:p>
    <w:p>
      <w:pPr>
        <w:spacing w:after="0" w:line="219" w:lineRule="exact"/>
        <w:rPr>
          <w:rFonts w:ascii="Times New Roman" w:cs="Times New Roman" w:eastAsia="Times New Roman" w:hAnsi="Times New Roman"/>
          <w:sz w:val="22"/>
          <w:szCs w:val="22"/>
          <w:color w:val="010000"/>
        </w:rPr>
      </w:pPr>
    </w:p>
    <w:p>
      <w:pPr>
        <w:ind w:left="2480" w:hanging="528"/>
        <w:spacing w:after="0"/>
        <w:tabs>
          <w:tab w:leader="none" w:pos="248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§9.1;</w:t>
      </w:r>
    </w:p>
    <w:p>
      <w:pPr>
        <w:spacing w:after="0" w:line="233" w:lineRule="exact"/>
        <w:rPr>
          <w:rFonts w:ascii="Times New Roman" w:cs="Times New Roman" w:eastAsia="Times New Roman" w:hAnsi="Times New Roman"/>
          <w:sz w:val="22"/>
          <w:szCs w:val="22"/>
          <w:color w:val="010000"/>
        </w:rPr>
      </w:pPr>
    </w:p>
    <w:p>
      <w:pPr>
        <w:ind w:left="2420" w:hanging="468"/>
        <w:spacing w:after="0"/>
        <w:tabs>
          <w:tab w:leader="none" w:pos="242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§9.2;</w:t>
      </w:r>
    </w:p>
    <w:p>
      <w:pPr>
        <w:spacing w:after="0" w:line="219" w:lineRule="exact"/>
        <w:rPr>
          <w:rFonts w:ascii="Times New Roman" w:cs="Times New Roman" w:eastAsia="Times New Roman" w:hAnsi="Times New Roman"/>
          <w:sz w:val="22"/>
          <w:szCs w:val="22"/>
          <w:color w:val="010000"/>
        </w:rPr>
      </w:pPr>
    </w:p>
    <w:p>
      <w:pPr>
        <w:ind w:left="2480" w:hanging="528"/>
        <w:spacing w:after="0"/>
        <w:tabs>
          <w:tab w:leader="none" w:pos="248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§9.3;</w:t>
      </w:r>
    </w:p>
    <w:p>
      <w:pPr>
        <w:spacing w:after="0" w:line="219" w:lineRule="exact"/>
        <w:rPr>
          <w:rFonts w:ascii="Times New Roman" w:cs="Times New Roman" w:eastAsia="Times New Roman" w:hAnsi="Times New Roman"/>
          <w:sz w:val="22"/>
          <w:szCs w:val="22"/>
          <w:color w:val="010000"/>
        </w:rPr>
      </w:pPr>
    </w:p>
    <w:p>
      <w:pPr>
        <w:ind w:left="2540" w:hanging="588"/>
        <w:spacing w:after="0"/>
        <w:tabs>
          <w:tab w:leader="none" w:pos="254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§9.4;</w:t>
      </w:r>
    </w:p>
    <w:p>
      <w:pPr>
        <w:spacing w:after="0" w:line="21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§9.6; and</w:t>
      </w:r>
    </w:p>
    <w:p>
      <w:pPr>
        <w:spacing w:after="0" w:line="219"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2"/>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§10;</w:t>
      </w:r>
    </w:p>
    <w:p>
      <w:pPr>
        <w:spacing w:after="0" w:line="233" w:lineRule="exact"/>
        <w:rPr>
          <w:rFonts w:ascii="Times New Roman" w:cs="Times New Roman" w:eastAsia="Times New Roman" w:hAnsi="Times New Roman"/>
          <w:sz w:val="22"/>
          <w:szCs w:val="22"/>
          <w:color w:val="010000"/>
        </w:rPr>
      </w:pPr>
    </w:p>
    <w:p>
      <w:pPr>
        <w:jc w:val="both"/>
        <w:ind w:firstLine="1304"/>
        <w:spacing w:after="0" w:line="261" w:lineRule="auto"/>
        <w:tabs>
          <w:tab w:leader="none" w:pos="1764" w:val="left"/>
        </w:tabs>
        <w:numPr>
          <w:ilvl w:val="1"/>
          <w:numId w:val="2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Borrower or BPI shall fail to perform, or to cause BPI to perform, any other term, covenant or agreement contained herein or in any of the other Loan Documents (other than those specified elsewhere in this §14) and such failure continues for thirty (30) days after written notice of such failure from the Agent (such notice not, however, being required for any failure with respect to which the Borrower is otherwise obligated hereunder to notify the Agent or the Banks),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Borrower is diligently and in good faith prosecuting a cure of any such failure or breach that is capable of being cured (all as determined by the Agent in its reasonable and good faith judgment), the Borrower shall be permitted an additional thirty</w:t>
      </w:r>
    </w:p>
    <w:p>
      <w:pPr>
        <w:ind w:right="20" w:firstLine="8"/>
        <w:spacing w:after="0" w:line="248" w:lineRule="auto"/>
        <w:tabs>
          <w:tab w:leader="none" w:pos="417"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(but in no event more than an aggregate of sixty (60) days after any such initial written notice from the Agent) to effect such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1287" w:right="339" w:bottom="1440" w:gutter="0" w:footer="0" w:header="0"/>
        </w:sectPr>
      </w:pPr>
    </w:p>
    <w:bookmarkStart w:id="264" w:name="page265"/>
    <w:bookmarkEnd w:id="264"/>
    <w:p>
      <w:pPr>
        <w:jc w:val="both"/>
        <w:ind w:firstLine="1304"/>
        <w:spacing w:after="0" w:line="263" w:lineRule="auto"/>
        <w:tabs>
          <w:tab w:leader="none" w:pos="1765" w:val="left"/>
        </w:tabs>
        <w:numPr>
          <w:ilvl w:val="0"/>
          <w:numId w:val="2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representation or warranty made by or on behalf of the Borrower or BPI in this Agreement or any of the other Loan Documents shall prove to have been false in any material respect upon the date when made or deemed to have been made or repeated and the same is not otherwise specified herein to be a Non-Material Breach;</w:t>
      </w:r>
    </w:p>
    <w:p>
      <w:pPr>
        <w:spacing w:after="0" w:line="167" w:lineRule="exact"/>
        <w:rPr>
          <w:rFonts w:ascii="Times New Roman" w:cs="Times New Roman" w:eastAsia="Times New Roman" w:hAnsi="Times New Roman"/>
          <w:sz w:val="22"/>
          <w:szCs w:val="22"/>
          <w:color w:val="010000"/>
        </w:rPr>
      </w:pPr>
    </w:p>
    <w:p>
      <w:pPr>
        <w:jc w:val="both"/>
        <w:ind w:firstLine="1304"/>
        <w:spacing w:after="0" w:line="259" w:lineRule="auto"/>
        <w:tabs>
          <w:tab w:leader="none" w:pos="1809" w:val="left"/>
        </w:tabs>
        <w:numPr>
          <w:ilvl w:val="0"/>
          <w:numId w:val="2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Borrower or any of its Subsidiaries or, to the extent of Recourse to the Borrower or such Subsidiaries thereunder, any of their respective Affiliates, shall fail to pay at maturity, or within any applicable period of grace, any obligation for borrowed money or credit received or in respect of any Capitalized Leases (other than non-recourse obligations or credit), the recourse component of the principal amount of which is in excess of $50,000,000, either individually or in the aggregate, or fail to observe or perform any material term, covenant, condition or agreement contained in any agreement, document or instrument by which it is bound evidencing, securing or otherwise relating to such Recourse obligations, evidencing or securing borrowed money or credit received or in respect of any Capitalized Leases for such period of time (after the giving of appropriate notice if required) as would permit the holder or holders thereof or of any obligations issued thereunder the recourse component of the principal amount of which is in excess of $50,000,000, either individually or in the aggregate, to accelerate the maturity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notwithstanding the foregoing, (i) no Event of Default shall occur pursuant to this subparagraph (f) unless and until the holder or holders of such Recourse Indebtedness have declared an event of default beyond any applicable notice and grace periods, if any, on in excess of $50,000,000 of such Recourse Indebtedness (determined on the basis of the principal amount of such Recourse Indebtedness) either individually or in the aggregate, and (ii) with respect solely to any such Recourse Indebtedness of a Subsidiary or Affiliate of the Borrower (not including any such Indebtedness which is Recourse to the Borrower), no Event of Default shall occur pursuant to this subparagraph (f) if, upon the occurrence of such event, the Borrower, promptly after obtaining knowledge of the same, notifies the Agent in writing of such event and includes with such notice a Compliance Certificate in the form of </w:t>
      </w:r>
      <w:r>
        <w:rPr>
          <w:rFonts w:ascii="Times New Roman" w:cs="Times New Roman" w:eastAsia="Times New Roman" w:hAnsi="Times New Roman"/>
          <w:sz w:val="21"/>
          <w:szCs w:val="21"/>
          <w:u w:val="single" w:color="auto"/>
          <w:color w:val="auto"/>
        </w:rPr>
        <w:t>Exhibit C-3</w:t>
      </w:r>
      <w:r>
        <w:rPr>
          <w:rFonts w:ascii="Times New Roman" w:cs="Times New Roman" w:eastAsia="Times New Roman" w:hAnsi="Times New Roman"/>
          <w:sz w:val="21"/>
          <w:szCs w:val="21"/>
          <w:color w:val="auto"/>
        </w:rPr>
        <w:t xml:space="preserve"> evidencing to the satisfaction of the Agent that, as of the date thereof, the Borrower is in compliance with all of the covenants set forth in §10 after excluding such Subsidiary or Affiliate, and any Real Estate Asset owned by such Subsidiary or Affiliate, from the calculation of such covenants;</w:t>
      </w:r>
    </w:p>
    <w:p>
      <w:pPr>
        <w:spacing w:after="0" w:line="192" w:lineRule="exact"/>
        <w:rPr>
          <w:rFonts w:ascii="Times New Roman" w:cs="Times New Roman" w:eastAsia="Times New Roman" w:hAnsi="Times New Roman"/>
          <w:sz w:val="21"/>
          <w:szCs w:val="21"/>
          <w:color w:val="010000"/>
        </w:rPr>
      </w:pPr>
    </w:p>
    <w:p>
      <w:pPr>
        <w:jc w:val="both"/>
        <w:ind w:firstLine="1304"/>
        <w:spacing w:after="0" w:line="248" w:lineRule="auto"/>
        <w:tabs>
          <w:tab w:leader="none" w:pos="1912" w:val="left"/>
        </w:tabs>
        <w:numPr>
          <w:ilvl w:val="0"/>
          <w:numId w:val="2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of BPLP, BPI or any of their respective Subsidiaries shall make an assignment for the benefit of creditors, or admit in writing its inability to pay or generally fail to pay its debts as they mature or become due, or shall petition or apply for the appointment of a trustee or other custodian, liquidator or receiver of any of BPLP, BPI or any of their respective Subsidiaries or of any substantial part of the properties or assets of any of such parties or shall commence any case or other proceeding relating to any of BPLP, BPI or any of their respective Subsidiaries under any bankruptcy, reorganization, arrangement, insolvency, readjustment of debt, dissolution or liquidation or similar law of any jurisdiction, now or hereafter in effect, or shall take any action to authorize or in furtherance of any of the foregoing, or if any such petition or application shall be filed or any such case or other proceeding shall be commenced against any of BPLP, BPI or any of their respective Subsidiaries and (i) any of BPLP, BPI or any of their respective Subsidiaries shall indicate its approval thereof, consent thereto or acquiescence therein or (ii) any such petition, application, case or other proceeding shall continue undismissed, or unstayed and in effect, for a period of ninety (90) days, except, with respect solely to such parties other than BPLP and BPI, any of the foregoing constitutes a Non-Material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240"/>
          </w:cols>
          <w:pgMar w:left="320" w:top="1287" w:right="339" w:bottom="1440" w:gutter="0" w:footer="0" w:header="0"/>
        </w:sectPr>
      </w:pPr>
    </w:p>
    <w:bookmarkStart w:id="265" w:name="page266"/>
    <w:bookmarkEnd w:id="265"/>
    <w:p>
      <w:pPr>
        <w:jc w:val="both"/>
        <w:ind w:firstLine="1304"/>
        <w:spacing w:after="0" w:line="253" w:lineRule="auto"/>
        <w:tabs>
          <w:tab w:leader="none" w:pos="1818" w:val="left"/>
        </w:tabs>
        <w:numPr>
          <w:ilvl w:val="0"/>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decree or order is entered appointing any trustee, custodian, liquidator or receiver or adjudicating any of BPLP, BPI or any of their respective Subsidiaries bankrupt or insolvent, or approving a petition in any such case or other proceeding, or a decree or order for relief is entered in respect of any of BPLP, BPI or any of their respective Subsidiaries in an involuntary case under federal bankruptcy laws as now or hereafter constituted, except, with respect solely to such parties other than BPLP and BPI, any of the foregoing constitutes a Non-Material Breach;</w:t>
      </w:r>
    </w:p>
    <w:p>
      <w:pPr>
        <w:spacing w:after="0" w:line="178"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716" w:val="left"/>
        </w:tabs>
        <w:numPr>
          <w:ilvl w:val="0"/>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shall remain in force, undischarged, unsatisfied and unstayed, for more than thirty (30) days, whether or not consecutive, any uninsured final judgment against any of BPLP, BPI or any of their respective Subsidiaries that, with other outstanding uninsured final judgments, undischarged, unsatisfied and unstayed, against any of such parties exceeds in the aggregate $20,000,000 except, with respect solely to such parties other than BPLP and BPI, any of the foregoing constitutes a Non-Material Breach, and excluding in all events (x) judgments in respect of non-recourse loans secured by Real Estate Assets and (y) defaults in respect of borrowed money that would otherwise be included in §14.1(f);</w:t>
      </w:r>
    </w:p>
    <w:p>
      <w:pPr>
        <w:spacing w:after="0" w:line="181"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756" w:val="left"/>
        </w:tabs>
        <w:numPr>
          <w:ilvl w:val="0"/>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of the Loan Documents or any material provision of any Loan Document shall be canceled, terminated, revoked or rescinded otherwise than in accordance with the terms thereof or with the express prior written agreement, consent or approval of the Agent, or any action at law, suit or in equity or other legal proceeding to make unenforceable, cancel, revoke or rescind any of the Loan Documents shall be commenced by or on behalf of the Borrower or BPI, or any court or any other governmental or regulatory authority or agency of competent jurisdiction shall make a determination that, or issue a judgment, order, decree or ruling to the effect that, any one or more of the Loan Documents is illegal, invalid or unenforceable as to any material terms thereof;</w:t>
      </w:r>
    </w:p>
    <w:p>
      <w:pPr>
        <w:spacing w:after="0" w:line="179" w:lineRule="exact"/>
        <w:rPr>
          <w:rFonts w:ascii="Times New Roman" w:cs="Times New Roman" w:eastAsia="Times New Roman" w:hAnsi="Times New Roman"/>
          <w:sz w:val="22"/>
          <w:szCs w:val="22"/>
          <w:color w:val="010000"/>
        </w:rPr>
      </w:pPr>
    </w:p>
    <w:p>
      <w:pPr>
        <w:ind w:firstLine="1304"/>
        <w:spacing w:after="0" w:line="271" w:lineRule="auto"/>
        <w:tabs>
          <w:tab w:leader="none" w:pos="1777" w:val="left"/>
        </w:tabs>
        <w:numPr>
          <w:ilvl w:val="0"/>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“Event of Default” or default (after notice and expiration of any period of grace, to the extent provided), as defined or provided in any of the other Loan Documents, shall occur and be continuing;</w:t>
      </w:r>
    </w:p>
    <w:p>
      <w:pPr>
        <w:spacing w:after="0" w:line="157"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770" w:val="left"/>
        </w:tabs>
        <w:numPr>
          <w:ilvl w:val="0"/>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any Pension Plan, an ERISA Reportable Event shall have occurred and the Required Banks shall have determined in their reasonable discretion that such event reasonably could be expected to result in liability of the Borrower or BPI to the PBGC or such Pension Plan in an aggregate amount exceeding $10,000,000 and such event in the circumstances occurring reasonably could constitute grounds for the termination of such Pension Plan by the PBGC or for the appointment by the appropriate United States District Court of a trustee to administer such Pension Plan; or a trustee shall have been appointed by the United States District Court to administer such Pension Plan; or the PBGC shall have instituted proceedings to terminate such Pension Plan; or</w:t>
      </w:r>
    </w:p>
    <w:p>
      <w:pPr>
        <w:spacing w:after="0" w:line="180"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918" w:val="left"/>
        </w:tabs>
        <w:numPr>
          <w:ilvl w:val="0"/>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without limitation of the other provisions of this §14.1, BPI shall at any time fail to be the sole general partner of BPLP or shall at any time be in contravention of any of the requirements contained in §9.1(e), the last paragraph of §9.2, or §9.3 (including, without limitation, the last paragraph of §9.3).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ectPr>
          <w:pgSz w:w="11900" w:h="16838" w:orient="portrait"/>
          <w:cols w:equalWidth="0" w:num="1">
            <w:col w:w="11240"/>
          </w:cols>
          <w:pgMar w:left="320" w:top="1287" w:right="339" w:bottom="1440" w:gutter="0" w:footer="0" w:header="0"/>
        </w:sectPr>
      </w:pPr>
    </w:p>
    <w:bookmarkStart w:id="266" w:name="page267"/>
    <w:bookmarkEnd w:id="266"/>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For purposes of this §14, the term “Non-Material Breach” shall refer to a breach of any representation, warranty or covenant contained in this Agreement to which the term “Non-Material Breach” is expressly applied herein, but only to the extent such breach does not (A) materially adversely affect the business, properties or financial condition of BPLP, BPI or, taken as a whole, the BP Group or (B) adversely affect the ability of BPLP, BPI or, taken as a whole, the BP Group, to fulfill the Obligations to the Banks and the Agent (including, without limitation, to repay all amounts outstanding on the Loans, together with interest and charges thereon when due). For the avoidance of doubt, a breach of any representation, warranty or covenant contained in any of §§7.19, 8.13 or 9.8 shall in no event be considered a Non-Material Breach.</w:t>
      </w:r>
    </w:p>
    <w:p>
      <w:pPr>
        <w:spacing w:after="0" w:line="17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010000"/>
        </w:rPr>
        <w:t xml:space="preserve">§14.2 </w:t>
      </w:r>
      <w:r>
        <w:rPr>
          <w:rFonts w:ascii="Times New Roman" w:cs="Times New Roman" w:eastAsia="Times New Roman" w:hAnsi="Times New Roman"/>
          <w:sz w:val="21"/>
          <w:szCs w:val="21"/>
          <w:u w:val="single" w:color="auto"/>
          <w:color w:val="000000"/>
        </w:rPr>
        <w:t>Remedies.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If any Event of Default occurs and is continuing, the Agent shall, at the direction of, or may, with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consent of, the Required Banks, by giving written notice thereof to the Borrower (except in the case of any Event of Default specified in §14.1(g) or 14.1(h), in which case, no such written notice shall be required), take any or all of the following actions:</w:t>
      </w:r>
    </w:p>
    <w:p>
      <w:pPr>
        <w:spacing w:after="0" w:line="155" w:lineRule="exact"/>
        <w:rPr>
          <w:sz w:val="20"/>
          <w:szCs w:val="20"/>
          <w:color w:val="auto"/>
        </w:rPr>
      </w:pPr>
    </w:p>
    <w:p>
      <w:pPr>
        <w:ind w:firstLine="1304"/>
        <w:spacing w:after="0" w:line="271" w:lineRule="auto"/>
        <w:tabs>
          <w:tab w:leader="none" w:pos="1846" w:val="left"/>
        </w:tabs>
        <w:numPr>
          <w:ilvl w:val="0"/>
          <w:numId w:val="2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declare the commitment of each Bank to make Loans and any obligation of any Fronting Bank to issue, extend, increase or renew Letters of Credit to be terminated, whereupon such commitments and obligation shall be terminated;</w:t>
      </w:r>
    </w:p>
    <w:p>
      <w:pPr>
        <w:spacing w:after="0" w:line="171"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777" w:val="left"/>
        </w:tabs>
        <w:numPr>
          <w:ilvl w:val="0"/>
          <w:numId w:val="2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BPI and each of their respective Subsidiaries;</w:t>
      </w:r>
    </w:p>
    <w:p>
      <w:pPr>
        <w:spacing w:after="0" w:line="179" w:lineRule="exact"/>
        <w:rPr>
          <w:rFonts w:ascii="Times New Roman" w:cs="Times New Roman" w:eastAsia="Times New Roman" w:hAnsi="Times New Roman"/>
          <w:sz w:val="22"/>
          <w:szCs w:val="22"/>
          <w:color w:val="010000"/>
        </w:rPr>
      </w:pPr>
    </w:p>
    <w:p>
      <w:pPr>
        <w:ind w:firstLine="1304"/>
        <w:spacing w:after="0" w:line="284" w:lineRule="auto"/>
        <w:tabs>
          <w:tab w:leader="none" w:pos="1860" w:val="left"/>
        </w:tabs>
        <w:numPr>
          <w:ilvl w:val="0"/>
          <w:numId w:val="2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require that the Borrower Cash Collateralize the Letter of Credit Obligations (in an amount equal to the Minimum Collateral Amount with respect thereto); and</w:t>
      </w:r>
    </w:p>
    <w:p>
      <w:pPr>
        <w:spacing w:after="0" w:line="143" w:lineRule="exact"/>
        <w:rPr>
          <w:rFonts w:ascii="Times New Roman" w:cs="Times New Roman" w:eastAsia="Times New Roman" w:hAnsi="Times New Roman"/>
          <w:sz w:val="22"/>
          <w:szCs w:val="22"/>
          <w:color w:val="010000"/>
        </w:rPr>
      </w:pPr>
    </w:p>
    <w:p>
      <w:pPr>
        <w:ind w:firstLine="1304"/>
        <w:spacing w:after="0" w:line="271" w:lineRule="auto"/>
        <w:tabs>
          <w:tab w:leader="none" w:pos="1845" w:val="left"/>
        </w:tabs>
        <w:numPr>
          <w:ilvl w:val="0"/>
          <w:numId w:val="2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exercise on behalf of itself, the Banks and the Fronting Banks all rights and remedies available to it, the Banks and the Fronting Banks under the Loan Documents;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upon the occurrence of any Event of Default specified in §14.1(g) or 14.1(h), the obligation of each Bank to make Loans and any obligation of any Fronting Bank to issue, extend, increase or renew Letters of Credit shall automatically terminate, the unpaid principal amount of all outstanding Loans and all interest and other amounts as aforesaid shall automatically become due and payable, and the obligation of the Borrower to Cash Collateralize the Letter of Credit Obligations as aforesaid shall automatically become effective, in each case without presentment, demand, protest or other notice of any kind, all of which are hereby expressly waived by the Borrower, BPI and each of their respective Subsidiaries, and without further act of the Agent or any Bank.</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§14.3 </w:t>
      </w:r>
      <w:r>
        <w:rPr>
          <w:rFonts w:ascii="Times New Roman" w:cs="Times New Roman" w:eastAsia="Times New Roman" w:hAnsi="Times New Roman"/>
          <w:sz w:val="22"/>
          <w:szCs w:val="22"/>
          <w:u w:val="single" w:color="auto"/>
          <w:color w:val="000000"/>
        </w:rPr>
        <w:t>Application of Funds.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After the exercise of remedies provided for in §14.2 (or after the Loans have automatically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become immediately due and payable and the Letter of Credit Obligations have automatically been required to be Cash Collateralized as set forth in the proviso to §14.2), any amounts received on account of the Obligations shall, subject to the provisions of §§5.11 and 5.12, be applied by the Agent in the following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ectPr>
          <w:pgSz w:w="11900" w:h="16838" w:orient="portrait"/>
          <w:cols w:equalWidth="0" w:num="1">
            <w:col w:w="11240"/>
          </w:cols>
          <w:pgMar w:left="320" w:top="1287" w:right="339" w:bottom="1440" w:gutter="0" w:footer="0" w:header="0"/>
        </w:sectPr>
      </w:pPr>
    </w:p>
    <w:bookmarkStart w:id="267" w:name="page268"/>
    <w:bookmarkEnd w:id="267"/>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payment of that portion of the Obligations constituting fees, indemnities, expenses and other amounts (including fees, charges and disbursements of counsel to the Agent and amounts payable under §5) payable to the Agent in its capacity as such;</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payment of that portion of the Obligations constituting fees, indemnities and other amounts (other than principal, interest and Letter of Credit Fees) payable to the Banks and the Fronting Banks (including fees, charges and disbursements of counsel to the respective Banks and the Fronting Banks including fees and time charges for attorneys who may be employees of any Bank or any Fronting Bank and amounts payable under §5), ratably among them in proportion to the respective amounts described in this clause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payable to them;</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accrued and unpaid Letter of Credit Fees and interest on the Loans, Reimbursement Obligations and other Obligations, ratably among the Banks and the Fronting Banks in proportion to the respective amounts described in this clause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payable to them;</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payment of that portion of the Obligations constituting unpaid principal of the Loans and Reimbursement Obligations, ratably among the Banks and the Fronting Banks in proportion to the respective amounts described in this clause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held by them;</w:t>
      </w:r>
    </w:p>
    <w:p>
      <w:pPr>
        <w:spacing w:after="0" w:line="167"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Agent for the account of the Fronting Banks, to Cash Collateralize that portion of Letter of Credit Obligations comprised of the aggregate undrawn amount of Letters of Credit to the extent not otherwise Cash Collateralized by the Borrower pursuant to §§3.11 and 5.11.1; and</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have been indefeasibly paid in full, to the Borrower or as otherwise required by law.</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Subject to §§3.1.4 and 5.11, amounts used to Cash Collateralize the aggregate undrawn amount of Letters of Credit pursuant to clause Fifth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§15 </w:t>
      </w:r>
      <w:r>
        <w:rPr>
          <w:rFonts w:ascii="Times New Roman" w:cs="Times New Roman" w:eastAsia="Times New Roman" w:hAnsi="Times New Roman"/>
          <w:sz w:val="22"/>
          <w:szCs w:val="22"/>
          <w:u w:val="single" w:color="auto"/>
          <w:color w:val="000000"/>
        </w:rPr>
        <w:t>SETOFF.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Neither the Agent nor any of the Banks shall have any right of set-off or the like with respect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Obligations against any assets of the Borrower, BPI, their respective Subsidiaries or any Partially-Owned Entity.</w:t>
      </w:r>
    </w:p>
    <w:p>
      <w:pPr>
        <w:spacing w:after="0" w:line="14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010000"/>
        </w:rPr>
        <w:t>§16</w:t>
      </w:r>
      <w:r>
        <w:rPr>
          <w:sz w:val="20"/>
          <w:szCs w:val="20"/>
          <w:color w:val="auto"/>
        </w:rPr>
        <w:tab/>
      </w:r>
      <w:r>
        <w:rPr>
          <w:rFonts w:ascii="Times New Roman" w:cs="Times New Roman" w:eastAsia="Times New Roman" w:hAnsi="Times New Roman"/>
          <w:sz w:val="21"/>
          <w:szCs w:val="21"/>
          <w:u w:val="single" w:color="auto"/>
          <w:color w:val="auto"/>
        </w:rPr>
        <w:t>THE AGENT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010000"/>
        </w:rPr>
        <w:t xml:space="preserve">§16.1 </w:t>
      </w:r>
      <w:r>
        <w:rPr>
          <w:rFonts w:ascii="Times New Roman" w:cs="Times New Roman" w:eastAsia="Times New Roman" w:hAnsi="Times New Roman"/>
          <w:sz w:val="22"/>
          <w:szCs w:val="22"/>
          <w:u w:val="single" w:color="auto"/>
          <w:color w:val="000000"/>
        </w:rPr>
        <w:t>Appointment and Authority.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Banks and each of the Fronting Banks hereby irrevocably appoints BOA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§16 (except §16.6 to the extent certain rights are provided to the Borrower thereunder) are solely for the benefit of the Agent, the Banks and the Fronting Banks, and the Borrower shall not have rights as a third party beneficiary of any of such provisions. The Banks shall notify the Borrower of any successor to the Agent by a writing signed by Required Banks, which successor shall be reasonably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ectPr>
          <w:pgSz w:w="11900" w:h="16838" w:orient="portrait"/>
          <w:cols w:equalWidth="0" w:num="1">
            <w:col w:w="11240"/>
          </w:cols>
          <w:pgMar w:left="320" w:top="1287" w:right="339" w:bottom="1440" w:gutter="0" w:footer="0" w:header="0"/>
        </w:sectPr>
      </w:pPr>
    </w:p>
    <w:bookmarkStart w:id="268" w:name="page269"/>
    <w:bookmarkEnd w:id="268"/>
    <w:p>
      <w:pPr>
        <w:jc w:val="both"/>
        <w:spacing w:after="0" w:line="247" w:lineRule="auto"/>
        <w:rPr>
          <w:sz w:val="20"/>
          <w:szCs w:val="20"/>
          <w:color w:val="auto"/>
        </w:rPr>
      </w:pPr>
      <w:r>
        <w:rPr>
          <w:rFonts w:ascii="Times New Roman" w:cs="Times New Roman" w:eastAsia="Times New Roman" w:hAnsi="Times New Roman"/>
          <w:sz w:val="22"/>
          <w:szCs w:val="22"/>
          <w:color w:val="auto"/>
        </w:rPr>
        <w:t>to the Borrower so long as no Default or Event of Default has occurred and is continuing.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010000"/>
        </w:rPr>
        <w:t xml:space="preserve">§16.2 </w:t>
      </w:r>
      <w:r>
        <w:rPr>
          <w:rFonts w:ascii="Times New Roman" w:cs="Times New Roman" w:eastAsia="Times New Roman" w:hAnsi="Times New Roman"/>
          <w:sz w:val="22"/>
          <w:szCs w:val="22"/>
          <w:u w:val="single" w:color="auto"/>
          <w:color w:val="000000"/>
        </w:rPr>
        <w:t>Rights as a Bank.</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Person serving as the Agent hereunder shall have the same rights and powers in its capacity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 a Bank as any other Bank and may exercise the same as though it were not the Agent and the term “Bank” or “Banks”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Agent hereunder and without any duty to account therefor to the Banks.</w:t>
      </w:r>
    </w:p>
    <w:p>
      <w:pPr>
        <w:spacing w:after="0" w:line="19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§16.3 </w:t>
      </w:r>
      <w:r>
        <w:rPr>
          <w:rFonts w:ascii="Times New Roman" w:cs="Times New Roman" w:eastAsia="Times New Roman" w:hAnsi="Times New Roman"/>
          <w:sz w:val="22"/>
          <w:szCs w:val="22"/>
          <w:u w:val="single" w:color="auto"/>
          <w:color w:val="000000"/>
        </w:rPr>
        <w:t>No Liability.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Agent shall not have any duties or obligations except those expressly set forth herein and in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other Loan Documents, and its duties hereunder shall be administrative in nature. Without limiting the generality of the foregoing, the Agent:</w:t>
      </w:r>
    </w:p>
    <w:p>
      <w:pPr>
        <w:spacing w:after="0" w:line="181" w:lineRule="exact"/>
        <w:rPr>
          <w:sz w:val="20"/>
          <w:szCs w:val="20"/>
          <w:color w:val="auto"/>
        </w:rPr>
      </w:pPr>
    </w:p>
    <w:p>
      <w:pPr>
        <w:ind w:right="20" w:firstLine="1304"/>
        <w:spacing w:after="0" w:line="258" w:lineRule="auto"/>
        <w:tabs>
          <w:tab w:leader="none" w:pos="1846" w:val="left"/>
        </w:tabs>
        <w:numPr>
          <w:ilvl w:val="0"/>
          <w:numId w:val="2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shall not be subject to any fiduciary or other implied duties, regardless of whether a Default or Event of Default has occurred and is continuing;</w:t>
      </w:r>
    </w:p>
    <w:p>
      <w:pPr>
        <w:spacing w:after="0" w:line="171" w:lineRule="exact"/>
        <w:rPr>
          <w:rFonts w:ascii="Times New Roman" w:cs="Times New Roman" w:eastAsia="Times New Roman" w:hAnsi="Times New Roman"/>
          <w:sz w:val="22"/>
          <w:szCs w:val="22"/>
          <w:color w:val="010000"/>
        </w:rPr>
      </w:pPr>
    </w:p>
    <w:p>
      <w:pPr>
        <w:jc w:val="both"/>
        <w:ind w:firstLine="1304"/>
        <w:spacing w:after="0" w:line="241" w:lineRule="auto"/>
        <w:tabs>
          <w:tab w:leader="none" w:pos="1926" w:val="left"/>
        </w:tabs>
        <w:numPr>
          <w:ilvl w:val="0"/>
          <w:numId w:val="2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Required Banks (or such other number or percentage of the Banks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Agent shall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Laws or that may effect a forfeiture, modification or termination of property of a Delinquent Bank in violation of any Debtor Relief Laws;</w:t>
      </w:r>
    </w:p>
    <w:p>
      <w:pPr>
        <w:spacing w:after="0" w:line="181" w:lineRule="exact"/>
        <w:rPr>
          <w:rFonts w:ascii="Times New Roman" w:cs="Times New Roman" w:eastAsia="Times New Roman" w:hAnsi="Times New Roman"/>
          <w:sz w:val="22"/>
          <w:szCs w:val="22"/>
          <w:color w:val="010000"/>
        </w:rPr>
      </w:pPr>
    </w:p>
    <w:p>
      <w:pPr>
        <w:jc w:val="both"/>
        <w:ind w:firstLine="1304"/>
        <w:spacing w:after="0" w:line="243" w:lineRule="auto"/>
        <w:tabs>
          <w:tab w:leader="none" w:pos="1779" w:val="left"/>
        </w:tabs>
        <w:numPr>
          <w:ilvl w:val="0"/>
          <w:numId w:val="2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shall not have any duty or responsibility to disclose, and shall not be liable for the failure to disclose, to any Bank or any Fronting Bank, any credit or other information concerning the business, prospects operations, property, financial and other condition or creditworthiness of any of the Borrower or any of its Affiliates that is communicated to, obtained by or in the possession of the Agent, any Arranger or any of their Related Parties in any capacity except for notices, reports and other documents expressly required to be furnished to the Banks by the Agent herein;</w:t>
      </w:r>
    </w:p>
    <w:p>
      <w:pPr>
        <w:spacing w:after="0" w:line="190" w:lineRule="exact"/>
        <w:rPr>
          <w:rFonts w:ascii="Times New Roman" w:cs="Times New Roman" w:eastAsia="Times New Roman" w:hAnsi="Times New Roman"/>
          <w:sz w:val="22"/>
          <w:szCs w:val="22"/>
          <w:color w:val="010000"/>
        </w:rPr>
      </w:pPr>
    </w:p>
    <w:p>
      <w:pPr>
        <w:jc w:val="both"/>
        <w:ind w:firstLine="1304"/>
        <w:spacing w:after="0" w:line="244" w:lineRule="auto"/>
        <w:tabs>
          <w:tab w:leader="none" w:pos="1764" w:val="left"/>
        </w:tabs>
        <w:numPr>
          <w:ilvl w:val="0"/>
          <w:numId w:val="2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shall not be liable for any action taken or not taken by it (i) with the consent or at the request of the Required Banks (or such other number or percentage of the Banks as shall be necessary, or as the Agent shall believe in good faith shall be necessary, under the circumstances as provided in §§14 and 28) or (ii) in the absence of its own gross negligence or willful misconduct as determined by a court of competent jurisdiction by final and nonappealable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ectPr>
          <w:pgSz w:w="11900" w:h="16838" w:orient="portrait"/>
          <w:cols w:equalWidth="0" w:num="1">
            <w:col w:w="11240"/>
          </w:cols>
          <w:pgMar w:left="320" w:top="1273" w:right="339" w:bottom="1440" w:gutter="0" w:footer="0" w:header="0"/>
        </w:sectPr>
      </w:pPr>
    </w:p>
    <w:bookmarkStart w:id="269" w:name="page270"/>
    <w:bookmarkEnd w:id="269"/>
    <w:p>
      <w:pPr>
        <w:spacing w:after="0" w:line="271" w:lineRule="auto"/>
        <w:rPr>
          <w:sz w:val="20"/>
          <w:szCs w:val="20"/>
          <w:color w:val="auto"/>
        </w:rPr>
      </w:pPr>
      <w:r>
        <w:rPr>
          <w:rFonts w:ascii="Times New Roman" w:cs="Times New Roman" w:eastAsia="Times New Roman" w:hAnsi="Times New Roman"/>
          <w:sz w:val="22"/>
          <w:szCs w:val="22"/>
          <w:color w:val="auto"/>
        </w:rPr>
        <w:t>judgment. The Agent shall be deemed not to have knowledge of any Default or Event of Default unless and until notice describing such Default or Event of Default is given in writing to the Agent by the Borrower, a Bank or a Fronting Bank; and</w:t>
      </w:r>
    </w:p>
    <w:p>
      <w:pPr>
        <w:spacing w:after="0" w:line="144" w:lineRule="exact"/>
        <w:rPr>
          <w:sz w:val="20"/>
          <w:szCs w:val="20"/>
          <w:color w:val="auto"/>
        </w:rPr>
      </w:pPr>
    </w:p>
    <w:p>
      <w:pPr>
        <w:jc w:val="both"/>
        <w:ind w:firstLine="1304"/>
        <w:spacing w:after="0" w:line="243" w:lineRule="auto"/>
        <w:tabs>
          <w:tab w:leader="none" w:pos="1873" w:val="left"/>
        </w:tabs>
        <w:numPr>
          <w:ilvl w:val="0"/>
          <w:numId w:val="2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§§12 or 13 or elsewhere herein, other than to confirm receipt of items expressly required to be delivered to the Agent.</w:t>
      </w:r>
    </w:p>
    <w:p>
      <w:pPr>
        <w:spacing w:after="0" w:line="17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010000"/>
        </w:rPr>
        <w:t xml:space="preserve">§16.4 </w:t>
      </w:r>
      <w:r>
        <w:rPr>
          <w:rFonts w:ascii="Times New Roman" w:cs="Times New Roman" w:eastAsia="Times New Roman" w:hAnsi="Times New Roman"/>
          <w:sz w:val="22"/>
          <w:szCs w:val="22"/>
          <w:u w:val="single" w:color="auto"/>
          <w:color w:val="000000"/>
        </w:rPr>
        <w:t>Reliance by Agent.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Agent shall be entitled to rely upon, and shall not incur any liability for relying upon,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Bank or a Fronting Bank, the Agent may presume that such condition is satisfactory to such Bank or such Fronting Bank unless the Agent shall have received notice to the contrary from such Bank or such Fronting Bank prior to the making of such Loan or the issuance of such Letter of Credit. The Agent may consult with legal counsel (who may be counsel for the Borrower), independent accountants and other experts selected by it, and shall not be liable for any action taken or not taken by it in accordance with the advice of any such counsel, accountants or experts, absent gross negligence or willful misconduct of the Agent in choosing such counsel, accountants or experts.</w:t>
      </w:r>
    </w:p>
    <w:p>
      <w:pPr>
        <w:spacing w:after="0" w:line="19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010000"/>
        </w:rPr>
        <w:t xml:space="preserve">§16.5 </w:t>
      </w:r>
      <w:r>
        <w:rPr>
          <w:rFonts w:ascii="Times New Roman" w:cs="Times New Roman" w:eastAsia="Times New Roman" w:hAnsi="Times New Roman"/>
          <w:sz w:val="22"/>
          <w:szCs w:val="22"/>
          <w:u w:val="single" w:color="auto"/>
          <w:color w:val="000000"/>
        </w:rPr>
        <w:t>Delegation of Duties.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Agent may perform any and all of its duties and exercise its rights and powers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hereunder or under any other Loan Document by or through any one or more sub agents appointed by the Agent. The Agent and any such sub agent may perform any and all of its duties and exercise its rights and powers by or through their respective Related Parties. The exculpatory provisions of this §16 shall apply to any such sub agent and to the Related Parties of the Agent and any such sub agent, and shall apply to their respective activities in connection with the syndication of the credit facilities provided for herein as well as activities as the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182"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§16.6</w:t>
      </w:r>
      <w:r>
        <w:rPr>
          <w:sz w:val="20"/>
          <w:szCs w:val="20"/>
          <w:color w:val="auto"/>
        </w:rPr>
        <w:tab/>
      </w:r>
      <w:r>
        <w:rPr>
          <w:rFonts w:ascii="Times New Roman" w:cs="Times New Roman" w:eastAsia="Times New Roman" w:hAnsi="Times New Roman"/>
          <w:sz w:val="21"/>
          <w:szCs w:val="21"/>
          <w:u w:val="single" w:color="auto"/>
          <w:color w:val="auto"/>
        </w:rPr>
        <w:t>Resignation of Agent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58" w:lineRule="auto"/>
        <w:tabs>
          <w:tab w:leader="none" w:pos="1765" w:val="left"/>
        </w:tabs>
        <w:numPr>
          <w:ilvl w:val="0"/>
          <w:numId w:val="2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Agent may at any time give notice of its resignation to the Banks, the Fronting Banks and the Borrower. Upon receipt of any such notice of resignation,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ectPr>
          <w:pgSz w:w="11900" w:h="16838" w:orient="portrait"/>
          <w:cols w:equalWidth="0" w:num="1">
            <w:col w:w="11240"/>
          </w:cols>
          <w:pgMar w:left="320" w:top="1273" w:right="339" w:bottom="1440" w:gutter="0" w:footer="0" w:header="0"/>
        </w:sectPr>
      </w:pPr>
    </w:p>
    <w:bookmarkStart w:id="270" w:name="page271"/>
    <w:bookmarkEnd w:id="270"/>
    <w:p>
      <w:pPr>
        <w:jc w:val="both"/>
        <w:spacing w:after="0" w:line="245" w:lineRule="auto"/>
        <w:rPr>
          <w:sz w:val="20"/>
          <w:szCs w:val="20"/>
          <w:color w:val="auto"/>
        </w:rPr>
      </w:pPr>
      <w:r>
        <w:rPr>
          <w:rFonts w:ascii="Times New Roman" w:cs="Times New Roman" w:eastAsia="Times New Roman" w:hAnsi="Times New Roman"/>
          <w:sz w:val="22"/>
          <w:szCs w:val="22"/>
          <w:color w:val="auto"/>
        </w:rPr>
        <w:t>Banks shall have the right, with the approval of the Borrower (such approval not to be unreasonably withheld, conditioned or delayed, and such approval not to be required if an Event of Default has occurred and is continuing), to appoint a successor, which shall be a bank with an office in the United States, or an Affiliate of any such bank with an office in the United States. If no such successor shall have been so appointed by the Required Banks and shall have accepted such appointment within thirty</w:t>
      </w:r>
    </w:p>
    <w:p>
      <w:pPr>
        <w:spacing w:after="0" w:line="4" w:lineRule="exact"/>
        <w:rPr>
          <w:sz w:val="20"/>
          <w:szCs w:val="20"/>
          <w:color w:val="auto"/>
        </w:rPr>
      </w:pPr>
    </w:p>
    <w:p>
      <w:pPr>
        <w:jc w:val="both"/>
        <w:ind w:firstLine="8"/>
        <w:spacing w:after="0" w:line="237" w:lineRule="auto"/>
        <w:tabs>
          <w:tab w:leader="none" w:pos="43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retiring Agent gives notice of its resignation (or such earlier day as shall be agreed by the Required Banks) (the “</w:t>
      </w:r>
      <w:r>
        <w:rPr>
          <w:rFonts w:ascii="Times New Roman" w:cs="Times New Roman" w:eastAsia="Times New Roman" w:hAnsi="Times New Roman"/>
          <w:sz w:val="22"/>
          <w:szCs w:val="22"/>
          <w:u w:val="single" w:color="auto"/>
          <w:color w:val="auto"/>
        </w:rPr>
        <w:t>Resignation Effective Date</w:t>
      </w:r>
      <w:r>
        <w:rPr>
          <w:rFonts w:ascii="Times New Roman" w:cs="Times New Roman" w:eastAsia="Times New Roman" w:hAnsi="Times New Roman"/>
          <w:sz w:val="22"/>
          <w:szCs w:val="22"/>
          <w:color w:val="auto"/>
        </w:rPr>
        <w:t>”), then the retiring Agent may (but shall not be obligated to) on behalf of the Banks and the Fronting Banks, appoint a successor Agent meeting the qualifications set forth above. Whether or not a successor has been appointed, such resignation shall become effective in accordance with such notice on the Resignation Effective Date.</w:t>
      </w:r>
    </w:p>
    <w:p>
      <w:pPr>
        <w:spacing w:after="0" w:line="191"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04" w:val="left"/>
        </w:tabs>
        <w:numPr>
          <w:ilvl w:val="1"/>
          <w:numId w:val="2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Person serving as the Agent is a Delinquent Bank pursuant to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of the definition thereof, the Required Banks may, to the extent permitted by applicable law, by notice in writing to the Borrower and such Person remove such Person as the Agent and, with the approval of the Borrower (such approval not to be unreasonably withheld, conditioned or delayed, and such approval not to be required if an Event of Default has occurred and is continuing), appoint a successor. If no such successor shall have been so appointed by the Required Banks and shall have accepted such appointment within thirty (30) days (or such earlier day as shall be agreed by the Required Banks) (the “</w:t>
      </w: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xml:space="preserve">”), then such removal shall nonetheless become effective in accordance with such notice on the Removal Effective Date. In addition, the Borrower may remove the Agent in the event that (x) the Person serving as the Agent is a Delinquent Bank pursuant to </w:t>
      </w:r>
      <w:r>
        <w:rPr>
          <w:rFonts w:ascii="Times New Roman" w:cs="Times New Roman" w:eastAsia="Times New Roman" w:hAnsi="Times New Roman"/>
          <w:sz w:val="22"/>
          <w:szCs w:val="22"/>
          <w:u w:val="single" w:color="auto"/>
          <w:color w:val="auto"/>
        </w:rPr>
        <w:t>clause (a)(i)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the definition thereof or (y) the Person serving as the Agent holds (without participation) less than the Minimum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have such removal right if an Event of Default exists or if the Person serving as the Agent holds less than the Minimum Commitment at any time as a result of the merger or consolidation of any of the other Banks or as a result of events other than the sale by the Agent of any portion of its Commitments (which for this purpose includes Loans outstanding thereunder).</w:t>
      </w:r>
    </w:p>
    <w:p>
      <w:pPr>
        <w:spacing w:after="0" w:line="194" w:lineRule="exact"/>
        <w:rPr>
          <w:rFonts w:ascii="Times New Roman" w:cs="Times New Roman" w:eastAsia="Times New Roman" w:hAnsi="Times New Roman"/>
          <w:sz w:val="22"/>
          <w:szCs w:val="22"/>
          <w:color w:val="010000"/>
        </w:rPr>
      </w:pPr>
    </w:p>
    <w:p>
      <w:pPr>
        <w:jc w:val="both"/>
        <w:ind w:firstLine="1304"/>
        <w:spacing w:after="0" w:line="239" w:lineRule="auto"/>
        <w:tabs>
          <w:tab w:leader="none" w:pos="1887" w:val="left"/>
        </w:tabs>
        <w:numPr>
          <w:ilvl w:val="1"/>
          <w:numId w:val="2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effect from the Resignation Effective Date or the Removal Effective Date (as applicable), (1) the retiring or removed Agent shall be discharged from its duties and obligations hereunder and under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discharge of duties and obligations shall not be deemed to be a waiver or discharge of any claim against the retiring or removed Agent to the extent such claim accrued or relates to the period prior to such discharge of duties and obligations) and (2) except for any indemnity payments or other amounts then owed to the retiring or removed Agent, all payments, communications and determinations provided to be made by, to or through the Agent shall instead be made by or to each Bank and each Fronting Bank directly, until such time, if any, as the Required Banks appoint a successor Agent as provided for above. Upon the acceptance of a successor’s appointment as the Agent hereunder, such successor shall succeed to and become vested with all of the rights, powers, privileges and duties of the retiring (or removed) Agent (other than as provided in §5.2(d) and other than any rights to indemnity payments or other amounts owed to the retiring or removed Agent as of the Resignation Effective Date or the Removal Effective Date, as applicable), and the retiring or removed Agent shall be discharged from all of its duties and obligations hereunder and under the other Loan Documents, if not already discharged therefrom as provided above in this §16.6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discharge of duties and obligations shall not be deemed to be a waiver or discharge of any claim against the retiring or removed Agent to the extent such claim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ectPr>
          <w:pgSz w:w="11900" w:h="16838" w:orient="portrait"/>
          <w:cols w:equalWidth="0" w:num="1">
            <w:col w:w="11240"/>
          </w:cols>
          <w:pgMar w:left="320" w:top="1273" w:right="339" w:bottom="1440" w:gutter="0" w:footer="0" w:header="0"/>
        </w:sectPr>
      </w:pPr>
    </w:p>
    <w:bookmarkStart w:id="271" w:name="page272"/>
    <w:bookmarkEnd w:id="271"/>
    <w:p>
      <w:pPr>
        <w:jc w:val="both"/>
        <w:spacing w:after="0" w:line="242" w:lineRule="auto"/>
        <w:rPr>
          <w:sz w:val="20"/>
          <w:szCs w:val="20"/>
          <w:color w:val="auto"/>
        </w:rPr>
      </w:pPr>
      <w:r>
        <w:rPr>
          <w:rFonts w:ascii="Times New Roman" w:cs="Times New Roman" w:eastAsia="Times New Roman" w:hAnsi="Times New Roman"/>
          <w:sz w:val="22"/>
          <w:szCs w:val="22"/>
          <w:color w:val="auto"/>
        </w:rPr>
        <w:t>or relates to the period prior to such discharge of duties and obligations). The fees payable by the Borrower to a successor Agent shall be the same as those payable to its predecessor unless otherwise agreed between the Borrower and such successor. After the retiring or removed Agent’s resignation or removal hereunder and under the other Loan Documents, the provisions of this Article and §17 shall continue in effect with respect to and, as applicable, for the benefit of such retiring or removed Agent, its sub agents and their respective Related Parties in respect of any actions taken or omitted to be taken by any of them (i) while the retiring or removed Agent was acting as the Agent and (ii) after such resignation or removal for as long as any of them continues to act in any capacity hereunder or under the other Loan Documents, including (a) acting as collateral agent or otherwise holding any collateral security on behalf of any of the Banks and (b) in respect of any actions taken in connection with transferring the agency to any successor Agent.</w:t>
      </w:r>
    </w:p>
    <w:p>
      <w:pPr>
        <w:spacing w:after="0" w:line="175" w:lineRule="exact"/>
        <w:rPr>
          <w:sz w:val="20"/>
          <w:szCs w:val="20"/>
          <w:color w:val="auto"/>
        </w:rPr>
      </w:pPr>
    </w:p>
    <w:p>
      <w:pPr>
        <w:jc w:val="both"/>
        <w:ind w:firstLine="1304"/>
        <w:spacing w:after="0" w:line="239" w:lineRule="auto"/>
        <w:tabs>
          <w:tab w:leader="none" w:pos="1926" w:val="left"/>
        </w:tabs>
        <w:numPr>
          <w:ilvl w:val="0"/>
          <w:numId w:val="2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resignation by, or removal of, BOA as the Agent pursuant to this §16.6 shall also constitute its resignation or removal as a Fronting Bank. Upon such resignation by, or removal of, BOA as a Fronting Bank, BOA shall retain all the rights, powers, privileges and duties of a Fronting Bank hereunder with respect to all Letters of Credit issued by it and outstanding as of the effective date of its resignation or removal as Fronting Bank and all Letter of Credit Obligations with respect thereto, including the right to require the Banks to make available their respective Commitment Percentages of any Revolving Credit Loan made pursuant to §3.3(a) or Reimbursement Obligation incurred pursuant to §3.3(b)). Upon the acceptance of a successor’s appointment as the Agent hereunder, (i) such successor shall succeed to and become vested with all of the rights, powers, privileges and duties of BOA as a retiring or removed Fronting Bank, (ii) BOA shall be discharged from all of its respective duties and obligations hereunder or under the other Loan Documents as a retiring or removed Fronting Bank except those duties and obligations that arose prior to the date of such resignation or removal to the extent the same require any action or performance by BOA as a retiring or removed Fronting Bank without which a successor Fronting Bank cannot perform or complete such duties or obligations, and (iii) the successor Fronting Bank shall issue letters of credit in substitution for the Letters of Credit, if any, issued by BOA and outstanding at the time of such succession or make other arrangements satisfactory to BOA to effectively assume the obligations of BOA as a retiring or removed Fronting Bank with respect to such Letters of Credit.</w:t>
      </w:r>
    </w:p>
    <w:p>
      <w:pPr>
        <w:spacing w:after="0" w:line="20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010000"/>
        </w:rPr>
        <w:t xml:space="preserve">§16.7 </w:t>
      </w:r>
      <w:r>
        <w:rPr>
          <w:rFonts w:ascii="Times New Roman" w:cs="Times New Roman" w:eastAsia="Times New Roman" w:hAnsi="Times New Roman"/>
          <w:sz w:val="22"/>
          <w:szCs w:val="22"/>
          <w:u w:val="single" w:color="auto"/>
          <w:color w:val="000000"/>
        </w:rPr>
        <w:t>Non-Reliance on Agent and Other Banks.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Bank and each Fronting Bank acknowledges that it has,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independently and without reliance upon the Agent or any other Bank or any of their Related Parties and based on such documents and information as it has deemed appropriate, made its own credit analysis and decision to enter into this Agreement. Each Bank and each Fronting Bank also acknowledges that it will, independently and without reliance upon the Agent or any other Bank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010000"/>
        </w:rPr>
        <w:t xml:space="preserve">§16.8 </w:t>
      </w:r>
      <w:r>
        <w:rPr>
          <w:rFonts w:ascii="Times New Roman" w:cs="Times New Roman" w:eastAsia="Times New Roman" w:hAnsi="Times New Roman"/>
          <w:sz w:val="21"/>
          <w:szCs w:val="21"/>
          <w:u w:val="single" w:color="auto"/>
          <w:color w:val="000000"/>
        </w:rPr>
        <w:t>No Other Duties, Etc.</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Anything herein to the contrary notwithstanding, none of the Arrangers, Syndication Agent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or Documentation Agents listed on the cover page hereof shall have any powers, duties or responsibilities under this Agreement or any of the other Loan Documents, except in its capacity, as applicable, as the Agent, a Bank or a Fronting Bank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ectPr>
          <w:pgSz w:w="11900" w:h="16838" w:orient="portrait"/>
          <w:cols w:equalWidth="0" w:num="1">
            <w:col w:w="11240"/>
          </w:cols>
          <w:pgMar w:left="320" w:top="1273" w:right="339" w:bottom="1440" w:gutter="0" w:footer="0" w:header="0"/>
        </w:sectPr>
      </w:pPr>
    </w:p>
    <w:bookmarkStart w:id="272" w:name="page273"/>
    <w:bookmarkEnd w:id="272"/>
    <w:p>
      <w:pPr>
        <w:ind w:left="640"/>
        <w:spacing w:after="0"/>
        <w:tabs>
          <w:tab w:leader="none" w:pos="1320" w:val="left"/>
        </w:tabs>
        <w:rPr>
          <w:sz w:val="20"/>
          <w:szCs w:val="20"/>
          <w:color w:val="auto"/>
        </w:rPr>
      </w:pPr>
      <w:r>
        <w:rPr>
          <w:rFonts w:ascii="Times New Roman" w:cs="Times New Roman" w:eastAsia="Times New Roman" w:hAnsi="Times New Roman"/>
          <w:sz w:val="22"/>
          <w:szCs w:val="22"/>
          <w:color w:val="010000"/>
        </w:rPr>
        <w:t>§16.9</w:t>
      </w:r>
      <w:r>
        <w:rPr>
          <w:sz w:val="20"/>
          <w:szCs w:val="20"/>
          <w:color w:val="auto"/>
        </w:rPr>
        <w:tab/>
      </w:r>
      <w:r>
        <w:rPr>
          <w:rFonts w:ascii="Times New Roman" w:cs="Times New Roman" w:eastAsia="Times New Roman" w:hAnsi="Times New Roman"/>
          <w:sz w:val="21"/>
          <w:szCs w:val="21"/>
          <w:u w:val="single" w:color="auto"/>
          <w:color w:val="auto"/>
        </w:rPr>
        <w:t>Certain ERISA Matters.</w:t>
      </w:r>
    </w:p>
    <w:p>
      <w:pPr>
        <w:spacing w:after="0" w:line="233" w:lineRule="exact"/>
        <w:rPr>
          <w:sz w:val="20"/>
          <w:szCs w:val="20"/>
          <w:color w:val="auto"/>
        </w:rPr>
      </w:pPr>
    </w:p>
    <w:p>
      <w:pPr>
        <w:jc w:val="both"/>
        <w:ind w:left="-20" w:firstLine="1304"/>
        <w:spacing w:after="0" w:line="252" w:lineRule="auto"/>
        <w:tabs>
          <w:tab w:leader="none" w:pos="1786" w:val="left"/>
        </w:tabs>
        <w:numPr>
          <w:ilvl w:val="0"/>
          <w:numId w:val="2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Bank (x) represents and warrants, as of the date such Person became a Bank party hereto, to, and (y) covenants, from the date such Person became a Bank party hereto to the date such Person ceases being a Bank party hereto, for the benefit of, the Agent and not, for the avoidance of doubt, to or for the benefit of the Borrower, that at least one of the following is and will be true:</w:t>
      </w:r>
    </w:p>
    <w:p>
      <w:pPr>
        <w:spacing w:after="0" w:line="179" w:lineRule="exact"/>
        <w:rPr>
          <w:rFonts w:ascii="Times New Roman" w:cs="Times New Roman" w:eastAsia="Times New Roman" w:hAnsi="Times New Roman"/>
          <w:sz w:val="22"/>
          <w:szCs w:val="22"/>
          <w:color w:val="010000"/>
        </w:rPr>
      </w:pPr>
    </w:p>
    <w:p>
      <w:pPr>
        <w:jc w:val="both"/>
        <w:ind w:left="1280" w:firstLine="652"/>
        <w:spacing w:after="0" w:line="263" w:lineRule="auto"/>
        <w:tabs>
          <w:tab w:leader="none" w:pos="2361" w:val="left"/>
        </w:tabs>
        <w:numPr>
          <w:ilvl w:val="1"/>
          <w:numId w:val="2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Bank is not using “plan assets” (within the meaning of Section 3(42) of ERISA or otherwise) of one or more Benefit Plans with respect to such Bank’s entrance into, participation in, administration of and performance of the Loans, the Letters of Credit, the Commitments or this Agreement,</w:t>
      </w:r>
    </w:p>
    <w:p>
      <w:pPr>
        <w:spacing w:after="0" w:line="167" w:lineRule="exact"/>
        <w:rPr>
          <w:rFonts w:ascii="Times New Roman" w:cs="Times New Roman" w:eastAsia="Times New Roman" w:hAnsi="Times New Roman"/>
          <w:sz w:val="22"/>
          <w:szCs w:val="22"/>
          <w:color w:val="010000"/>
        </w:rPr>
      </w:pPr>
    </w:p>
    <w:p>
      <w:pPr>
        <w:jc w:val="both"/>
        <w:ind w:left="1280" w:firstLine="652"/>
        <w:spacing w:after="0" w:line="249" w:lineRule="auto"/>
        <w:tabs>
          <w:tab w:leader="none" w:pos="2448" w:val="left"/>
        </w:tabs>
        <w:numPr>
          <w:ilvl w:val="1"/>
          <w:numId w:val="2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Letters of Credit, the Commitments and this Agreement,</w:t>
      </w:r>
    </w:p>
    <w:p>
      <w:pPr>
        <w:spacing w:after="0" w:line="181" w:lineRule="exact"/>
        <w:rPr>
          <w:rFonts w:ascii="Times New Roman" w:cs="Times New Roman" w:eastAsia="Times New Roman" w:hAnsi="Times New Roman"/>
          <w:sz w:val="22"/>
          <w:szCs w:val="22"/>
          <w:color w:val="010000"/>
        </w:rPr>
      </w:pPr>
    </w:p>
    <w:p>
      <w:pPr>
        <w:jc w:val="both"/>
        <w:ind w:left="1280" w:firstLine="652"/>
        <w:spacing w:after="0" w:line="250" w:lineRule="auto"/>
        <w:tabs>
          <w:tab w:leader="none" w:pos="2495" w:val="left"/>
        </w:tabs>
        <w:numPr>
          <w:ilvl w:val="1"/>
          <w:numId w:val="2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Letters of Credit, the Commitments and this Agreement, or</w:t>
      </w:r>
    </w:p>
    <w:p>
      <w:pPr>
        <w:spacing w:after="0" w:line="179" w:lineRule="exact"/>
        <w:rPr>
          <w:rFonts w:ascii="Times New Roman" w:cs="Times New Roman" w:eastAsia="Times New Roman" w:hAnsi="Times New Roman"/>
          <w:sz w:val="22"/>
          <w:szCs w:val="22"/>
          <w:color w:val="010000"/>
        </w:rPr>
      </w:pPr>
    </w:p>
    <w:p>
      <w:pPr>
        <w:ind w:left="1280" w:firstLine="652"/>
        <w:spacing w:after="0" w:line="271" w:lineRule="auto"/>
        <w:tabs>
          <w:tab w:leader="none" w:pos="2469" w:val="left"/>
        </w:tabs>
        <w:numPr>
          <w:ilvl w:val="1"/>
          <w:numId w:val="2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other representation, warranty and covenant as may be agreed in writing between the Agent, in its sole discretion, and such Bank.</w:t>
      </w:r>
    </w:p>
    <w:p>
      <w:pPr>
        <w:spacing w:after="0" w:line="157" w:lineRule="exact"/>
        <w:rPr>
          <w:rFonts w:ascii="Times New Roman" w:cs="Times New Roman" w:eastAsia="Times New Roman" w:hAnsi="Times New Roman"/>
          <w:sz w:val="22"/>
          <w:szCs w:val="22"/>
          <w:color w:val="010000"/>
        </w:rPr>
      </w:pPr>
    </w:p>
    <w:p>
      <w:pPr>
        <w:jc w:val="both"/>
        <w:ind w:left="-20" w:firstLine="1304"/>
        <w:spacing w:after="0" w:line="251" w:lineRule="auto"/>
        <w:tabs>
          <w:tab w:leader="none" w:pos="1784" w:val="left"/>
        </w:tabs>
        <w:numPr>
          <w:ilvl w:val="0"/>
          <w:numId w:val="2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addition, unless either (1) sub-clause (i) in the immediately preceding clause (a) is true with respect to a Bank or (2) a Bank has provided another representation, warranty and covenant in accordance with sub-clause (iv) in the immediately preceding clause (a), such Bank further (x) represents and warrants, as of the date such Person became a Bank party hereto, to, and (y) covenants, from the date such Person became a Bank party hereto to the date such Person ceases being a Bank party hereto, for the benefit of, the Agent and not, for the avoidance of doubt, to or for the benefit of the Borrower, that the Agent is not a fiduciary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ectPr>
          <w:pgSz w:w="11900" w:h="16838" w:orient="portrait"/>
          <w:cols w:equalWidth="0" w:num="1">
            <w:col w:w="11220"/>
          </w:cols>
          <w:pgMar w:left="340" w:top="1287" w:right="339" w:bottom="1440" w:gutter="0" w:footer="0" w:header="0"/>
        </w:sectPr>
      </w:pPr>
    </w:p>
    <w:bookmarkStart w:id="273" w:name="page274"/>
    <w:bookmarkEnd w:id="273"/>
    <w:p>
      <w:pPr>
        <w:jc w:val="both"/>
        <w:spacing w:after="0" w:line="263" w:lineRule="auto"/>
        <w:rPr>
          <w:sz w:val="20"/>
          <w:szCs w:val="20"/>
          <w:color w:val="auto"/>
        </w:rPr>
      </w:pPr>
      <w:r>
        <w:rPr>
          <w:rFonts w:ascii="Times New Roman" w:cs="Times New Roman" w:eastAsia="Times New Roman" w:hAnsi="Times New Roman"/>
          <w:sz w:val="22"/>
          <w:szCs w:val="22"/>
          <w:color w:val="auto"/>
        </w:rPr>
        <w:t>respect to the assets of such Bank involved in such Bank’s entrance into, participation in, administration of and performance of the Loans, the Letters of Credit, the Commitments and this Agreement (including in connection with the reservation or exercise of any rights by the Agent under this Agreement, any Loan Document or any documents related hereto or thereto).</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§16.10 </w:t>
      </w:r>
      <w:r>
        <w:rPr>
          <w:rFonts w:ascii="Times New Roman" w:cs="Times New Roman" w:eastAsia="Times New Roman" w:hAnsi="Times New Roman"/>
          <w:sz w:val="22"/>
          <w:szCs w:val="22"/>
          <w:u w:val="single" w:color="auto"/>
          <w:color w:val="000000"/>
        </w:rPr>
        <w:t>Notices.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notices or other information required hereunder to be provided to the Agent shall be made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available by the Agent to each of the Banks on the same day (if practicable) and, in any case, on the next Business Day following the Agent’s receipt thereof. Notwithstanding the foregoing, it is agreed by the Banks that the Agent shall have no obligation to send to the Banks the information which is deemed delivered by the Borrower under §8.4 by the Borrower’s filing with the SEC of its Form 10-Q and Form 10-K, all as more particularly described in the last paragraph of §8.4, and the Agent shall have no liability to any Person for any Bank’s failure to obtain such SEC filings.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§16.11 </w:t>
      </w:r>
      <w:r>
        <w:rPr>
          <w:rFonts w:ascii="Times New Roman" w:cs="Times New Roman" w:eastAsia="Times New Roman" w:hAnsi="Times New Roman"/>
          <w:sz w:val="22"/>
          <w:szCs w:val="22"/>
          <w:u w:val="single" w:color="auto"/>
          <w:color w:val="000000"/>
        </w:rPr>
        <w:t>The Agent May File Proofs of Claim.</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case of the pendency of any proceeding under any Debtor Relief Laws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any other judicial proceeding relative to the Borrower, the Agent (irrespective of whether the principal of any Loan or Letter of Credit Obligation shall then be due and payable as herein expressed or by declaration or otherwise and irrespective of whether the Agent shall have made any demand on the Borrower) shall be entitled and empowered, by intervention in such proceeding or otherwise</w:t>
      </w:r>
    </w:p>
    <w:p>
      <w:pPr>
        <w:spacing w:after="0" w:line="179" w:lineRule="exact"/>
        <w:rPr>
          <w:sz w:val="20"/>
          <w:szCs w:val="20"/>
          <w:color w:val="auto"/>
        </w:rPr>
      </w:pPr>
    </w:p>
    <w:p>
      <w:pPr>
        <w:jc w:val="both"/>
        <w:ind w:firstLine="1304"/>
        <w:spacing w:after="0" w:line="251" w:lineRule="auto"/>
        <w:tabs>
          <w:tab w:leader="none" w:pos="1792" w:val="left"/>
        </w:tabs>
        <w:numPr>
          <w:ilvl w:val="0"/>
          <w:numId w:val="2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Banks, the Fronting Banks and the Agent (including any claim for the reasonable compensation, expenses, disbursements and advances of the Banks, the Fronting Banks and the Agent and their respective agents and counsel and all other amounts due the Banks, the Fronting Banks and the Agent hereunder or under any Loan Document) allowed in such judicial proceeding; and</w:t>
      </w:r>
    </w:p>
    <w:p>
      <w:pPr>
        <w:spacing w:after="0" w:line="181" w:lineRule="exact"/>
        <w:rPr>
          <w:rFonts w:ascii="Times New Roman" w:cs="Times New Roman" w:eastAsia="Times New Roman" w:hAnsi="Times New Roman"/>
          <w:sz w:val="22"/>
          <w:szCs w:val="22"/>
          <w:color w:val="010000"/>
        </w:rPr>
      </w:pPr>
    </w:p>
    <w:p>
      <w:pPr>
        <w:ind w:left="1920" w:hanging="616"/>
        <w:spacing w:after="0"/>
        <w:tabs>
          <w:tab w:leader="none" w:pos="1920" w:val="left"/>
        </w:tabs>
        <w:numPr>
          <w:ilvl w:val="0"/>
          <w:numId w:val="2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collect and receive any monies or other property payable or deliverable on any such claims and to</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distribute the same;</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and any custodian, receiver, assignee, trustee, liquidator, sequestrator or other similar official in any such judicial proceeding is hereby authorized by each Bank and each Fronting Bank to make such payments to the Agent and, in the event that the Agent shall consent to the making of such payments directly to the Banks and the Fronting Banks, to pay to the Agent any amount due for the reasonable compensation, expenses, disbursements and advances of the Agent and its agents and counsel, and any other amounts due the Agent under hereunder or under any Loan Document. Nothing contained herein shall be deemed to authorize the Agent to authorize or consent to or accept or adopt on behalf of any Bank or any Fronting Bank any plan of reorganization, arrangement, adjustment or composition affecting the Obligations or the rights of any Bank or to authorize the Agent to vote in respect of the claim of any Bank or any Fronting Bank in any such proceeding.</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§16.12 </w:t>
      </w:r>
      <w:r>
        <w:rPr>
          <w:rFonts w:ascii="Times New Roman" w:cs="Times New Roman" w:eastAsia="Times New Roman" w:hAnsi="Times New Roman"/>
          <w:sz w:val="22"/>
          <w:szCs w:val="22"/>
          <w:u w:val="single" w:color="auto"/>
          <w:color w:val="000000"/>
        </w:rPr>
        <w:t>Recovery of Erroneous Payments.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Without limitation of any other provision in this Agreement, if at any time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Agent makes a payment hereunder in error to any Bank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ectPr>
          <w:pgSz w:w="11900" w:h="16838" w:orient="portrait"/>
          <w:cols w:equalWidth="0" w:num="1">
            <w:col w:w="11240"/>
          </w:cols>
          <w:pgMar w:left="320" w:top="1287" w:right="339" w:bottom="1440" w:gutter="0" w:footer="0" w:header="0"/>
        </w:sectPr>
      </w:pPr>
    </w:p>
    <w:bookmarkStart w:id="274" w:name="page275"/>
    <w:bookmarkEnd w:id="274"/>
    <w:p>
      <w:pPr>
        <w:jc w:val="both"/>
        <w:spacing w:after="0" w:line="249" w:lineRule="auto"/>
        <w:rPr>
          <w:sz w:val="20"/>
          <w:szCs w:val="20"/>
          <w:color w:val="auto"/>
        </w:rPr>
      </w:pPr>
      <w:r>
        <w:rPr>
          <w:rFonts w:ascii="Times New Roman" w:cs="Times New Roman" w:eastAsia="Times New Roman" w:hAnsi="Times New Roman"/>
          <w:sz w:val="22"/>
          <w:szCs w:val="22"/>
          <w:color w:val="auto"/>
        </w:rPr>
        <w:t>Party, whether or not in respect of an Obligation due and owing by the Borrower at such time, where such payment is a Rescindable Amount, then in any such event, each Bank Recipient Party receiving a Rescindable Amount severally agrees to repay to the Agent forthwith on demand the Rescindable Amount received by such Bank Recipient Party in Same Day Funds in the currency so received, with interest thereon, for each day from and including the date such Rescindable Amount is received by it to but excluding the date of payment to the Agent, at the greater of the Federal Funds Rate and a rate determined by the Agent in accordance with banking industry rules on interbank compensation. Each Bank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Agent shall inform each Bank Recipient Party promptly upon determining that any payment made to such Bank Recipient Party comprised, in whole or in part, a Rescindable Amount.</w:t>
      </w:r>
    </w:p>
    <w:p>
      <w:pPr>
        <w:spacing w:after="0" w:line="18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010000"/>
        </w:rPr>
        <w:t>§17</w:t>
      </w:r>
      <w:r>
        <w:rPr>
          <w:sz w:val="20"/>
          <w:szCs w:val="20"/>
          <w:color w:val="auto"/>
        </w:rPr>
        <w:tab/>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765" w:val="left"/>
        </w:tabs>
        <w:numPr>
          <w:ilvl w:val="0"/>
          <w:numId w:val="2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Borrower agrees to pay (a) the reasonable costs of producing and reproducing this Agreement, the other Loan Documents and the other agreements and instruments mentioned herein, (b) directly to the party owed the same, the reasonable fees, expenses and disbursements of the Agent’s outside counsel or any local counsel to the Agent incurred in connection with the preparation, negotiation, execution, delivery, administration or interpretation of the Loan Documents and other instruments mentioned herein, each closing hereunder, and amendments, modifications, approvals, consents or waivers hereto or hereunder, (c) the fees, expenses and disbursements of the Agent incurred by the Agent in connection with the preparation, negotiation, execution, delivery, administration or interpretation of the Loan Documents and other instruments mentioned herein, and, without double-counting amounts under clause (b) above, the fees and disbursements of the Agent’s counsel in preparing the documentation, (d) the fees, costs, expenses and disbursements of the Agent and its Affiliates incurred in connection with the initial syndication and/or participations of the Loans (whether occurring before or after the closing hereunder), including, without limitation, reasonable legal fees, travel costs, costs of preparing syndication materials and photocopying costs,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incur any costs or fees of any kind in connection with any participation, sale or other syndication of any portion of the Loans which occurs after the initial syndication other than reasonable legal fees and expenses incurred in connection with any participation, sale or syndication undertaken at the request of the Borrower or (in addition to any other fees or expenses relating thereto) in connection with an amendment or increase to the amount of the Total Commitment, (e) all reasonable expenses (including reasonable attorneys’ fees and costs, which attorneys may be employees of any Bank or the Agent, and the fees and costs of engineers, investment bankers, or other experts retained by any Bank or the Agent in connection with any such enforcement proceedings) incurred by any Bank or the Agent in connection with (i) the enforcement of or preservation of rights under any of the Loan Documents against the Borrower or any of its Subsidiaries or BPI or the administration thereof after the occurrence and during the continuance of a Default or Event of Default (including, without limitation, expenses incurred in any restructuring and/or “workout” of the Loans or Letter of Credit Obligations), and (ii) any litigation, proceeding or dispute, in any way related to any Bank’s or the Agent’s relationship with the Borrower or any of its Subsidiaries or BPI, arising under or otherwise related to or arising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ectPr>
          <w:pgSz w:w="11900" w:h="16838" w:orient="portrait"/>
          <w:cols w:equalWidth="0" w:num="1">
            <w:col w:w="11240"/>
          </w:cols>
          <w:pgMar w:left="320" w:top="1287" w:right="339" w:bottom="1440" w:gutter="0" w:footer="0" w:header="0"/>
        </w:sectPr>
      </w:pPr>
    </w:p>
    <w:bookmarkStart w:id="275" w:name="page276"/>
    <w:bookmarkEnd w:id="275"/>
    <w:p>
      <w:pPr>
        <w:jc w:val="both"/>
        <w:spacing w:after="0" w:line="265" w:lineRule="auto"/>
        <w:rPr>
          <w:sz w:val="20"/>
          <w:szCs w:val="20"/>
          <w:color w:val="auto"/>
        </w:rPr>
      </w:pPr>
      <w:r>
        <w:rPr>
          <w:rFonts w:ascii="Times New Roman" w:cs="Times New Roman" w:eastAsia="Times New Roman" w:hAnsi="Times New Roman"/>
          <w:sz w:val="21"/>
          <w:szCs w:val="21"/>
          <w:color w:val="auto"/>
        </w:rPr>
        <w:t>of this Agreement and/or any of the other Loan Documents, and (f) all reasonable fees, expenses and disbursements of the Agent incurred in connection with UCC searches, UCC terminations or mortgage discharges, and (g) all reasonable out of pocket expenses incurred by any Fronting Bank in connection with the issuance, amendment, renewal or extension of any Letter of Credit or any demand for payment thereunder. The covenants of this §17(a) shall survive the repayment of the amounts owing under the Notes and this Agreement, the termination of this Agreement and the obligations of the Banks hereunder, the resignation or removal of the Agent, the resignation or replacement of any Fronting Bank or the replacement of any other Bank.</w:t>
      </w:r>
    </w:p>
    <w:p>
      <w:pPr>
        <w:spacing w:after="0" w:line="182" w:lineRule="exact"/>
        <w:rPr>
          <w:sz w:val="20"/>
          <w:szCs w:val="20"/>
          <w:color w:val="auto"/>
        </w:rPr>
      </w:pPr>
    </w:p>
    <w:p>
      <w:pPr>
        <w:jc w:val="both"/>
        <w:ind w:firstLine="1304"/>
        <w:spacing w:after="0" w:line="258" w:lineRule="auto"/>
        <w:tabs>
          <w:tab w:leader="none" w:pos="1980" w:val="left"/>
        </w:tabs>
        <w:numPr>
          <w:ilvl w:val="0"/>
          <w:numId w:val="2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Indemnification by the Borrower</w:t>
      </w:r>
      <w:r>
        <w:rPr>
          <w:rFonts w:ascii="Times New Roman" w:cs="Times New Roman" w:eastAsia="Times New Roman" w:hAnsi="Times New Roman"/>
          <w:sz w:val="21"/>
          <w:szCs w:val="21"/>
          <w:color w:val="auto"/>
        </w:rPr>
        <w:t>. The Borrower agrees to indemnify and hold harmless the Agent, Arrangers, JPChase, the Fronting Banks, the Banks and each of their respective Related Parties (each an “</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xml:space="preserve">”) from and against, and hold each Indemnified Party harmless from, any and all claims, actions and suits whether groundless or otherwise, and from and against any and all liabilities, losses (including amounts, if any, owing to any Bank pursuant to §§5.2, 5.5, 5.6 and 5.7), settlement payments, obligations, damages and expenses of every nature and character arising out of, in connection with, or as a result of this Agreement or any of the other Loan Documents or the transactions contemplated hereby or thereby or which otherwise arise in connection with this financing, including, without limitation, (i) the Loans or Letters of Credit and any actual or proposed use by the Borrower or any of its Subsidiaries of the proceeds therefrom (including any refusal by the Fronting Bank to honor a demand for payment under a Letter of Credit if the documents presented in connection with such demand do not strictly comply with the terms of such Letter of Credit) or (ii) the Borrower or any of its Subsidiaries entering into or performing this Agreement or any of the other Loan Documents, including any Indemnified Party’s reliance on any Communication (including this Agreement), executed using an Electronic Signature, or in the form of an Electronic Record, that such Indemnified Party reasonably believes is made by the Borrower or any other party to this Agreement or any of the other Loan Documents, in each case including, without limitation, the reasonable fees and disbursements of counsel and allocated costs of internal counsel incurred in connection with any investigation, litigation or other proceeding (including, without limitation, any proceeding under any Debtor Relief Laws), </w:t>
      </w:r>
      <w:r>
        <w:rPr>
          <w:rFonts w:ascii="Times New Roman" w:cs="Times New Roman" w:eastAsia="Times New Roman" w:hAnsi="Times New Roman"/>
          <w:sz w:val="21"/>
          <w:szCs w:val="21"/>
          <w:b w:val="1"/>
          <w:bCs w:val="1"/>
          <w:color w:val="auto"/>
        </w:rPr>
        <w:t>IN ALL CASES, WHETHER OR NOT CAUSED BY OR ARISING, IN</w:t>
      </w:r>
    </w:p>
    <w:p>
      <w:pPr>
        <w:spacing w:after="0" w:line="3" w:lineRule="exact"/>
        <w:rPr>
          <w:rFonts w:ascii="Times New Roman" w:cs="Times New Roman" w:eastAsia="Times New Roman" w:hAnsi="Times New Roman"/>
          <w:sz w:val="21"/>
          <w:szCs w:val="21"/>
          <w:color w:val="010000"/>
        </w:rPr>
      </w:pPr>
    </w:p>
    <w:p>
      <w:pPr>
        <w:jc w:val="both"/>
        <w:spacing w:after="0" w:line="259"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WHOLE OR IN PART, OUT OF THE COMPARATIVE, CONTRIBUTORY OR SOLE NEGLIGENCE OF THE INDEMNIFIED PARTY</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Borrower shall not be obligated under this §17(b) to indemnify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Indemnified Party for liabilities arising from such Indemnified Party’s own gross negligence, willful misconduct or bad faith breach of this Agreement, as determined by a final and nonappealable judgment of a court of competent jurisdiction. In third-party litigation, or the preparation therefor, the Borrower shall be entitled to select counsel reasonably acceptable to the Required Banks, and the Agent (as approved by the Required Banks) shall be entitled to select their own supervisory counsel, and, in addition to the foregoing indemnity, the Borrower agrees to pay promptly the reasonable fees and expenses of each such counsel. Prior to any settlement of any such litigation by the Banks, the Banks shall provide the Borrower and BPI with notice and an opportunity to address any of their concerns with the Banks, and the Banks shall not settle any litigation without first obtaining the Borrower’s consent thereto, which consent shall not be unreasonably withheld or delayed. If and to the extent that the obligations of the Borrower under this §17(b) are unenforceable for any reason, the Borrower hereby agrees to make the maximum contribution to the payment in satisfaction of such obligations which is permissible under applicable law.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ectPr>
          <w:pgSz w:w="11900" w:h="16838" w:orient="portrait"/>
          <w:cols w:equalWidth="0" w:num="1">
            <w:col w:w="11240"/>
          </w:cols>
          <w:pgMar w:left="320" w:top="1287" w:right="339" w:bottom="1440" w:gutter="0" w:footer="0" w:header="0"/>
        </w:sectPr>
      </w:pPr>
    </w:p>
    <w:bookmarkStart w:id="276" w:name="page277"/>
    <w:bookmarkEnd w:id="276"/>
    <w:p>
      <w:pPr>
        <w:jc w:val="both"/>
        <w:spacing w:after="0" w:line="251" w:lineRule="auto"/>
        <w:rPr>
          <w:sz w:val="20"/>
          <w:szCs w:val="20"/>
          <w:color w:val="auto"/>
        </w:rPr>
      </w:pPr>
      <w:r>
        <w:rPr>
          <w:rFonts w:ascii="Times New Roman" w:cs="Times New Roman" w:eastAsia="Times New Roman" w:hAnsi="Times New Roman"/>
          <w:sz w:val="22"/>
          <w:szCs w:val="22"/>
          <w:color w:val="auto"/>
        </w:rPr>
        <w:t>provisions of this §17(b) shall survive the repayment of the amounts owing under the Notes and this Agreement, the termination of this Agreement and the obligations of the Banks hereunder, the resignation or removal of the Agent (unless such removal is as a result of the Agent becoming a Delinquent Bank), and the resignation or replacement of any Fronting Bank and the replacement of any other Bank and shall continue in full force and effect as long as the possibility of any such claim, action, cause of action or suit exists. Without limiting the provisions of §5.2(c), this §17(b) shall not apply with respect to Taxes other than any Taxes that represent losses, claims, damages, etc. arising from any non-Tax claim.</w:t>
      </w:r>
    </w:p>
    <w:p>
      <w:pPr>
        <w:spacing w:after="0" w:line="181" w:lineRule="exact"/>
        <w:rPr>
          <w:sz w:val="20"/>
          <w:szCs w:val="20"/>
          <w:color w:val="auto"/>
        </w:rPr>
      </w:pPr>
    </w:p>
    <w:p>
      <w:pPr>
        <w:jc w:val="both"/>
        <w:ind w:firstLine="1304"/>
        <w:spacing w:after="0" w:line="250" w:lineRule="auto"/>
        <w:tabs>
          <w:tab w:leader="none" w:pos="1873" w:val="left"/>
        </w:tabs>
        <w:numPr>
          <w:ilvl w:val="1"/>
          <w:numId w:val="2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Reimbursement by Banks</w:t>
      </w:r>
      <w:r>
        <w:rPr>
          <w:rFonts w:ascii="Times New Roman" w:cs="Times New Roman" w:eastAsia="Times New Roman" w:hAnsi="Times New Roman"/>
          <w:sz w:val="21"/>
          <w:szCs w:val="21"/>
          <w:color w:val="auto"/>
        </w:rPr>
        <w:t xml:space="preserve">. To the extent that the Borrower for any reason fails to indefeasibly pay any amount required under subsection (a) or (b) of this §17 to be paid by it to the Agent (or any sub-agent thereof), any Fronting Bank or any Related Party of any of the foregoing, each Bank severally agrees to pay to the Agent (or any such sub-agent), such Fronting Bank or such Related Party, as the case may be, such Bank’s pro rata share (determined as of the time that the applicable unreimbursed expense or indemnity payment is sought based on each Bank’s share of the Facilities at such time) of such unpaid amount (including any such unpaid amount in respect of a claim asserted by such Bank), such payment to be made severally among them based on each Bank’s applicable Commitment Percentages (determined as of the time that the applicable unreimbursed expense or indemnity payment is sought),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unreimbursed expense or indemnified loss, claim, damage, liability or related expense, as the case may be, was incurred by or asserted against the Agent (or any such sub-agent) or such Fronting Bank in its capacity as such, or against any Related Party of any of the foregoing acting for the Agent (or any such sub-agent) or such Fronting Bank in connection with such capacity. The obligations of the Banks under this subsection</w:t>
      </w:r>
    </w:p>
    <w:p>
      <w:pPr>
        <w:spacing w:after="0" w:line="11" w:lineRule="exact"/>
        <w:rPr>
          <w:rFonts w:ascii="Times New Roman" w:cs="Times New Roman" w:eastAsia="Times New Roman" w:hAnsi="Times New Roman"/>
          <w:sz w:val="21"/>
          <w:szCs w:val="21"/>
          <w:color w:val="010000"/>
        </w:rPr>
      </w:pPr>
    </w:p>
    <w:p>
      <w:pPr>
        <w:ind w:left="300" w:hanging="292"/>
        <w:spacing w:after="0"/>
        <w:tabs>
          <w:tab w:leader="none" w:pos="30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subject to the provisions of §5.1.5.</w:t>
      </w:r>
    </w:p>
    <w:p>
      <w:pPr>
        <w:spacing w:after="0" w:line="182" w:lineRule="exact"/>
        <w:rPr>
          <w:rFonts w:ascii="Times New Roman" w:cs="Times New Roman" w:eastAsia="Times New Roman" w:hAnsi="Times New Roman"/>
          <w:sz w:val="22"/>
          <w:szCs w:val="22"/>
          <w:color w:val="auto"/>
        </w:rPr>
      </w:pPr>
    </w:p>
    <w:p>
      <w:pPr>
        <w:jc w:val="both"/>
        <w:ind w:firstLine="1304"/>
        <w:spacing w:after="0" w:line="241" w:lineRule="auto"/>
        <w:tabs>
          <w:tab w:leader="none" w:pos="1777" w:val="left"/>
        </w:tabs>
        <w:numPr>
          <w:ilvl w:val="1"/>
          <w:numId w:val="2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To the fullest extent permitted by applicable law, the Borrower shall not assert, and hereby waives, and acknowledges that no other Person shall have any claim against any Indemnified Party,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Letter of Credit or the use of the proceeds thereof. No Indemnified Party referred to in subsection (b) above shall be liable for any damages arising from the use by unintended recipients of any information or other materials distributed to such unintended recipients by such Indemnified Party through telecommunications, electronic or other information transmission systems in connection with this Agreement or the other Loan Documents or the transactions contemplated hereby or thereby other than for direct or actual damages resulting from the fraud, gross negligence or willful misconduct of such Indemnified Party as determined by a final and nonappealable judgment of a court of competent jurisdiction.</w:t>
      </w:r>
    </w:p>
    <w:p>
      <w:pPr>
        <w:spacing w:after="0" w:line="189" w:lineRule="exact"/>
        <w:rPr>
          <w:rFonts w:ascii="Times New Roman" w:cs="Times New Roman" w:eastAsia="Times New Roman" w:hAnsi="Times New Roman"/>
          <w:sz w:val="22"/>
          <w:szCs w:val="22"/>
          <w:color w:val="010000"/>
        </w:rPr>
      </w:pPr>
    </w:p>
    <w:p>
      <w:pPr>
        <w:ind w:left="1820" w:hanging="516"/>
        <w:spacing w:after="0"/>
        <w:tabs>
          <w:tab w:leader="none" w:pos="1820" w:val="left"/>
        </w:tabs>
        <w:numPr>
          <w:ilvl w:val="1"/>
          <w:numId w:val="2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All amounts due under this §17 shall be payable not later than ten Business Days after demand</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therefor.</w:t>
      </w:r>
    </w:p>
    <w:p>
      <w:pPr>
        <w:spacing w:after="0" w:line="195" w:lineRule="exact"/>
        <w:rPr>
          <w:rFonts w:ascii="Times New Roman" w:cs="Times New Roman" w:eastAsia="Times New Roman" w:hAnsi="Times New Roman"/>
          <w:sz w:val="22"/>
          <w:szCs w:val="22"/>
          <w:color w:val="010000"/>
        </w:rPr>
      </w:pPr>
    </w:p>
    <w:p>
      <w:pPr>
        <w:jc w:val="both"/>
        <w:ind w:right="20" w:firstLine="1304"/>
        <w:spacing w:after="0" w:line="263" w:lineRule="auto"/>
        <w:tabs>
          <w:tab w:leader="none" w:pos="1755" w:val="left"/>
        </w:tabs>
        <w:numPr>
          <w:ilvl w:val="1"/>
          <w:numId w:val="2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agreements in this §17 and the indemnity provisions of §21(e) shall survive the resignation of the Agent and any Fronting Bank, the replacement of any Bank, the termination of the Total Commitment and the repayment, satisfaction or discharge of all the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ectPr>
          <w:pgSz w:w="11900" w:h="16838" w:orient="portrait"/>
          <w:cols w:equalWidth="0" w:num="1">
            <w:col w:w="11240"/>
          </w:cols>
          <w:pgMar w:left="320" w:top="1287" w:right="339" w:bottom="1440" w:gutter="0" w:footer="0" w:header="0"/>
        </w:sectPr>
      </w:pPr>
    </w:p>
    <w:bookmarkStart w:id="277" w:name="page278"/>
    <w:bookmarkEnd w:id="277"/>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§18 </w:t>
      </w:r>
      <w:r>
        <w:rPr>
          <w:rFonts w:ascii="Times New Roman" w:cs="Times New Roman" w:eastAsia="Times New Roman" w:hAnsi="Times New Roman"/>
          <w:sz w:val="22"/>
          <w:szCs w:val="22"/>
          <w:u w:val="single" w:color="auto"/>
          <w:color w:val="000000"/>
        </w:rPr>
        <w:t>PAYMENTS SET ASIDE</w:t>
      </w:r>
      <w:r>
        <w:rPr>
          <w:rFonts w:ascii="Times New Roman" w:cs="Times New Roman" w:eastAsia="Times New Roman" w:hAnsi="Times New Roman"/>
          <w:sz w:val="22"/>
          <w:szCs w:val="22"/>
          <w:color w:val="000000"/>
        </w:rPr>
        <w:t>. To the extent that any payment by or on behalf of the Borrower is made to the Agent,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Fronting Bank or any Bank, or the Agent, any Fronting Bank or any Bank exercises its right of setoff, and such payment or the proceeds of such setoff or any part thereof is subsequently invalidated, declared to be fraudulent or preferential, set aside or required (including pursuant to any settlement entered into by the Agent, such Fronting Bank or such Bank in its discretion) to be repaid to a trustee, receiver or any other party, in connection with any proceeding under any Debtor Relief Laws or otherwise, then (a) to the extent of such recovery, the obligation or part thereof originally intended to be satisfied shall be revived and continued in full force and effect as if such payment had not been made or such setoff had not occurred, and (b) each Bank and each Fronting Bank severally agrees to pay to the Agent upon demand its applicable share (without duplication) of any amount so recovered from or repaid by the Agent, plus interest thereon from the date of such demand to the date such payment is made at a rate per annum equal to the applicable Overnight Rate from time to time in effect, in the applicable currency of such recovery or payment. The obligations of the Banks and the Fronting Banks under clause (b) of the preceding sentence shall survive the payment in full of the Obligations and the termination of this Agreement.</w:t>
      </w:r>
    </w:p>
    <w:p>
      <w:pPr>
        <w:spacing w:after="0" w:line="19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§19 </w:t>
      </w:r>
      <w:r>
        <w:rPr>
          <w:rFonts w:ascii="Times New Roman" w:cs="Times New Roman" w:eastAsia="Times New Roman" w:hAnsi="Times New Roman"/>
          <w:sz w:val="22"/>
          <w:szCs w:val="22"/>
          <w:u w:val="single" w:color="auto"/>
          <w:color w:val="000000"/>
        </w:rPr>
        <w:t>SURVIVAL OF COVENANTS, ETC</w:t>
      </w:r>
      <w:r>
        <w:rPr>
          <w:rFonts w:ascii="Times New Roman" w:cs="Times New Roman" w:eastAsia="Times New Roman" w:hAnsi="Times New Roman"/>
          <w:sz w:val="22"/>
          <w:szCs w:val="22"/>
          <w:color w:val="000000"/>
        </w:rPr>
        <w:t>. All covenants, agreements, representations and warranties made herein,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Notes, in any of the other Loan Documents or in any documents or other papers delivered by or on behalf of the Borrower or any of its Subsidiaries or BPI pursuant hereto shall be deemed to have been relied upon by the Banks and the Agent, notwithstanding any investigation heretofore or hereafter made by any of them, and shall survive the making by the Banks of any of the Loans and the issuance, extension, increase or renewal of any Letters of Credit, as herein contemplated, and shall continue in full force and effect so long as any Letter of Credit or any amount due under this Agreement or the Notes or any of the other Loan Documents remains outstanding or any Bank has any obligation to make any Loans or the Agent or any Fronting Bank has any obligation to issue, extend, increase or renew any Letter of Credit. The indemnification obligations of the Borrower provided herein and in the other Loan Documents shall survive the full repayment of amounts due and the termination of the obligations of the Banks hereunder and thereunder to the extent provided herein and therein. All statements contained in any certificate or other paper delivered to any Bank or the Agent at any time by or on behalf of the Borrower or any of its Subsidiaries or BPI pursuant hereto or in connection with the transactions contemplated hereby shall constitute representations and warranties by the Borrower or such Subsidiary or BPI hereunder.</w:t>
      </w:r>
    </w:p>
    <w:p>
      <w:pPr>
        <w:spacing w:after="0" w:line="19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010000"/>
        </w:rPr>
        <w:t>§20</w:t>
      </w:r>
      <w:r>
        <w:rPr>
          <w:sz w:val="20"/>
          <w:szCs w:val="20"/>
          <w:color w:val="auto"/>
        </w:rPr>
        <w:tab/>
      </w:r>
      <w:r>
        <w:rPr>
          <w:rFonts w:ascii="Times New Roman" w:cs="Times New Roman" w:eastAsia="Times New Roman" w:hAnsi="Times New Roman"/>
          <w:sz w:val="21"/>
          <w:szCs w:val="21"/>
          <w:u w:val="single" w:color="auto"/>
          <w:color w:val="auto"/>
        </w:rPr>
        <w:t>ASSIGNMENT; PARTICIPATIONS; ETC</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§20.1</w:t>
      </w:r>
      <w:r>
        <w:rPr>
          <w:sz w:val="20"/>
          <w:szCs w:val="20"/>
          <w:color w:val="auto"/>
        </w:rPr>
        <w:tab/>
      </w:r>
      <w:r>
        <w:rPr>
          <w:rFonts w:ascii="Times New Roman" w:cs="Times New Roman" w:eastAsia="Times New Roman" w:hAnsi="Times New Roman"/>
          <w:sz w:val="21"/>
          <w:szCs w:val="21"/>
          <w:u w:val="single" w:color="auto"/>
          <w:color w:val="auto"/>
        </w:rPr>
        <w:t>Conditions to Assignment by Banks.</w:t>
      </w:r>
    </w:p>
    <w:p>
      <w:pPr>
        <w:spacing w:after="0" w:line="220" w:lineRule="exact"/>
        <w:rPr>
          <w:sz w:val="20"/>
          <w:szCs w:val="20"/>
          <w:color w:val="auto"/>
        </w:rPr>
      </w:pPr>
    </w:p>
    <w:p>
      <w:pPr>
        <w:jc w:val="both"/>
        <w:ind w:firstLine="1304"/>
        <w:spacing w:after="0" w:line="251" w:lineRule="auto"/>
        <w:tabs>
          <w:tab w:leader="none" w:pos="1806" w:val="left"/>
        </w:tabs>
        <w:numPr>
          <w:ilvl w:val="0"/>
          <w:numId w:val="2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provided herein, each Bank may assign to one or more Eligible Assignees all or a portion of its interests, rights and obligations under this Agreement (including all or a portion of its Commitment Percentage(s) and Commitment(s) and the same portion of the Loans at the time owing to it (including for purposes of this §20 participating interests in the risk relating to any Letters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with respect to either of the Facilities (i) (A) the Agent and, other than during an Event of Default, the Borrower each shall have the right to approve any such Eligible Assignee, which approval shall not be unreasonably withheld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ectPr>
          <w:pgSz w:w="11900" w:h="16838" w:orient="portrait"/>
          <w:cols w:equalWidth="0" w:num="1">
            <w:col w:w="11240"/>
          </w:cols>
          <w:pgMar w:left="320" w:top="1287"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21"/>
          <w:szCs w:val="21"/>
          <w:color w:val="auto"/>
        </w:rPr>
        <w:t>delayed, it being agreed that the Agent and the Borrower, as applicable, must approve or reject a proposed assignee within seven</w:t>
      </w:r>
    </w:p>
    <w:p>
      <w:pPr>
        <w:spacing w:after="0" w:line="41" w:lineRule="exact"/>
        <w:rPr>
          <w:sz w:val="20"/>
          <w:szCs w:val="20"/>
          <w:color w:val="auto"/>
        </w:rPr>
      </w:pPr>
    </w:p>
    <w:p>
      <w:pPr>
        <w:jc w:val="both"/>
        <w:ind w:firstLine="8"/>
        <w:spacing w:after="0" w:line="257" w:lineRule="auto"/>
        <w:tabs>
          <w:tab w:leader="none" w:pos="306"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receiving a written request from any Bank for such approval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request for approval sent to each of the Agent and the Borrower, respectively, is conspicuously marked with the following legend: “REQUEST FOR APPROVAL – TIME SENSITIVE – MUST RESPOND WITHIN SEVEN (7) DAYS”) and if the Agent or the Borrower, as applicable, fails to respond within such seven (7) day period, such request for approval shall be deemed approved by, respectively, the Agent or the Borrower, as the case may be, and (B) each Fronting Bank shall have the right to approve any such Eligible Assignee in connection with an assignment of any Revolving Credit Commitments, (ii) each such assignment shall be of a constant, and not a varying, percentage of all the assigning Bank’s rights and obligations under this Agreement, except that this clause (ii) shall not prohibit any Bank from assigning all or a portion of its rights and obligations in the Total Revolving Credit Commitments and any Incremental Term Loan Facility on a non-pro rata basis, (iii) subject to the provisions of §2.7, after giving effect to such assignment, both the assignee and assignor Banks shall have at all times an amount of its Commitments (which for this purpose includes Loans outstanding thereunder) or, if any Commitment is not then in effect, the principal outstanding balance of the applicable Loans, of not less than $10,000,000 unless otherwise consented to by the Agent and, other than during an Event of Default,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in the case of an assignment of the entire remaining amount of the assigning Bank’s Commitment and the Loans at the time owing to it or in the case of an assignment to a Bank, an Affiliate of a Bank or an Eligible Assignee, no minimum amount need be assigned; and (iv) the parties to such assignment shall execute and deliver to the Agent, for recording in the Register (as hereinafter defined), an Assignment and Assumption, together with any Notes subject to such assignment, and the assignee, if not already a Bank hereunder prior to such assignment, shall deliver to the Agent an Administrative Questionnaire. Upon such execution, delivery, acceptance and recording, from and after the effective date specified in each Assignment and Assumption, which effective date shall be at least two (2) Business Days after the execution thereof unless otherwise agreed by the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any assignee has assumed the obligation to fund any outstanding Loans),</w:t>
      </w:r>
    </w:p>
    <w:p>
      <w:pPr>
        <w:spacing w:after="0" w:line="10" w:lineRule="exact"/>
        <w:rPr>
          <w:rFonts w:ascii="Times New Roman" w:cs="Times New Roman" w:eastAsia="Times New Roman" w:hAnsi="Times New Roman"/>
          <w:sz w:val="21"/>
          <w:szCs w:val="21"/>
          <w:color w:val="auto"/>
        </w:rPr>
      </w:pPr>
    </w:p>
    <w:p>
      <w:pPr>
        <w:jc w:val="both"/>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(A) the assignee thereunder shall be a party hereto and, to the extent provided in such Assignment and Assumption, have the rights and obligations of a Bank hereunder and thereunder, and (B) the assigning Bank shall, to the extent provided in such assignment and upon payment to the Agent of the registration fee referred to in §20.3, be released from its obligations under this Agreement but shall continue to be entitled to the benefits of §§5.2, 5.6, 5.9 and 17 with respect to facts and circumstances occurring prior to the effective date of such assignment (but subject, in all events to the limitations set forth in §5.8, if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except to the extent otherwise expressly agreed by the affected parties, no assignment by a Delinquent Bank will constitute a waiver or release of any claim of any party hereunder arising from that Bank’s having been a Delinquent Bank. Any such Assignment and Assumption shall run to the benefit of the Borrower and a copy of any such Assignment and Assumption shall be delivered by the Assignor to the Borrower.</w:t>
      </w:r>
    </w:p>
    <w:p>
      <w:pPr>
        <w:spacing w:after="0" w:line="184" w:lineRule="exact"/>
        <w:rPr>
          <w:rFonts w:ascii="Times New Roman" w:cs="Times New Roman" w:eastAsia="Times New Roman" w:hAnsi="Times New Roman"/>
          <w:sz w:val="21"/>
          <w:szCs w:val="21"/>
          <w:color w:val="auto"/>
        </w:rPr>
      </w:pPr>
    </w:p>
    <w:p>
      <w:pPr>
        <w:jc w:val="both"/>
        <w:ind w:firstLine="1304"/>
        <w:spacing w:after="0" w:line="256" w:lineRule="auto"/>
        <w:tabs>
          <w:tab w:leader="none" w:pos="1872" w:val="left"/>
        </w:tabs>
        <w:numPr>
          <w:ilvl w:val="1"/>
          <w:numId w:val="2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provisions of subclause (a) of the preceding paragraph, any Bank may, without the consent of the Borrower, make an assignment otherwise permitted hereunder to (x) another Bank, (y) an Affiliate of such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Affiliate is an Eligible Assignee. Without limiting the provisions of §17, with respect to an assignment by a Bank to its Affiliate or to another Bank which does not require the consent of the Borrower,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ectPr>
          <w:pgSz w:w="11900" w:h="16838" w:orient="portrait"/>
          <w:cols w:equalWidth="0" w:num="1">
            <w:col w:w="11240"/>
          </w:cols>
          <w:pgMar w:left="320" w:top="1287" w:right="339" w:bottom="1440" w:gutter="0" w:footer="0" w:header="0"/>
        </w:sectPr>
      </w:pPr>
    </w:p>
    <w:bookmarkStart w:id="279" w:name="page280"/>
    <w:bookmarkEnd w:id="279"/>
    <w:p>
      <w:pPr>
        <w:spacing w:after="0" w:line="284" w:lineRule="auto"/>
        <w:rPr>
          <w:sz w:val="20"/>
          <w:szCs w:val="20"/>
          <w:color w:val="auto"/>
        </w:rPr>
      </w:pPr>
      <w:r>
        <w:rPr>
          <w:rFonts w:ascii="Times New Roman" w:cs="Times New Roman" w:eastAsia="Times New Roman" w:hAnsi="Times New Roman"/>
          <w:sz w:val="22"/>
          <w:szCs w:val="22"/>
          <w:color w:val="auto"/>
        </w:rPr>
        <w:t>such assignment occurs at the request of the Borrower, the Borrower shall not be responsible for any costs or expenses attributable to such assignment, all of which shall be payable by the assigning Bank.</w:t>
      </w:r>
    </w:p>
    <w:p>
      <w:pPr>
        <w:spacing w:after="0" w:line="144" w:lineRule="exact"/>
        <w:rPr>
          <w:sz w:val="20"/>
          <w:szCs w:val="20"/>
          <w:color w:val="auto"/>
        </w:rPr>
      </w:pPr>
    </w:p>
    <w:p>
      <w:pPr>
        <w:jc w:val="both"/>
        <w:ind w:firstLine="1304"/>
        <w:spacing w:after="0" w:line="252" w:lineRule="auto"/>
        <w:tabs>
          <w:tab w:leader="none" w:pos="1792" w:val="left"/>
        </w:tabs>
        <w:numPr>
          <w:ilvl w:val="0"/>
          <w:numId w:val="2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assignment shall be made (i) to the Borrower or any of the Borrower’s Affiliates or Subsidiaries, (ii) to any Delinquent Bank or any of its Subsidiaries, or any Person who, upon becoming a Bank hereunder, would constitute any of the foregoing Persons described in this clause (ii), or (iii) to a natural Person (or to a holding company, investment vehicle or trust for, or owned and operated for the primary benefit of a natural Person).</w:t>
      </w:r>
    </w:p>
    <w:p>
      <w:pPr>
        <w:spacing w:after="0" w:line="192" w:lineRule="exact"/>
        <w:rPr>
          <w:rFonts w:ascii="Times New Roman" w:cs="Times New Roman" w:eastAsia="Times New Roman" w:hAnsi="Times New Roman"/>
          <w:sz w:val="22"/>
          <w:szCs w:val="22"/>
          <w:color w:val="010000"/>
        </w:rPr>
      </w:pPr>
    </w:p>
    <w:p>
      <w:pPr>
        <w:jc w:val="both"/>
        <w:ind w:firstLine="1304"/>
        <w:spacing w:after="0" w:line="247" w:lineRule="auto"/>
        <w:tabs>
          <w:tab w:leader="none" w:pos="1858" w:val="left"/>
        </w:tabs>
        <w:numPr>
          <w:ilvl w:val="0"/>
          <w:numId w:val="2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connection with any assignment of rights and obligations of any Delinquent Bank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Borrower and the Agent, the applicable pro rata share of Loans previously requested but not funded by the Delinquent Bank, to each of which the applicable assignee and assignor hereby irrevocably consent), to (x) pay and satisfy in full all payment liabilities then owed by such Delinquent Bank to the Agent, any Fronting Bank or any Bank hereunder (and interest accrued thereon) and (y) acquire (and fund as appropriate) its full pro rata share of all Loans and participations in Letters of Credit in accordance with its Commitment Percentage (based upon such Delinquent Bank’s percentage of the Total Revolving Credit Commitment). Notwithstanding the foregoing, in the event that any assignment of rights and obligations of any Delinquent Bank hereunder shall become effective under applicable law without compliance with the provisions of this paragraph, then the assignee of such interest shall be deemed to be a Delinquent Bank for all purposes of this Agreement until such compliance occurs.</w:t>
      </w:r>
    </w:p>
    <w:p>
      <w:pPr>
        <w:spacing w:after="0" w:line="179"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1"/>
          <w:szCs w:val="21"/>
          <w:color w:val="010000"/>
        </w:rPr>
        <w:t>§20.2</w:t>
      </w:r>
      <w:r>
        <w:rPr>
          <w:sz w:val="20"/>
          <w:szCs w:val="20"/>
          <w:color w:val="auto"/>
        </w:rPr>
        <w:tab/>
      </w:r>
      <w:r>
        <w:rPr>
          <w:rFonts w:ascii="Times New Roman" w:cs="Times New Roman" w:eastAsia="Times New Roman" w:hAnsi="Times New Roman"/>
          <w:sz w:val="21"/>
          <w:szCs w:val="21"/>
          <w:u w:val="single" w:color="auto"/>
          <w:color w:val="auto"/>
        </w:rPr>
        <w:t>Certain Representations and Warranties; Limitations; Covenants.</w:t>
      </w:r>
      <w:r>
        <w:rPr>
          <w:rFonts w:ascii="Times New Roman" w:cs="Times New Roman" w:eastAsia="Times New Roman" w:hAnsi="Times New Roman"/>
          <w:sz w:val="21"/>
          <w:szCs w:val="21"/>
          <w:color w:val="auto"/>
        </w:rPr>
        <w:t xml:space="preserve"> By executing and delivering an Assignment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Assumption, the parties to the assignment thereunder confirm to and agree with each other and the other parties hereto as follows:</w:t>
      </w:r>
    </w:p>
    <w:p>
      <w:pPr>
        <w:spacing w:after="0" w:line="2" w:lineRule="exact"/>
        <w:rPr>
          <w:sz w:val="20"/>
          <w:szCs w:val="20"/>
          <w:color w:val="auto"/>
        </w:rPr>
      </w:pPr>
    </w:p>
    <w:p>
      <w:pPr>
        <w:jc w:val="both"/>
        <w:ind w:firstLine="8"/>
        <w:spacing w:after="0" w:line="238" w:lineRule="auto"/>
        <w:tabs>
          <w:tab w:leader="none" w:pos="30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representation and warranty that it is the legal and beneficial owner of the interest being assigned thereby free and clear of any adverse claim, the assigning Bank makes no representation or warranty and assumes no responsibility with respect to any statements, warranties or representations made in or in connection with this Agreement or the execution, legality, validity, enforceability, genuineness, sufficiency or value of this Agreement, the other Loan Documents or any other instrument or document furnished pursuant hereto; (b) the assigning Bank makes no representation or warranty and assumes no responsibility with respect to the financial condition of the Borrower and its Subsidiaries or BPI or any other Person primarily or secondarily liable in respect of any of the Obligations, or the performance or observance by the Borrower and its Subsidiaries or BPI or any other Person primarily or secondarily liable in respect of any of the Obligations of any of their obligations under this Agreement or any of the other Loan Documents or any other instrument or document furnished pursuant hereto or thereto; (c) such assignee confirms that it has received a copy of this Agreement, together with copies of the most recent financial statements referred to in §7.4 and §8.4 and such other documents and information as it has deemed appropriate to make its own credit analysis and decision to enter into such Assignment and Assumption; (d) such assignee will, independently and without reliance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ectPr>
          <w:pgSz w:w="11900" w:h="16838" w:orient="portrait"/>
          <w:cols w:equalWidth="0" w:num="1">
            <w:col w:w="11240"/>
          </w:cols>
          <w:pgMar w:left="320" w:top="1287" w:right="339" w:bottom="1440" w:gutter="0" w:footer="0" w:header="0"/>
        </w:sectPr>
      </w:pPr>
    </w:p>
    <w:bookmarkStart w:id="280" w:name="page281"/>
    <w:bookmarkEnd w:id="280"/>
    <w:p>
      <w:pPr>
        <w:jc w:val="both"/>
        <w:spacing w:after="0" w:line="254" w:lineRule="auto"/>
        <w:rPr>
          <w:sz w:val="20"/>
          <w:szCs w:val="20"/>
          <w:color w:val="auto"/>
        </w:rPr>
      </w:pPr>
      <w:r>
        <w:rPr>
          <w:rFonts w:ascii="Times New Roman" w:cs="Times New Roman" w:eastAsia="Times New Roman" w:hAnsi="Times New Roman"/>
          <w:sz w:val="21"/>
          <w:szCs w:val="21"/>
          <w:color w:val="auto"/>
        </w:rPr>
        <w:t>assigning Bank, the Agent or any other Bank and based on such documents and information as it shall deem appropriate at the time, continue to make its own credit decisions in taking or not taking action under this Agreement; (e) such assignee represents and warrants that it is an Eligible Assignee; (f) such assignee appoints and authorizes the Agent to take such action as agent on its behalf and to exercise such powers under this Agreement and the other Loan Documents as are delegated to the Agent by the terms hereof or thereof, together with such powers as are reasonably incidental thereto; (g) such assignee agrees that it will perform in accordance with their terms all of the obligations that by the terms of this Agreement are required to be performed by it as a Bank; (h) such assignee represents and warrants that it is legally authorized to enter into such Assignment and Assumption; and (i) if applicable, such assignee acknowledges that it has made arrangements with the assigning Bank satisfactory to such assignee with respect to its pro rata share of Letter of Credit Fees in respect of outstanding Letters of Credit.</w:t>
      </w:r>
    </w:p>
    <w:p>
      <w:pPr>
        <w:spacing w:after="0" w:line="17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010000"/>
        </w:rPr>
        <w:t xml:space="preserve">§20.3 </w:t>
      </w:r>
      <w:r>
        <w:rPr>
          <w:rFonts w:ascii="Times New Roman" w:cs="Times New Roman" w:eastAsia="Times New Roman" w:hAnsi="Times New Roman"/>
          <w:sz w:val="22"/>
          <w:szCs w:val="22"/>
          <w:u w:val="single" w:color="auto"/>
          <w:color w:val="000000"/>
        </w:rPr>
        <w:t>Register.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Agent acting solely for this purpose as a non-fiduciary agent of the Borrower (and such agency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being solely for tax purposes), shall maintain at the Agent’s Funding Office a copy of each Assignment and Assumption delivered to it (or the equivalent thereof in electronic form) and a register or similar list (the “</w:t>
      </w:r>
      <w:r>
        <w:rPr>
          <w:rFonts w:ascii="Times New Roman" w:cs="Times New Roman" w:eastAsia="Times New Roman" w:hAnsi="Times New Roman"/>
          <w:sz w:val="22"/>
          <w:szCs w:val="22"/>
          <w:u w:val="single" w:color="auto"/>
          <w:color w:val="000000"/>
        </w:rPr>
        <w:t>Register</w:t>
      </w:r>
      <w:r>
        <w:rPr>
          <w:rFonts w:ascii="Times New Roman" w:cs="Times New Roman" w:eastAsia="Times New Roman" w:hAnsi="Times New Roman"/>
          <w:sz w:val="22"/>
          <w:szCs w:val="22"/>
          <w:color w:val="000000"/>
        </w:rPr>
        <w:t xml:space="preserve">”) for the recordation of the names and addresses of the Banks and the Commitment Percentages of, and principal amount (and stated interest) of the Loans owing to, the Banks from time to time. In addition, the Agent shall maintain on the Register information regarding the designation, and revocation of designation, of any Bank as a Delinquent Bank. The entries in the Register shall be conclusive, in the absence of manifest error, and the Borrower, the Agent and the Banks shall treat each Person whose name is recorded in the Register as a Bank hereunder for all purposes of this Agreement. The Register shall be available for inspection by the Borrower and the Banks at any reasonable time and from time to time upon reasonable prior notice. Upon each such recordation, the assigning Bank agrees to pay to the Agent a registration fee in the sum of $3,500;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the Agent may, in its sole discretion, elect to waive such registration fee in the case of any assignment.</w:t>
      </w:r>
    </w:p>
    <w:p>
      <w:pPr>
        <w:spacing w:after="0" w:line="17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010000"/>
        </w:rPr>
        <w:t xml:space="preserve">§20.4 </w:t>
      </w:r>
      <w:r>
        <w:rPr>
          <w:rFonts w:ascii="Times New Roman" w:cs="Times New Roman" w:eastAsia="Times New Roman" w:hAnsi="Times New Roman"/>
          <w:sz w:val="22"/>
          <w:szCs w:val="22"/>
          <w:u w:val="single" w:color="auto"/>
          <w:color w:val="000000"/>
        </w:rPr>
        <w:t>New Notes</w:t>
      </w:r>
      <w:r>
        <w:rPr>
          <w:rFonts w:ascii="Times New Roman" w:cs="Times New Roman" w:eastAsia="Times New Roman" w:hAnsi="Times New Roman"/>
          <w:sz w:val="22"/>
          <w:szCs w:val="22"/>
          <w:color w:val="000000"/>
        </w:rPr>
        <w:t>. Upon its receipt of an Assignment and Assumption executed by the parties to such assignment,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Agent shall (a) record the information contained therein in the Register, and (b) give prompt notice thereof to the Borrower and the Banks (other than the assigning Bank). Unless the assigning Bank has retained some portion of its obligations hereunder, the assigning Bank shall surrender its Revolving Credit Note and/or other Note, as applicable, to the Agent, whereupon the surrendered Notes shall be canceled and returned to the Borrower. Upon request of the Eligible Assignee, and provided that the assigning Bank has surrendered its Note(s) if required by the preceding sentence, the Borrower, at its own expense, (i) shall execute and deliver to the Agent, a Revolving Credit Note and/or other Note, as applicable, for delivery to the Eligible Assignee and (ii) shall deliver an opinion from counsel to the Borrower in substantially the form delivered on the Closing Date pursuant to §12.9 as to such new Note(s). Such new Note(s) shall be dated the effective date of such Assignment and Assumption and shall otherwise be in substantially the form of </w:t>
      </w:r>
      <w:r>
        <w:rPr>
          <w:rFonts w:ascii="Times New Roman" w:cs="Times New Roman" w:eastAsia="Times New Roman" w:hAnsi="Times New Roman"/>
          <w:sz w:val="22"/>
          <w:szCs w:val="22"/>
          <w:u w:val="single" w:color="auto"/>
          <w:color w:val="000000"/>
        </w:rPr>
        <w:t>Exhibit A</w:t>
      </w:r>
      <w:r>
        <w:rPr>
          <w:rFonts w:ascii="Times New Roman" w:cs="Times New Roman" w:eastAsia="Times New Roman" w:hAnsi="Times New Roman"/>
          <w:sz w:val="22"/>
          <w:szCs w:val="22"/>
          <w:color w:val="000000"/>
        </w:rPr>
        <w:t xml:space="preserve"> and/or </w:t>
      </w:r>
      <w:r>
        <w:rPr>
          <w:rFonts w:ascii="Times New Roman" w:cs="Times New Roman" w:eastAsia="Times New Roman" w:hAnsi="Times New Roman"/>
          <w:sz w:val="22"/>
          <w:szCs w:val="22"/>
          <w:u w:val="single" w:color="auto"/>
          <w:color w:val="000000"/>
        </w:rPr>
        <w:t>Exhibit D-1</w:t>
      </w:r>
      <w:r>
        <w:rPr>
          <w:rFonts w:ascii="Times New Roman" w:cs="Times New Roman" w:eastAsia="Times New Roman" w:hAnsi="Times New Roman"/>
          <w:sz w:val="22"/>
          <w:szCs w:val="22"/>
          <w:color w:val="000000"/>
        </w:rPr>
        <w:t>, as applicable.</w:t>
      </w:r>
    </w:p>
    <w:p>
      <w:pPr>
        <w:spacing w:after="0" w:line="197"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010000"/>
        </w:rPr>
        <w:t>§20.5</w:t>
      </w:r>
      <w:r>
        <w:rPr>
          <w:sz w:val="20"/>
          <w:szCs w:val="20"/>
          <w:color w:val="auto"/>
        </w:rPr>
        <w:tab/>
      </w:r>
      <w:r>
        <w:rPr>
          <w:rFonts w:ascii="Times New Roman" w:cs="Times New Roman" w:eastAsia="Times New Roman" w:hAnsi="Times New Roman"/>
          <w:sz w:val="21"/>
          <w:szCs w:val="21"/>
          <w:u w:val="single" w:color="auto"/>
          <w:color w:val="auto"/>
        </w:rPr>
        <w:t>Participations.</w:t>
      </w:r>
    </w:p>
    <w:p>
      <w:pPr>
        <w:spacing w:after="0" w:line="206" w:lineRule="exact"/>
        <w:rPr>
          <w:sz w:val="20"/>
          <w:szCs w:val="20"/>
          <w:color w:val="auto"/>
        </w:rPr>
      </w:pPr>
    </w:p>
    <w:p>
      <w:pPr>
        <w:jc w:val="both"/>
        <w:ind w:firstLine="1304"/>
        <w:spacing w:after="0" w:line="250" w:lineRule="auto"/>
        <w:tabs>
          <w:tab w:leader="none" w:pos="1819" w:val="left"/>
        </w:tabs>
        <w:numPr>
          <w:ilvl w:val="0"/>
          <w:numId w:val="2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Bank may at any time, without the consent of, or notice to, the Borrower, the Agent or any Fronting Bank, sell participations to any Person (other than a natural Person, or a holding company, investment vehicle or trust for, or owned and operated for the primary benefit of a natural Person, a Delinquent Bank or the Borrower or any of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ectPr>
          <w:pgSz w:w="11900" w:h="16838" w:orient="portrait"/>
          <w:cols w:equalWidth="0" w:num="1">
            <w:col w:w="11240"/>
          </w:cols>
          <w:pgMar w:left="320" w:top="1273" w:right="339" w:bottom="1440" w:gutter="0" w:footer="0" w:header="0"/>
        </w:sectPr>
      </w:pPr>
    </w:p>
    <w:bookmarkStart w:id="281" w:name="page282"/>
    <w:bookmarkEnd w:id="281"/>
    <w:p>
      <w:pPr>
        <w:jc w:val="both"/>
        <w:spacing w:after="0" w:line="242" w:lineRule="auto"/>
        <w:rPr>
          <w:sz w:val="20"/>
          <w:szCs w:val="20"/>
          <w:color w:val="auto"/>
        </w:rPr>
      </w:pPr>
      <w:r>
        <w:rPr>
          <w:rFonts w:ascii="Times New Roman" w:cs="Times New Roman" w:eastAsia="Times New Roman" w:hAnsi="Times New Roman"/>
          <w:sz w:val="22"/>
          <w:szCs w:val="22"/>
          <w:color w:val="auto"/>
        </w:rPr>
        <w:t>Affiliates or Subsidiaries)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Bank’s rights and/or obligations under this Agreement (including all or a portion of its Commitment and/or the Loans (including such Bank’s participations in Letter of Credit Obligations)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participation shall be in an amount of not less than $10,000,000, (ii) such Bank’s obligations under this Agreement shall remain unchanged, (iii) such Bank shall remain solely responsible to the other parties hereto for the performance of such obligations, (iv) such Bank shall maintain the sole and exclusive decision making authority in respect of such participation except as set forth in §20.5(b) (and the documentation evidencing such participation shall so provide), and (v) the Borrower, the Agent, the Banks and the Fronting Banks shall continue to deal solely and directly with such Bank in connection with such Bank’s rights and obligations under this Agreement. For the avoidance of doubt, each Bank shall be responsible for the indemnity under §17(c) without regard to the existence of any participation.</w:t>
      </w:r>
    </w:p>
    <w:p>
      <w:pPr>
        <w:spacing w:after="0" w:line="175" w:lineRule="exact"/>
        <w:rPr>
          <w:sz w:val="20"/>
          <w:szCs w:val="20"/>
          <w:color w:val="auto"/>
        </w:rPr>
      </w:pPr>
    </w:p>
    <w:p>
      <w:pPr>
        <w:jc w:val="both"/>
        <w:ind w:firstLine="1304"/>
        <w:spacing w:after="0" w:line="250" w:lineRule="auto"/>
        <w:tabs>
          <w:tab w:leader="none" w:pos="1858" w:val="left"/>
        </w:tabs>
        <w:numPr>
          <w:ilvl w:val="0"/>
          <w:numId w:val="2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Any agreement or instrument pursuant to which a Bank sells such a participation shall provide that such Bank shall retain the sole right to enforce this Agreement and to approve any amendment, modification or waiver of any provision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Bank will not, without the consent of the Participant, agree to any amendment, waiver or other modification described in the first proviso to §28 that affects such Participant. The Borrower agrees that each Participant shall be entitled to the benefits of §§5.2, 5.6 and 5.11 to the same extent as if it were a Bank and had acquired its interest by assignment pursuant to §20.1 (it being understood that the documentation required under §5.2(e) shall be delivered to the Bank which sells the participation) to the same extent as if it were a Bank and had acquired its interest by assignment pursuant to §20.1;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 agrees to be subject to the provisions of §5.8 as if it were an assignee under §20.1 and (B) shall not be entitled to receive any greater payment under §§5.2, 5.6 or 5.11, with respect to any participation, than the Bank from which it acquired the applicable participation would have been entitled to receive, except to the extent such entitlement to receive a greater payment results from a Change in Law that occurs after the Participant acquired the applicable participation. Each Bank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Bank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(x) that such commitment, loan, letter of credit or other obligation is in registered form under Section 5f.103-1(c) of the United States Treasury Regulations or (y) any right of such Participant to make a claim against the Borrower for any payment hereunder. The entries in the Participant Register shall be conclusive absent manifest error, and such Bank shall treat each Person whose name is recorded in the Participant Register as the owner of such participation for all purposes of this Agreement notwithstanding any notice to the contrary. For the avoidance of doubt, the Agent (in its capacity as the Agent) shall have no responsibility for maintaining a Participant Register.</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§20.6 </w:t>
      </w:r>
      <w:r>
        <w:rPr>
          <w:rFonts w:ascii="Times New Roman" w:cs="Times New Roman" w:eastAsia="Times New Roman" w:hAnsi="Times New Roman"/>
          <w:sz w:val="22"/>
          <w:szCs w:val="22"/>
          <w:u w:val="single" w:color="auto"/>
          <w:color w:val="000000"/>
        </w:rPr>
        <w:t>Pledge by Bank.</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Notwithstanding any other provision of this Agreement, any Bank at no cost to the Borrower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may at any time pledge all or any portion of its interest and rights under this Agreement (including all or any portion of its Notes) to any of the twelve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ectPr>
          <w:pgSz w:w="11900" w:h="16838" w:orient="portrait"/>
          <w:cols w:equalWidth="0" w:num="1">
            <w:col w:w="11240"/>
          </w:cols>
          <w:pgMar w:left="320" w:top="1273" w:right="339" w:bottom="1440" w:gutter="0" w:footer="0" w:header="0"/>
        </w:sectPr>
      </w:pPr>
    </w:p>
    <w:bookmarkStart w:id="282" w:name="page283"/>
    <w:bookmarkEnd w:id="282"/>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Reserve Banks organized under §4 of the Federal Reserve Act, 12 U.S.C. §341. No such pledge or the enforcement thereof shall release the pledgor Bank from its obligations hereunder or under any of the other Loan Documents.</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§20.7 </w:t>
      </w:r>
      <w:r>
        <w:rPr>
          <w:rFonts w:ascii="Times New Roman" w:cs="Times New Roman" w:eastAsia="Times New Roman" w:hAnsi="Times New Roman"/>
          <w:sz w:val="22"/>
          <w:szCs w:val="22"/>
          <w:u w:val="single" w:color="auto"/>
          <w:color w:val="000000"/>
        </w:rPr>
        <w:t>No Assignment by Borrower.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shall not assign or transfer any of its rights or obligations under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Loan Documents without prior Unanimous Bank Approval.</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§20.8 </w:t>
      </w:r>
      <w:r>
        <w:rPr>
          <w:rFonts w:ascii="Times New Roman" w:cs="Times New Roman" w:eastAsia="Times New Roman" w:hAnsi="Times New Roman"/>
          <w:sz w:val="22"/>
          <w:szCs w:val="22"/>
          <w:u w:val="single" w:color="auto"/>
          <w:color w:val="000000"/>
        </w:rPr>
        <w:t>Disclosure.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agrees that, in addition to disclosures made in accordance with standard banking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practices, any Bank may disclose information obtained by such Bank pursuant to this Agreement to assignees or participants and potential assignees or participants hereunder. Any such disclosed information shall be treated by any assignee or participant with the same standard of confidentiality set forth in §8.10(f).</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§20.9 </w:t>
      </w:r>
      <w:r>
        <w:rPr>
          <w:rFonts w:ascii="Times New Roman" w:cs="Times New Roman" w:eastAsia="Times New Roman" w:hAnsi="Times New Roman"/>
          <w:sz w:val="22"/>
          <w:szCs w:val="22"/>
          <w:u w:val="single" w:color="auto"/>
          <w:color w:val="000000"/>
        </w:rPr>
        <w:t>Syndication.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Borrower acknowledges that the Arrangers intend, and acknowledges that the Arrangers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have the right, by themselves or through their respective Affiliates, to syndicate or enter into co-lending arrangements with respect to the Loans and the Total Commitment pursuant to this §20, and the Borrower agrees to cooperate with the Arrangers’ and their respective Affiliates’ syndication and/or co-lending efforts, such cooperation to include, without limitation, the provision of information reasonably requested by potential syndicate members.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010000"/>
        </w:rPr>
        <w:t xml:space="preserve">§20.10 </w:t>
      </w:r>
      <w:r>
        <w:rPr>
          <w:rFonts w:ascii="Times New Roman" w:cs="Times New Roman" w:eastAsia="Times New Roman" w:hAnsi="Times New Roman"/>
          <w:sz w:val="21"/>
          <w:szCs w:val="21"/>
          <w:u w:val="single" w:color="auto"/>
          <w:color w:val="000000"/>
        </w:rPr>
        <w:t>Resignation as Fronting Bank after Assignment.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Notwithstanding anything to the contrary contained herein, if at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any time a Bank that is a Fronting Bank assigns all of its Revolving Credit Commitment and Revolving Credit Loans pursuant to this §20, such Fronting Bank may upon 30 days’ notice to the Borrower and the Revolving Credit Banks, resign as a Fronting Bank. In the event of any such resignation as a Fronting Bank, the Borrower shall be entitled to appoint from among the Revolving Credit Banks a successor Fronting Bank hereunder;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that no failure by the Borrower to appoint any such successor shall affect the resignation of such Bank as a Fronting Bank. If a Bank that is a Fronting Bank resigns as a Fronting Bank, it shall retain all the rights, powers, privileges and duties of a Fronting Bank hereunder with respect to all Letters of Credit issued by it and outstanding as of the effective date of its resignation as a Fronting Bank and all Letter of Credit Obligations with respect thereto (including the right to require the Revolving Credit Banks to make Base Rate Loans or fund risk participations in Reimbursement Obligations pursuant to §3.3). Upon the appointment of a successor Fronting Bank, (a) such successor shall succeed to and become vested with all of the rights, powers, privileges and duties of the retiring Fronting Bank, and (b) the successor Fronting Bank shall, if requested in writing by the Borrower, issue letters of credit in substitution for the Letters of Credit, if any, outstanding at the time of such succession or, if not so requested in writing by the Borrower, make other arrangements satisfactory to the retiring Fronting Bank to effectively assume the obligations of such retiring Fronting Bank (which may include by providing an indemnification to such retiring Fronting Bank) with respect to such Letters of Credit.</w:t>
      </w:r>
    </w:p>
    <w:p>
      <w:pPr>
        <w:spacing w:after="0" w:line="19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010000"/>
        </w:rPr>
        <w:t>§21</w:t>
      </w:r>
      <w:r>
        <w:rPr>
          <w:sz w:val="20"/>
          <w:szCs w:val="20"/>
          <w:color w:val="auto"/>
        </w:rPr>
        <w:tab/>
      </w:r>
      <w:r>
        <w:rPr>
          <w:rFonts w:ascii="Times New Roman" w:cs="Times New Roman" w:eastAsia="Times New Roman" w:hAnsi="Times New Roman"/>
          <w:sz w:val="21"/>
          <w:szCs w:val="21"/>
          <w:u w:val="single" w:color="auto"/>
          <w:color w:val="auto"/>
        </w:rPr>
        <w:t>Notices; Effectiveness; Electronic Communication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71" w:lineRule="auto"/>
        <w:tabs>
          <w:tab w:leader="none" w:pos="1792" w:val="left"/>
        </w:tabs>
        <w:numPr>
          <w:ilvl w:val="0"/>
          <w:numId w:val="2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Except in the case of notices and other communications expressly permitted to be given by telephone (and except as provided in subsection (b) below),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ectPr>
          <w:pgSz w:w="11900" w:h="16838" w:orient="portrait"/>
          <w:cols w:equalWidth="0" w:num="1">
            <w:col w:w="11240"/>
          </w:cols>
          <w:pgMar w:left="320" w:top="1287" w:right="339" w:bottom="1440" w:gutter="0" w:footer="0" w:header="0"/>
        </w:sectPr>
      </w:pPr>
    </w:p>
    <w:bookmarkStart w:id="283" w:name="page284"/>
    <w:bookmarkEnd w:id="283"/>
    <w:p>
      <w:pPr>
        <w:jc w:val="both"/>
        <w:spacing w:after="0" w:line="263" w:lineRule="auto"/>
        <w:rPr>
          <w:sz w:val="20"/>
          <w:szCs w:val="20"/>
          <w:color w:val="auto"/>
        </w:rPr>
      </w:pPr>
      <w:r>
        <w:rPr>
          <w:rFonts w:ascii="Times New Roman" w:cs="Times New Roman" w:eastAsia="Times New Roman" w:hAnsi="Times New Roman"/>
          <w:sz w:val="22"/>
          <w:szCs w:val="22"/>
          <w:color w:val="auto"/>
        </w:rPr>
        <w:t>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67" w:lineRule="exact"/>
        <w:rPr>
          <w:sz w:val="20"/>
          <w:szCs w:val="20"/>
          <w:color w:val="auto"/>
        </w:rPr>
      </w:pPr>
    </w:p>
    <w:p>
      <w:pPr>
        <w:ind w:left="2600" w:hanging="648"/>
        <w:spacing w:after="0" w:line="295" w:lineRule="auto"/>
        <w:tabs>
          <w:tab w:leader="none" w:pos="2399" w:val="left"/>
        </w:tabs>
        <w:numPr>
          <w:ilvl w:val="0"/>
          <w:numId w:val="2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to the Borrower, the Agent, the Arrangers or the Fronting Banks, to the address, facsimile number, electronic mail address or telephone number specified for such Person on Schedule 21; and</w:t>
      </w:r>
    </w:p>
    <w:p>
      <w:pPr>
        <w:spacing w:after="0" w:line="135" w:lineRule="exact"/>
        <w:rPr>
          <w:rFonts w:ascii="Times New Roman" w:cs="Times New Roman" w:eastAsia="Times New Roman" w:hAnsi="Times New Roman"/>
          <w:sz w:val="21"/>
          <w:szCs w:val="21"/>
          <w:color w:val="010000"/>
        </w:rPr>
      </w:pPr>
    </w:p>
    <w:p>
      <w:pPr>
        <w:ind w:left="2600" w:hanging="648"/>
        <w:spacing w:after="0" w:line="253" w:lineRule="auto"/>
        <w:tabs>
          <w:tab w:leader="none" w:pos="2472" w:val="left"/>
        </w:tabs>
        <w:numPr>
          <w:ilvl w:val="0"/>
          <w:numId w:val="2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to any other Bank, to the address, facsimile number, electronic mail address or telephone number specified in its administrative questionnaire as supplied by the Agent to each Bank (an “</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(including, as appropriate, notices delivered solely to the Person designated by a Bank on its Administrative Questionnaire then in effect for the delivery of notices that may contain material non-public information relating to the Borrower).</w:t>
      </w:r>
    </w:p>
    <w:p>
      <w:pPr>
        <w:spacing w:after="0" w:line="17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received (with receipt acknowledged by the recipient thereof (which acknowledgment may be by answerback acknowledgment)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69" w:lineRule="exact"/>
        <w:rPr>
          <w:sz w:val="20"/>
          <w:szCs w:val="20"/>
          <w:color w:val="auto"/>
        </w:rPr>
      </w:pPr>
    </w:p>
    <w:p>
      <w:pPr>
        <w:jc w:val="both"/>
        <w:ind w:firstLine="1304"/>
        <w:spacing w:after="0" w:line="252" w:lineRule="auto"/>
        <w:tabs>
          <w:tab w:leader="none" w:pos="1764" w:val="left"/>
        </w:tabs>
        <w:numPr>
          <w:ilvl w:val="0"/>
          <w:numId w:val="2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Arrangers, the Banks and the Fronting Banks hereunder may be delivered or furnished by electronic communication (including e-mail, FpML messaging, and Internet or intranet websites) pursuant to procedures approved by the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the Arrangers, any Bank or any Fronting Bank if such Person has notified the Agent that it is incapable of receiving notices by electronic communication. The Agent, the Fronting Banks, the Arrangers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Unless the Agent otherwise prescribes, (i) notices and other communications sent to an electronic mail (“</w:t>
      </w:r>
      <w:r>
        <w:rPr>
          <w:rFonts w:ascii="Times New Roman" w:cs="Times New Roman" w:eastAsia="Times New Roman" w:hAnsi="Times New Roman"/>
          <w:sz w:val="21"/>
          <w:szCs w:val="21"/>
          <w:u w:val="single" w:color="auto"/>
          <w:color w:val="auto"/>
        </w:rPr>
        <w:t>e-mail</w:t>
      </w:r>
      <w:r>
        <w:rPr>
          <w:rFonts w:ascii="Times New Roman" w:cs="Times New Roman" w:eastAsia="Times New Roman" w:hAnsi="Times New Roman"/>
          <w:sz w:val="21"/>
          <w:szCs w:val="21"/>
          <w:color w:val="auto"/>
        </w:rPr>
        <w:t xml:space="preserve">”)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clauses (i) and (ii), if such notice, email or other communication is not sent during the normal business hours of the recipient, such notice, email or communication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ectPr>
          <w:pgSz w:w="11900" w:h="16838" w:orient="portrait"/>
          <w:cols w:equalWidth="0" w:num="1">
            <w:col w:w="11240"/>
          </w:cols>
          <w:pgMar w:left="320" w:top="1287" w:right="339" w:bottom="1440" w:gutter="0" w:footer="0" w:header="0"/>
        </w:sectPr>
      </w:pPr>
    </w:p>
    <w:bookmarkStart w:id="284" w:name="page285"/>
    <w:bookmarkEnd w:id="284"/>
    <w:p>
      <w:pPr>
        <w:spacing w:after="0" w:line="284" w:lineRule="auto"/>
        <w:rPr>
          <w:sz w:val="20"/>
          <w:szCs w:val="20"/>
          <w:color w:val="auto"/>
        </w:rPr>
      </w:pPr>
      <w:r>
        <w:rPr>
          <w:rFonts w:ascii="Times New Roman" w:cs="Times New Roman" w:eastAsia="Times New Roman" w:hAnsi="Times New Roman"/>
          <w:sz w:val="22"/>
          <w:szCs w:val="22"/>
          <w:color w:val="auto"/>
        </w:rPr>
        <w:t>to have been sent (and received, if the acknowledgment contemplated above has been obtained) at the opening of business on the next business day for the recipient.</w:t>
      </w:r>
    </w:p>
    <w:p>
      <w:pPr>
        <w:spacing w:after="0" w:line="144" w:lineRule="exact"/>
        <w:rPr>
          <w:sz w:val="20"/>
          <w:szCs w:val="20"/>
          <w:color w:val="auto"/>
        </w:rPr>
      </w:pPr>
    </w:p>
    <w:p>
      <w:pPr>
        <w:jc w:val="both"/>
        <w:ind w:firstLine="1304"/>
        <w:spacing w:after="0" w:line="259" w:lineRule="auto"/>
        <w:tabs>
          <w:tab w:leader="none" w:pos="1752" w:val="left"/>
        </w:tabs>
        <w:numPr>
          <w:ilvl w:val="0"/>
          <w:numId w:val="2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The Platform</w:t>
      </w:r>
      <w:r>
        <w:rPr>
          <w:rFonts w:ascii="Times New Roman" w:cs="Times New Roman" w:eastAsia="Times New Roman" w:hAnsi="Times New Roman"/>
          <w:sz w:val="21"/>
          <w:szCs w:val="21"/>
          <w:color w:val="auto"/>
        </w:rPr>
        <w:t>. THE PLATFORM (as defined in §8.10(e))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 or the Arrangers or any of their Related Parties (collectively, the “</w:t>
      </w:r>
      <w:r>
        <w:rPr>
          <w:rFonts w:ascii="Times New Roman" w:cs="Times New Roman" w:eastAsia="Times New Roman" w:hAnsi="Times New Roman"/>
          <w:sz w:val="21"/>
          <w:szCs w:val="21"/>
          <w:u w:val="single" w:color="auto"/>
          <w:color w:val="auto"/>
        </w:rPr>
        <w:t>Agent Parties</w:t>
      </w:r>
      <w:r>
        <w:rPr>
          <w:rFonts w:ascii="Times New Roman" w:cs="Times New Roman" w:eastAsia="Times New Roman" w:hAnsi="Times New Roman"/>
          <w:sz w:val="21"/>
          <w:szCs w:val="21"/>
          <w:color w:val="auto"/>
        </w:rPr>
        <w:t xml:space="preserve">”) have any liability to the Borrower, any Bank, any Fronting Bank or any other Person for losses, claims, damages, liabilities or expenses of any kind (whether in tort, contract or otherwise) arising out of the Borrower’s or the Agent’s or the Arrangers’ transmission of Borrower Materials or notices the platform, any other electronic platform or electronic messaging service, or through the Internet, except to the extent that such losses, claims, damages, liabilities or expenses have resulted from the gross negligence, willful misconduct or bad faith breach of this Agreement of such Agent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any Agent Party have any liability to the Borrower, any Bank, any Fronting Bank or any other Person for indirect, special, incidental, consequential or punitive damages (as opposed to direct or actual damages).</w:t>
      </w:r>
    </w:p>
    <w:p>
      <w:pPr>
        <w:spacing w:after="0" w:line="181" w:lineRule="exact"/>
        <w:rPr>
          <w:rFonts w:ascii="Times New Roman" w:cs="Times New Roman" w:eastAsia="Times New Roman" w:hAnsi="Times New Roman"/>
          <w:sz w:val="21"/>
          <w:szCs w:val="21"/>
          <w:color w:val="010000"/>
        </w:rPr>
      </w:pPr>
    </w:p>
    <w:p>
      <w:pPr>
        <w:jc w:val="both"/>
        <w:ind w:firstLine="1304"/>
        <w:spacing w:after="0" w:line="239" w:lineRule="auto"/>
        <w:tabs>
          <w:tab w:leader="none" w:pos="1764" w:val="left"/>
        </w:tabs>
        <w:numPr>
          <w:ilvl w:val="0"/>
          <w:numId w:val="2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Each of the Borrower, the Agent, the Arrangers and the Fronting Banks may change its address, email address, facsimile or telephone number for notices and other communications hereunder by notice to the other parties hereto. Each other Bank may change its address, email address, facsimile or telephone number for notices and other communications hereunder by notice to the Borrower, the Agent and each Fronting Bank. In addition, each Bank agrees to notify the Agent from time to time to ensure that the Agent has on record (i) an effective address, contact name, telephone number, facsimile number and email address to which notices and other communications may be sent and (ii) accurate wire instructions for such Bank.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materials with respect to the Borrower or its Affiliates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94" w:lineRule="exact"/>
        <w:rPr>
          <w:rFonts w:ascii="Times New Roman" w:cs="Times New Roman" w:eastAsia="Times New Roman" w:hAnsi="Times New Roman"/>
          <w:sz w:val="22"/>
          <w:szCs w:val="22"/>
          <w:color w:val="010000"/>
        </w:rPr>
      </w:pPr>
    </w:p>
    <w:p>
      <w:pPr>
        <w:jc w:val="both"/>
        <w:ind w:firstLine="1304"/>
        <w:spacing w:after="0" w:line="244" w:lineRule="auto"/>
        <w:tabs>
          <w:tab w:leader="none" w:pos="1765" w:val="left"/>
        </w:tabs>
        <w:numPr>
          <w:ilvl w:val="0"/>
          <w:numId w:val="2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Reliance by Agent, Fronting Banks and Banks</w:t>
      </w:r>
      <w:r>
        <w:rPr>
          <w:rFonts w:ascii="Times New Roman" w:cs="Times New Roman" w:eastAsia="Times New Roman" w:hAnsi="Times New Roman"/>
          <w:sz w:val="22"/>
          <w:szCs w:val="22"/>
          <w:color w:val="auto"/>
        </w:rPr>
        <w:t>. The Agent, the Arrangers, the Fronting Banks and the Banks shall be entitled to rely and act upon any notices (including telephonic or electronic notices, Completed Loan Requests, Letter of Credit Applications and notices of loan prepayment) purportedly given by or on behalf of the Borrower even if (i) such notices were not made in a manner specified herein, were incomplete or were not preceded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ectPr>
          <w:pgSz w:w="11900" w:h="16838" w:orient="portrait"/>
          <w:cols w:equalWidth="0" w:num="1">
            <w:col w:w="11240"/>
          </w:cols>
          <w:pgMar w:left="320" w:top="1287" w:right="339" w:bottom="1440" w:gutter="0" w:footer="0" w:header="0"/>
        </w:sectPr>
      </w:pPr>
    </w:p>
    <w:bookmarkStart w:id="285" w:name="page286"/>
    <w:bookmarkEnd w:id="285"/>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followed by any other form of notice specified herein, or (ii) the terms thereof, as understood by the recipient, varied from any confirmation thereof. The Borrower shall indemnify the Agent, the Arrangers, each Fronting Bank, each Bank and the Related Parties of each of them from all losses, costs, expenses and liabilities resulting from the good faith reliance by such Person on each notice purportedly given by or on behalf of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Borrower shall have no liability hereunder for any such indemnified party’s gross negligence or willful misconduct in connection therewith. All telephonic notices to and other telephonic communications with the Agent may be recorded by the Agent, and each of the parties hereto hereby consents to such recording.</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§22 </w:t>
      </w:r>
      <w:r>
        <w:rPr>
          <w:rFonts w:ascii="Times New Roman" w:cs="Times New Roman" w:eastAsia="Times New Roman" w:hAnsi="Times New Roman"/>
          <w:sz w:val="22"/>
          <w:szCs w:val="22"/>
          <w:u w:val="single" w:color="auto"/>
          <w:color w:val="000000"/>
        </w:rPr>
        <w:t>THIRD PARTY RELIANCE</w:t>
      </w:r>
      <w:r>
        <w:rPr>
          <w:rFonts w:ascii="Times New Roman" w:cs="Times New Roman" w:eastAsia="Times New Roman" w:hAnsi="Times New Roman"/>
          <w:sz w:val="22"/>
          <w:szCs w:val="22"/>
          <w:color w:val="000000"/>
        </w:rPr>
        <w:t>. Nothing in this Agreement, expressed or implied, shall be construed to confer upon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Person (other than the parties signatory hereto, Persons entitled to indemnification hereunder, Participants to the extent provided in §20.5 and, to the extent expressly contemplated hereby, Related Parties, and each of the respective successors and assigns of the foregoing) any legal or equitable right, remedy or claim under or by reason of this Agreement.</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§23 </w:t>
      </w:r>
      <w:r>
        <w:rPr>
          <w:rFonts w:ascii="Times New Roman" w:cs="Times New Roman" w:eastAsia="Times New Roman" w:hAnsi="Times New Roman"/>
          <w:sz w:val="22"/>
          <w:szCs w:val="22"/>
          <w:u w:val="single" w:color="auto"/>
          <w:color w:val="000000"/>
        </w:rPr>
        <w:t>GOVERNING LAW; CONSENT TO JURISDICTION AND SERVICE; WAIVER OF VENUE</w:t>
      </w:r>
      <w:r>
        <w:rPr>
          <w:rFonts w:ascii="Times New Roman" w:cs="Times New Roman" w:eastAsia="Times New Roman" w:hAnsi="Times New Roman"/>
          <w:sz w:val="22"/>
          <w:szCs w:val="22"/>
          <w:color w:val="000000"/>
        </w:rPr>
        <w:t>.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AND EACH OF THE OTHER LOAN DOCUMENTS, EXCEPT AS OTHERWISE SPECIFICALLY PROVIDED THEREIN, ARE CONTRACTS UNDER THE LAWS OF THE STATE OF NEW YORK AND THIS AGREEMENT AND THE OTHER LOAN DOCUMENTS AND ANY CLAIMS, CONTROVERSY, DISPUTE OR CAUSE OF ACTION (WHETHER IN CONTRACT OR TORT OR OTHERWISE) BASED UPON, ARISING OUT OF OR RELATING TO THIS AGREEMENT OR ANY OTHER LOAN DOCUMENT AND THE TRANSACTIONS CONTEMPLATED HEREBY AND THEREBY SHALL FOR ALL PURPOSES BE CONSTRUED IN ACCORDANCE WITH AND GOVERNED BY THE LAWS OF SUCH STATE (EXCLUDING THE LAWS APPLICABLE TO CONFLICTS OR CHOICE OF LAW OTHER THAN SECTIONS 5-1401 AND 5-1402 OF THE GENERAL OBLIGATIONS LAW OF THE STATE OF NEW YORK). EACH OF THE AGENT, THE BANKS, THE FRONTING BANKS, THE BORROWER AND BPI AGREES THAT IT WILL NOT COMMENCE ANY ACTION, LITIGATION OR PROCEEDING OF ANY KIND OR DESCRIPTION, WHETHER IN LAW OR EQUITY, WHETHER IN CONTRACT OR IN TORT OR OTHERWISE, AGAINST ANY OTHER PARTY HERETO OR ANY RELATED PARTY OF ANY PARTY HERETO IN ANY WAY RELATING TO THIS AGREEMENT OR ANY OTHER LOAN DOCUMENT OR THE TRANSACTIONS RELATING HERETO OR THERETO, IN ANY FORUM OTHER THAN THE COURTS OF THE STATE OF NEW YORK SITTING IN NEW YORK COUNTY OR THE UNITED STATES DISTRICT COURT OF THE SOUTHERN DISTRICT OF NEW YORK SITTING IN NEW YORK COUNTY, AND EACH OF THE AGENT, THE BANKS, THE FRONTING BANKS, THE BORROWER AND BPI AGREES THAT ANY SUIT FOR THE ENFORCEMENT OF THIS AGREEMENT OR ANY OF THE OTHER LOAN DOCUMENTS SHALL BE BROUGHT IN SUCH COURTS AND CONSENTS TO THE EXCLUSIVE JURISDICTION OF SUCH COURTS AND THE SERVICE OF PROCESS IN ANY SUCH SUIT BEING MADE UPON ANY SUCH PERSON IN THE MANNER PROVIDED FOR NOTICES IN §21. THE PARTIES HERETO HEREBY WAIVE ANY OBJECTION THAT ANY OF THEM MAY NOW OR HEREAFTER HAVE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ectPr>
          <w:pgSz w:w="11900" w:h="16838" w:orient="portrait"/>
          <w:cols w:equalWidth="0" w:num="1">
            <w:col w:w="11240"/>
          </w:cols>
          <w:pgMar w:left="320" w:top="1273" w:right="339" w:bottom="1440" w:gutter="0" w:footer="0" w:header="0"/>
        </w:sectPr>
      </w:pPr>
    </w:p>
    <w:bookmarkStart w:id="286" w:name="page287"/>
    <w:bookmarkEnd w:id="286"/>
    <w:p>
      <w:pPr>
        <w:jc w:val="both"/>
        <w:spacing w:after="0" w:line="284" w:lineRule="auto"/>
        <w:rPr>
          <w:sz w:val="20"/>
          <w:szCs w:val="20"/>
          <w:color w:val="auto"/>
        </w:rPr>
      </w:pPr>
      <w:r>
        <w:rPr>
          <w:rFonts w:ascii="Times New Roman" w:cs="Times New Roman" w:eastAsia="Times New Roman" w:hAnsi="Times New Roman"/>
          <w:sz w:val="22"/>
          <w:szCs w:val="22"/>
          <w:color w:val="auto"/>
        </w:rPr>
        <w:t>VENUE OF ANY SUCH SUIT OR ANY SUCH COURT OR THAT SUCH SUIT IS BROUGHT IN AN INCONVENIENT COURT.</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§24 </w:t>
      </w:r>
      <w:r>
        <w:rPr>
          <w:rFonts w:ascii="Times New Roman" w:cs="Times New Roman" w:eastAsia="Times New Roman" w:hAnsi="Times New Roman"/>
          <w:sz w:val="22"/>
          <w:szCs w:val="22"/>
          <w:u w:val="single" w:color="auto"/>
          <w:color w:val="000000"/>
        </w:rPr>
        <w:t>HEADINGS</w:t>
      </w:r>
      <w:r>
        <w:rPr>
          <w:rFonts w:ascii="Times New Roman" w:cs="Times New Roman" w:eastAsia="Times New Roman" w:hAnsi="Times New Roman"/>
          <w:sz w:val="22"/>
          <w:szCs w:val="22"/>
          <w:color w:val="000000"/>
        </w:rPr>
        <w:t>. The captions in this Agreement are for convenience of reference only and shall not define or limit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provisions hereof.</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§25 </w:t>
      </w:r>
      <w:r>
        <w:rPr>
          <w:rFonts w:ascii="Times New Roman" w:cs="Times New Roman" w:eastAsia="Times New Roman" w:hAnsi="Times New Roman"/>
          <w:sz w:val="22"/>
          <w:szCs w:val="22"/>
          <w:u w:val="single" w:color="auto"/>
          <w:color w:val="000000"/>
        </w:rPr>
        <w:t>INTEGRATION; EFFECTIVENESS</w:t>
      </w:r>
      <w:r>
        <w:rPr>
          <w:rFonts w:ascii="Times New Roman" w:cs="Times New Roman" w:eastAsia="Times New Roman" w:hAnsi="Times New Roman"/>
          <w:sz w:val="22"/>
          <w:szCs w:val="22"/>
          <w:color w:val="000000"/>
        </w:rPr>
        <w:t>. This Agreement, the other Loan Documents, and any separate letter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agreements with respect to fees payable to the Agent, any Arranger or any Fronting Bank, constitute the entire contract among the parties relating to the subject matter hereof and supersede any and all previous agreements and understandings, oral or written, relating to the subject matter hereof. Except as provided in §12, this Agreement shall become effective when it shall have been executed by the Agent and when the Agent shall have received counterparts hereof that, when taken together, bear the signatures of each of the other parties hereto and thereafter shall be binding upon and inure to the benefit of the parties hereto and their respective successors and assigns. Neither this Agreement nor any term hereof may be changed, waived, discharged or terminated, except as provided in §28.</w:t>
      </w:r>
    </w:p>
    <w:p>
      <w:pPr>
        <w:spacing w:after="0" w:line="19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§26 </w:t>
      </w: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b w:val="1"/>
          <w:bCs w:val="1"/>
          <w:color w:val="auto"/>
        </w:rPr>
        <w:t>. WITHOUT LIMITATION OF §25,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6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§27 </w:t>
      </w:r>
      <w:r>
        <w:rPr>
          <w:rFonts w:ascii="Times New Roman" w:cs="Times New Roman" w:eastAsia="Times New Roman" w:hAnsi="Times New Roman"/>
          <w:sz w:val="22"/>
          <w:szCs w:val="22"/>
          <w:u w:val="single" w:color="auto"/>
          <w:color w:val="000000"/>
        </w:rPr>
        <w:t>WAIVER OF JURY TRIAL AND CERTAIN DAMAGE CLAIMS</w:t>
      </w:r>
      <w:r>
        <w:rPr>
          <w:rFonts w:ascii="Times New Roman" w:cs="Times New Roman" w:eastAsia="Times New Roman" w:hAnsi="Times New Roman"/>
          <w:sz w:val="22"/>
          <w:szCs w:val="22"/>
          <w:color w:val="000000"/>
        </w:rPr>
        <w:t>. EXCEPT TO THE EXTENT EXPRESSLY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PROHIBITED BY LAW, THE BORROWER AND ITS SUBSIDIARIES HEREBY WAIVE THEIR RESPECTIVE RIGHTS TO A JURY TRIAL WITH RESPECT TO ANY ACTION OR CLAIM ARISING OUT OF ANY DISPUTE IN CONNECTION WITH THIS AGREEMENT, THE NOTES OR ANY OF THE OTHER LOAN DOCUMENTS, ANY RIGHTS OR OBLIGATIONS HEREUNDER OR THEREUNDER OR THE PERFORMANCE OF SUCH RIGHTS AND OBLIGATIONS. EXCEPT TO THE EXTENT EXPRESSLY PROHIBITED BY LAW, THE BORROWER AND ITS SUBSIDIARIES HEREBY WAIVE ANY RIGHT ANY OF THEM MAY HAVE TO CLAIM OR RECOVER IN ANY LITIGATION REFERRED TO IN THE PRECEDING SENTENCE (INCLUDING WITH RESPECT TO ALL INDEMNIFIED PARTIES) ANY SPECIAL, EXEMPLARY, PUNITIVE OR CONSEQUENTIAL DAMAGES OR ANY DAMAGES OTHER THAN, OR IN ADDITION TO, ACTUAL DAMAGES. EACH OF THE BORROWER AND ITS SUBSIDIARIES (A) CERTIFIES THAT NO REPRESENTATIVE, AGENT OR ATTORNEY OF ANY BANK, THE ARRANGERS, ANY FRONTING BANK OR THE AGENT HAS REPRESENTED, EXPRESSLY OR OTHERWISE, THAT SUCH BANK, THE ARRANGERS, SUCH FRONTING BANK OR THE AGENT WOULD NOT, IN THE EVENT OF LITIGATION, SEEK TO ENFORCE THE FOREGOING WAIVERS AND (B) ACKNOWLEDGES THAT THE AGENT, THE ARRANGERS, THE FRONTING BANKS AND THE BANKS HAVE BEEN INDUCED TO ENTER INTO THIS AGREEMENT AND THE OTHER LOAN DOCUMENTS TO WHICH THEY ARE PARTIES BY, AMONG OTHER THINGS, THE WAIVERS AND CERTIFICATIONS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ectPr>
          <w:pgSz w:w="11900" w:h="16838" w:orient="portrait"/>
          <w:cols w:equalWidth="0" w:num="1">
            <w:col w:w="11240"/>
          </w:cols>
          <w:pgMar w:left="320" w:top="1287" w:right="339" w:bottom="1440" w:gutter="0" w:footer="0" w:header="0"/>
        </w:sectPr>
      </w:pPr>
    </w:p>
    <w:bookmarkStart w:id="287" w:name="page288"/>
    <w:bookmarkEnd w:id="287"/>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§28 </w:t>
      </w:r>
      <w:r>
        <w:rPr>
          <w:rFonts w:ascii="Times New Roman" w:cs="Times New Roman" w:eastAsia="Times New Roman" w:hAnsi="Times New Roman"/>
          <w:sz w:val="22"/>
          <w:szCs w:val="22"/>
          <w:u w:val="single" w:color="auto"/>
          <w:color w:val="000000"/>
        </w:rPr>
        <w:t>CONSENTS, AMENDMENTS, WAIVERS, ETC</w:t>
      </w:r>
      <w:r>
        <w:rPr>
          <w:rFonts w:ascii="Times New Roman" w:cs="Times New Roman" w:eastAsia="Times New Roman" w:hAnsi="Times New Roman"/>
          <w:sz w:val="22"/>
          <w:szCs w:val="22"/>
          <w:color w:val="000000"/>
        </w:rPr>
        <w:t>. Subject to §1.4, §2.5(e), §5.4 and the last three paragraphs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this §28 and except as otherwise expressly provided in this Agreement, any consent or approval required or permitted by this Agreement may be given, and any term of this Agreement or of any of the other Loan Documents may be amended, and the performance or observance by the Borrower or BPI or any of their respective Subsidiaries of any terms of this Agreement or the other Loan Documents or the continuance of any Default or Event of Default may be waived (either generally or in a particular instance and either retroactively or prospectively) with, but only with, the written consent of the Required Banks (or such other number, group or percentage of the Banks as shall be expressly provided for herein or in the other Loan Documents) and the Borrower or BPI, as applicable,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no such consent, approval, amendment or waiver shall:</w:t>
      </w:r>
    </w:p>
    <w:p>
      <w:pPr>
        <w:spacing w:after="0" w:line="187" w:lineRule="exact"/>
        <w:rPr>
          <w:sz w:val="20"/>
          <w:szCs w:val="20"/>
          <w:color w:val="auto"/>
        </w:rPr>
      </w:pPr>
    </w:p>
    <w:p>
      <w:pPr>
        <w:ind w:left="1760" w:hanging="456"/>
        <w:spacing w:after="0"/>
        <w:tabs>
          <w:tab w:leader="none" w:pos="1760" w:val="left"/>
        </w:tabs>
        <w:numPr>
          <w:ilvl w:val="0"/>
          <w:numId w:val="2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waive any condition set forth in §12 without Unanimous Bank Approval;</w:t>
      </w:r>
    </w:p>
    <w:p>
      <w:pPr>
        <w:spacing w:after="0" w:line="219"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764" w:val="left"/>
        </w:tabs>
        <w:numPr>
          <w:ilvl w:val="0"/>
          <w:numId w:val="2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without limiting the generality of clause (a) above, waive any condition set forth in §13 as to any Loan under one of the Facilities without the written consent of the Required Revolving Credit Banks or the Required Term Banks, as the case may be;</w:t>
      </w:r>
    </w:p>
    <w:p>
      <w:pPr>
        <w:spacing w:after="0" w:line="186" w:lineRule="exact"/>
        <w:rPr>
          <w:rFonts w:ascii="Times New Roman" w:cs="Times New Roman" w:eastAsia="Times New Roman" w:hAnsi="Times New Roman"/>
          <w:sz w:val="22"/>
          <w:szCs w:val="22"/>
          <w:color w:val="010000"/>
        </w:rPr>
      </w:pPr>
    </w:p>
    <w:p>
      <w:pPr>
        <w:ind w:right="20" w:firstLine="1304"/>
        <w:spacing w:after="0" w:line="271" w:lineRule="auto"/>
        <w:tabs>
          <w:tab w:leader="none" w:pos="1752" w:val="left"/>
        </w:tabs>
        <w:numPr>
          <w:ilvl w:val="0"/>
          <w:numId w:val="2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extend or increase the Commitment of any Bank (or reinstate any Commitment terminated pursuant to §14.2) without the written consent of such Bank;</w:t>
      </w:r>
    </w:p>
    <w:p>
      <w:pPr>
        <w:spacing w:after="0" w:line="157"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885" w:val="left"/>
        </w:tabs>
        <w:numPr>
          <w:ilvl w:val="0"/>
          <w:numId w:val="2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postpone any date fixed by this Agreement or any other Loan Document for any payment of principal, interest, fees or other amounts due to the Banks (or any of them) hereunder or under any other Loan Document or extend the expiration date of any Letter of Credit to a date later than the Letter of Credit Expiration Date without the written consent of each Bank directly affected thereby;</w:t>
      </w:r>
    </w:p>
    <w:p>
      <w:pPr>
        <w:spacing w:after="0" w:line="176"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765" w:val="left"/>
        </w:tabs>
        <w:numPr>
          <w:ilvl w:val="0"/>
          <w:numId w:val="2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reduce the principal of, or the rate of interest specified herein on, any Loan or Reimbursement Obligation, or (subject to clause (iv) of the second proviso to this §28 relating to amendments to the Fee Letter) any fees or other amounts payable hereunder or under any other Loan Document, without the written consent of each Bank directly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only the consent of (i) the Required Banks shall be necessary (x) to amend the definition of “Default Rate” or to waive any obligation of the Borrower to pay interest at the Default Rate or (y) to amend any financial covenant hereunder (or any defined term used therein) even if the effect of such amendment would be to reduce the rate of interest on any Loan or Reimbursement Obligation or to reduce any fee payable hereunder and (ii) the Required Revolving Credit Banks shall be necessary to waive any obligation of the Borrower to pay Letter of Credit Fees at the Default Rate;</w:t>
      </w:r>
    </w:p>
    <w:p>
      <w:pPr>
        <w:spacing w:after="0" w:line="181"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782" w:val="left"/>
        </w:tabs>
        <w:numPr>
          <w:ilvl w:val="0"/>
          <w:numId w:val="2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change §5.1.7 or §14.3 or any other provision hereof in a manner that would have the effect of altering the ratable reduction of Commitments or the pro rata sharing of payments otherwise required hereunder without the written consent of each Bank;</w:t>
      </w:r>
    </w:p>
    <w:p>
      <w:pPr>
        <w:spacing w:after="0" w:line="167"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2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amend §1.4 or the definition of “Alternative Currency” without the written consent of each Revolving Credit</w:t>
      </w:r>
    </w:p>
    <w:p>
      <w:pPr>
        <w:spacing w:after="0" w:line="39"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ectPr>
          <w:pgSz w:w="11900" w:h="16838" w:orient="portrait"/>
          <w:cols w:equalWidth="0" w:num="1">
            <w:col w:w="11240"/>
          </w:cols>
          <w:pgMar w:left="320" w:top="1287" w:right="339" w:bottom="1440" w:gutter="0" w:footer="0" w:header="0"/>
        </w:sectPr>
      </w:pPr>
    </w:p>
    <w:bookmarkStart w:id="288" w:name="page289"/>
    <w:bookmarkEnd w:id="288"/>
    <w:p>
      <w:pPr>
        <w:ind w:right="20" w:firstLine="1304"/>
        <w:spacing w:after="0" w:line="284" w:lineRule="auto"/>
        <w:tabs>
          <w:tab w:leader="none" w:pos="1764" w:val="left"/>
        </w:tabs>
        <w:numPr>
          <w:ilvl w:val="0"/>
          <w:numId w:val="2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subordinate, or have the effect of subordinating, the Obligations hereunder to any other Indebtedness or other obligation without the written consent of each Bank;</w:t>
      </w:r>
    </w:p>
    <w:p>
      <w:pPr>
        <w:spacing w:after="0" w:line="143"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756" w:val="left"/>
        </w:tabs>
        <w:numPr>
          <w:ilvl w:val="0"/>
          <w:numId w:val="2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change (i) any provision of this §28 or the definition of “Required Banks” or “Unanimous Bank Approval”, without Unanimous Bank Approval, (ii) the definition of “Required Revolving Credit Banks” without the written consent of each Revolving Credit Bank, (iii) the definition of “Required Term Banks” without the written consent of each Term Bank or (iv) any other provision hereof specifying the number or percentage of Banks required to amend, waive or otherwise modify any rights hereunder or make any determination or grant any consent hereunder without the written consent of each Bank directly affected thereby; or</w:t>
      </w:r>
    </w:p>
    <w:p>
      <w:pPr>
        <w:spacing w:after="0" w:line="181"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891" w:val="left"/>
        </w:tabs>
        <w:numPr>
          <w:ilvl w:val="0"/>
          <w:numId w:val="2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 modify or waive any provision of any Loan Document in a manner that imposes any greater restriction on the ability of any Bank under one of the Facilities to assign any of its rights or obligations hereunder without the written consent of (i) if an Incremental Term Facility, each Term Bank thereunder and (ii) if the Total Revolving Credit Commitments, each Revolving Credit Bank;</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 no amendment, waiver or consent shall, unless in writing and signed by a Fronting Bank in addition to the Banks required above, affect the rights or duties of such Fronting Bank under this Agreement or any Issuer Document relating to any Letter of Credit issued or to be issued by it; (ii) no amendment, waiver or consent shall, unless in writing and signed by the Agent in addition to the Banks required above, (x) affect the rights or duties of the Agent under this Agreement or any other Loan Document or (y) amend, modify, change or waive, or consent to any departure from, or have the effect of amending, modifying, changing or waiving, or consenting to any departure from, §5.4, any term defined in such section, any term defined in any other section or provision of this Agreement relating to SOFR, Daily Simple SOFR, Term SOFR, any Alternative Currency Daily Rate, any Alternative Currency Term Rate, any Relevant Rate, the Canadian Benchmark, the Canadian Benchmark Replacement or any other Successor Rate, or any term or provision relating to the replacement of any such rate or Successor Rate; and (iii) the Fee Letter may be amended, or rights or privileges thereunder waived, in a writing executed only by the parties thereto. Notwithstanding anything to the contrary herein, no Delinquent Bank shall have any right to approve or disapprove any amendment, waiver or consent hereunder (and any amendment, waiver or consent which by its terms requires Unanimous Bank Approval or approval of each affected Bank may be effected with the consent of the applicable Banks other than Delinquent Banks), except that (x) the Commitment of any Delinquent Bank may not be increased or extended or the maturity of any of its Loans may not be extended, the rate of interest on any of its Loans may not be reduced and the principal amount of any of its Loans may not be forgiven, in each case, without the consent of such Delinquent Bank and (y) any waiver, amendment, consent or modification requiring Unanimous Bank Approval or approval of each affected Bank that by its terms affects any Delinquent Bank disproportionately adversely relative to other affected Banks shall require the consent of such Delinquent Bank.</w:t>
      </w:r>
    </w:p>
    <w:p>
      <w:pPr>
        <w:spacing w:after="0" w:line="1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No waiver shall extend to or affect any obligation not expressly waived or impair any right consequent thereon. No course of dealing or delay or omission on the part of the Agent or the Banks or any Bank in exercising any right shall operate as a waiver thereof or otherwise be prejudicial to such right or any other rights of the Agent or the Banks. No notice to or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ectPr>
          <w:pgSz w:w="11900" w:h="16838" w:orient="portrait"/>
          <w:cols w:equalWidth="0" w:num="1">
            <w:col w:w="11240"/>
          </w:cols>
          <w:pgMar w:left="320" w:top="1287"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22"/>
          <w:szCs w:val="22"/>
          <w:color w:val="auto"/>
        </w:rPr>
        <w:t>upon the Borrower shall entitle the Borrower to other or further notice or demand in similar or other circumstances.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Without limitation of the provisions requiring Unanimous Bank Approval or the consent of the Required Banks, no amendment or modification to or waiver of the provisions of §2.9 may be made without the prior written consent of those Banks holding more than 50% of the outstanding Bid Rate Advances at the applicable time of reference.</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 xml:space="preserve">If any Bank does not consent to a proposed amendment, waiver, consent or release with respect to any Loan Document that requires Unanimous Bank Approval, or requires the consent of the Required Revolving Credit Banks, Required Term Banks or the Banks (including such Non-Consenting Bank) directly affected by such proposed amendment, waiver, consent or release, and such amendment, waiver, consent or release has been approved by the Required Banks, Required Revolving Credit Banks, Required Term Banks or, as applicable, by all of the Banks, other than such Non-Consenting Bank, who would be directly affected by such amendment, waiver, consent or release, the Borrower may replace such Non-Consenting Bank in accordance with §5.8,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amendment, waiver, consent or release can be effected as a result of the assignment contemplated by such Section (together with all other such assignments required by the Borrower to be made pursuant to this paragraph). Any action that is permitted to be taken or not taken with the consent or at the request of the Required Banks, Required Revolving Credit Banks or Required Term Banks hereunder that is so taken or not taken shall be binding upon all of the Banks, the Revolving Credit Banks or the Term Banks of the applicable Incremental Term Loan Facility, as the case may be.</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Notwithstanding the foregoing, the waiver of any fee payable to the Agent shall require only the consent of the Agent.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Notwithstanding any provision herein to the contrary, the Agent, with the consent of the Borrower, may amend, modify or supplement any Loan Document without the consent of any Bank in order to correct, amend or cure any ambiguity, inconsistency or defect or correct any typographical error or other manifest error in any Loan Document so long as such amendment, modification or supplement does not impose additional obligations on, or otherwise affect in any material respect the interests of, any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Agent shall promptly give the Banks notice of any such amendment, modification or supplement.</w:t>
      </w:r>
    </w:p>
    <w:p>
      <w:pPr>
        <w:spacing w:after="0" w:line="17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Notwithstanding anything to the contrary herein, this Agreement may be amended and restated without the consent of any Bank (but with the consent of the Borrower and the Agent) if, upon giving effect to such amendment and restatement, such Bank shall no longer be a party to this Agreement (as so amended and restated), the Commitments of such Bank shall have terminated, such Bank shall have no other commitment or other obligation hereunder and shall have been paid in full all principal, interest and other amounts owing to it or accrued for its account under this Agreement.</w:t>
      </w:r>
    </w:p>
    <w:p>
      <w:pPr>
        <w:spacing w:after="0" w:line="17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§29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The provisions of this Agreement are severable, and if any one clause or provision hereof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161</w:t>
      </w:r>
    </w:p>
    <w:p>
      <w:pPr>
        <w:sectPr>
          <w:pgSz w:w="11900" w:h="16838" w:orient="portrait"/>
          <w:cols w:equalWidth="0" w:num="1">
            <w:col w:w="11240"/>
          </w:cols>
          <w:pgMar w:left="320" w:top="1287" w:right="339" w:bottom="1440" w:gutter="0" w:footer="0" w:header="0"/>
        </w:sectPr>
      </w:pPr>
    </w:p>
    <w:bookmarkStart w:id="290" w:name="page291"/>
    <w:bookmarkEnd w:id="290"/>
    <w:p>
      <w:pPr>
        <w:jc w:val="both"/>
        <w:spacing w:after="0" w:line="247" w:lineRule="auto"/>
        <w:rPr>
          <w:sz w:val="20"/>
          <w:szCs w:val="20"/>
          <w:color w:val="auto"/>
        </w:rPr>
      </w:pPr>
      <w:r>
        <w:rPr>
          <w:rFonts w:ascii="Times New Roman" w:cs="Times New Roman" w:eastAsia="Times New Roman" w:hAnsi="Times New Roman"/>
          <w:sz w:val="22"/>
          <w:szCs w:val="22"/>
          <w:color w:val="auto"/>
        </w:rPr>
        <w:t>the parties shall endeavor in good faith negotiations to replace the invalid or unenforceable provisions with valid provisions the economic effect of which comes as close as possible to that of the invalid or unenforceable provisions. Without limiting the foregoing provisions of this §29, if and to the extent that the enforceability of any provisions in this Agreement relating to Delinquent Banks shall be limited by Debtor Relief Laws, as determined in good faith by the Agent or any Fronting Bank, as applicable, then such provisions shall be deemed to be in effect only to the extent not so limited.</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1"/>
          <w:szCs w:val="21"/>
          <w:color w:val="010000"/>
        </w:rPr>
        <w:t xml:space="preserve">§30 </w:t>
      </w:r>
      <w:r>
        <w:rPr>
          <w:rFonts w:ascii="Times New Roman" w:cs="Times New Roman" w:eastAsia="Times New Roman" w:hAnsi="Times New Roman"/>
          <w:sz w:val="21"/>
          <w:szCs w:val="21"/>
          <w:u w:val="single" w:color="auto"/>
          <w:color w:val="000000"/>
        </w:rPr>
        <w:t>INTEREST RATE LIMITATION</w:t>
      </w:r>
      <w:r>
        <w:rPr>
          <w:rFonts w:ascii="Times New Roman" w:cs="Times New Roman" w:eastAsia="Times New Roman" w:hAnsi="Times New Roman"/>
          <w:sz w:val="21"/>
          <w:szCs w:val="21"/>
          <w:color w:val="000000"/>
        </w:rPr>
        <w:t>. Notwithstanding anything herein to the contrary, if at any time the interest rate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applicable to any Loan, together with all fees, charges and other amounts which are treated as interest on such Loan under applicable law (collectively, the “</w:t>
      </w:r>
      <w:r>
        <w:rPr>
          <w:rFonts w:ascii="Times New Roman" w:cs="Times New Roman" w:eastAsia="Times New Roman" w:hAnsi="Times New Roman"/>
          <w:sz w:val="21"/>
          <w:szCs w:val="21"/>
          <w:u w:val="single" w:color="auto"/>
          <w:color w:val="000000"/>
        </w:rPr>
        <w:t>Charges</w:t>
      </w:r>
      <w:r>
        <w:rPr>
          <w:rFonts w:ascii="Times New Roman" w:cs="Times New Roman" w:eastAsia="Times New Roman" w:hAnsi="Times New Roman"/>
          <w:sz w:val="21"/>
          <w:szCs w:val="21"/>
          <w:color w:val="000000"/>
        </w:rPr>
        <w:t>”), shall exceed the maximum lawful rate (the “</w:t>
      </w:r>
      <w:r>
        <w:rPr>
          <w:rFonts w:ascii="Times New Roman" w:cs="Times New Roman" w:eastAsia="Times New Roman" w:hAnsi="Times New Roman"/>
          <w:sz w:val="21"/>
          <w:szCs w:val="21"/>
          <w:u w:val="single" w:color="auto"/>
          <w:color w:val="000000"/>
        </w:rPr>
        <w:t>Maximum Rate</w:t>
      </w:r>
      <w:r>
        <w:rPr>
          <w:rFonts w:ascii="Times New Roman" w:cs="Times New Roman" w:eastAsia="Times New Roman" w:hAnsi="Times New Roman"/>
          <w:sz w:val="21"/>
          <w:szCs w:val="21"/>
          <w:color w:val="000000"/>
        </w:rPr>
        <w:t>”) which may be contracted for, charged, taken, received or reserved by the Bank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§30 shall be cumulated and the interest and Charges payable to such Bank in respect of other Loans or periods shall be increased (but not above the Maximum Rate therefor) until such cumulated amount, together with interest thereon at the Federal Funds Rate to the date of repayment, shall have been received by such Bank.</w:t>
      </w:r>
    </w:p>
    <w:p>
      <w:pPr>
        <w:spacing w:after="0" w:line="18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010000"/>
        </w:rPr>
        <w:t>§31</w:t>
      </w:r>
      <w:r>
        <w:rPr>
          <w:sz w:val="20"/>
          <w:szCs w:val="20"/>
          <w:color w:val="auto"/>
        </w:rPr>
        <w:tab/>
      </w:r>
      <w:r>
        <w:rPr>
          <w:rFonts w:ascii="Times New Roman" w:cs="Times New Roman" w:eastAsia="Times New Roman" w:hAnsi="Times New Roman"/>
          <w:sz w:val="21"/>
          <w:szCs w:val="21"/>
          <w:u w:val="single" w:color="auto"/>
          <w:color w:val="auto"/>
        </w:rPr>
        <w:t>USA PATRIOT ACT, ETC. NOTICE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779" w:val="left"/>
        </w:tabs>
        <w:numPr>
          <w:ilvl w:val="0"/>
          <w:numId w:val="2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Bank that is subject to any of the Acts (as hereinafter defined), the Arrangers and the Agent (for itself and not on behalf of any Bank) hereby notifies the Borrower that pursuant to the requirements of the USA Patriot Act and other applicable federal or other laws with respect to the verification of customer identities (collectively, the “</w:t>
      </w:r>
      <w:r>
        <w:rPr>
          <w:rFonts w:ascii="Times New Roman" w:cs="Times New Roman" w:eastAsia="Times New Roman" w:hAnsi="Times New Roman"/>
          <w:sz w:val="22"/>
          <w:szCs w:val="22"/>
          <w:u w:val="single" w:color="auto"/>
          <w:color w:val="auto"/>
        </w:rPr>
        <w:t>Acts</w:t>
      </w:r>
      <w:r>
        <w:rPr>
          <w:rFonts w:ascii="Times New Roman" w:cs="Times New Roman" w:eastAsia="Times New Roman" w:hAnsi="Times New Roman"/>
          <w:sz w:val="22"/>
          <w:szCs w:val="22"/>
          <w:color w:val="auto"/>
        </w:rPr>
        <w:t>”), it is required to obtain, verify and record information that identifies the Borrower, which information includes the name and address of the Borrower and other information that will allow such Bank, the Arrangers or the Agent, as applicable, to identify the Borrower in accordance with the Acts. The Borrower shall, promptly following a request by the Agent or any Bank, provide all documentation and other information that the Agent or such Bank reasonably and customarily requests in order to comply with its ongoing obligations under applicable “know your customer” and anti-money laundering rules and regulations, including the Acts.</w:t>
      </w:r>
    </w:p>
    <w:p>
      <w:pPr>
        <w:spacing w:after="0" w:line="179"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777" w:val="left"/>
        </w:tabs>
        <w:numPr>
          <w:ilvl w:val="0"/>
          <w:numId w:val="2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order for the Agent to comply with the USA Patriot Act, prior to any Bank or Participant that is organized under the laws of a jurisdiction outside of the United States of America becoming a party hereto, the Agent may request, and such Bank or Participant shall provide to the Agent, its name, address, tax identification number and/or such other identification information as shall be necessary for the Agent to comply with federal law.</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010000"/>
        </w:rPr>
        <w:t xml:space="preserve">§32 </w:t>
      </w:r>
      <w:r>
        <w:rPr>
          <w:rFonts w:ascii="Times New Roman" w:cs="Times New Roman" w:eastAsia="Times New Roman" w:hAnsi="Times New Roman"/>
          <w:sz w:val="22"/>
          <w:szCs w:val="22"/>
          <w:u w:val="single" w:color="auto"/>
          <w:color w:val="000000"/>
        </w:rPr>
        <w:t>SURVIVAL OF REPRESENTATIONS AND WARRANTIES</w:t>
      </w:r>
      <w:r>
        <w:rPr>
          <w:rFonts w:ascii="Times New Roman" w:cs="Times New Roman" w:eastAsia="Times New Roman" w:hAnsi="Times New Roman"/>
          <w:sz w:val="22"/>
          <w:szCs w:val="22"/>
          <w:color w:val="000000"/>
        </w:rPr>
        <w:t>. All representations and warranties made hereunder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in any other Loan Document or other document delivered pursuant hereto or thereto or in connection herewith or therewith shall survive the execution and delivery hereof and thereof. Such representations and warranties have been or will be relied upon by the Agent and each Bank, regardless of any investigation made by the Agent or any Bank or on their behalf and notwithstanding that the Agent or any Bank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ectPr>
          <w:pgSz w:w="11900" w:h="16838" w:orient="portrait"/>
          <w:cols w:equalWidth="0" w:num="1">
            <w:col w:w="11240"/>
          </w:cols>
          <w:pgMar w:left="320" w:top="1273" w:right="339" w:bottom="1440" w:gutter="0" w:footer="0" w:header="0"/>
        </w:sectPr>
      </w:pPr>
    </w:p>
    <w:bookmarkStart w:id="291" w:name="page292"/>
    <w:bookmarkEnd w:id="291"/>
    <w:p>
      <w:pPr>
        <w:jc w:val="both"/>
        <w:spacing w:after="0" w:line="250" w:lineRule="auto"/>
        <w:rPr>
          <w:sz w:val="20"/>
          <w:szCs w:val="20"/>
          <w:color w:val="auto"/>
        </w:rPr>
      </w:pPr>
      <w:r>
        <w:rPr>
          <w:rFonts w:ascii="Times New Roman" w:cs="Times New Roman" w:eastAsia="Times New Roman" w:hAnsi="Times New Roman"/>
          <w:sz w:val="22"/>
          <w:szCs w:val="22"/>
          <w:color w:val="auto"/>
        </w:rPr>
        <w:t>had notice or knowledge of any Default or Event of Default at the time of the making of any Loan or issuance of any Letter of Credit, and shall continue in full force and effect as long as any Loan or any other Obligation hereunder shall remain unpaid or unsatisfied or any Letter of Credit shall remain outstanding.</w:t>
      </w:r>
    </w:p>
    <w:p>
      <w:pPr>
        <w:spacing w:after="0" w:line="18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010000"/>
        </w:rPr>
        <w:t xml:space="preserve">§33 </w:t>
      </w:r>
      <w:r>
        <w:rPr>
          <w:rFonts w:ascii="Times New Roman" w:cs="Times New Roman" w:eastAsia="Times New Roman" w:hAnsi="Times New Roman"/>
          <w:sz w:val="22"/>
          <w:szCs w:val="22"/>
          <w:u w:val="single" w:color="auto"/>
          <w:color w:val="000000"/>
        </w:rPr>
        <w:t>JUDGMENT CURRENCY</w:t>
      </w:r>
      <w:r>
        <w:rPr>
          <w:rFonts w:ascii="Times New Roman" w:cs="Times New Roman" w:eastAsia="Times New Roman" w:hAnsi="Times New Roman"/>
          <w:sz w:val="22"/>
          <w:szCs w:val="22"/>
          <w:color w:val="000000"/>
        </w:rPr>
        <w:t>. If, for the purposes of obtaining judgment in any court, it is necessary to convert a sum</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due hereunder or under any other Loan Document in one currency into another currency, the rate of exchange used shall be that at which in accordance with normal banking procedures the Agent could purchase the first currency with such other currency on the Business Day preceding that on which final judgment is given. The obligation of the Borrower in respect of any such sum due from it to the Agent or any Bank hereunder or under the other Loan Documents shall, notwithstanding any judgment in a currency (the “</w:t>
      </w:r>
      <w:r>
        <w:rPr>
          <w:rFonts w:ascii="Times New Roman" w:cs="Times New Roman" w:eastAsia="Times New Roman" w:hAnsi="Times New Roman"/>
          <w:sz w:val="22"/>
          <w:szCs w:val="22"/>
          <w:u w:val="single" w:color="auto"/>
          <w:color w:val="000000"/>
        </w:rPr>
        <w:t>Judgment Currency</w:t>
      </w:r>
      <w:r>
        <w:rPr>
          <w:rFonts w:ascii="Times New Roman" w:cs="Times New Roman" w:eastAsia="Times New Roman" w:hAnsi="Times New Roman"/>
          <w:sz w:val="22"/>
          <w:szCs w:val="22"/>
          <w:color w:val="000000"/>
        </w:rPr>
        <w:t>”) other than that in which such sum is denominated in accordance with the applicable provisions of this Agreement (the “</w:t>
      </w:r>
      <w:r>
        <w:rPr>
          <w:rFonts w:ascii="Times New Roman" w:cs="Times New Roman" w:eastAsia="Times New Roman" w:hAnsi="Times New Roman"/>
          <w:sz w:val="22"/>
          <w:szCs w:val="22"/>
          <w:u w:val="single" w:color="auto"/>
          <w:color w:val="000000"/>
        </w:rPr>
        <w:t>Agreement Currency</w:t>
      </w:r>
      <w:r>
        <w:rPr>
          <w:rFonts w:ascii="Times New Roman" w:cs="Times New Roman" w:eastAsia="Times New Roman" w:hAnsi="Times New Roman"/>
          <w:sz w:val="22"/>
          <w:szCs w:val="22"/>
          <w:color w:val="000000"/>
        </w:rPr>
        <w:t>”), be discharged only to the extent that on the Business Day following receipt by the Agent or such Bank, as the case may be, of any sum adjudged to be so due in the Judgment Currency, the Agent or such Bank, as the case may be, may in accordance with normal banking procedures purchase the Agreement Currency with the Judgment Currency. If the amount of the Agreement Currency so purchased is less than the sum originally due to the Agent or any Bank from the Borrower in the Agreement Currency, the Borrower agrees, as a separate obligation and notwithstanding any such judgment, to indemnify the Agent or such Bank, as the case may be, against such loss. If the amount of the Agreement Currency so purchased is greater than the sum originally due to the Agent or any Bank in such currency, the Agent or such Bank, as the case may be, agrees to return the amount of any excess to the Borrower (or to any other Person who may be entitled thereto under applicable law).</w:t>
      </w:r>
    </w:p>
    <w:p>
      <w:pPr>
        <w:spacing w:after="0" w:line="19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010000"/>
        </w:rPr>
        <w:t xml:space="preserve">§34 </w:t>
      </w:r>
      <w:r>
        <w:rPr>
          <w:rFonts w:ascii="Times New Roman" w:cs="Times New Roman" w:eastAsia="Times New Roman" w:hAnsi="Times New Roman"/>
          <w:sz w:val="22"/>
          <w:szCs w:val="22"/>
          <w:u w:val="single" w:color="auto"/>
          <w:color w:val="000000"/>
        </w:rPr>
        <w:t>EXISTING CREDIT AGREEMENT AMENDED AND RESTATED</w:t>
      </w:r>
      <w:r>
        <w:rPr>
          <w:rFonts w:ascii="Times New Roman" w:cs="Times New Roman" w:eastAsia="Times New Roman" w:hAnsi="Times New Roman"/>
          <w:sz w:val="22"/>
          <w:szCs w:val="22"/>
          <w:color w:val="000000"/>
        </w:rPr>
        <w:t>. (a) On the Closing Date, this Agreement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shall amend and restate the Existing Credit Agreement in its entirety but, for the avoidance of doubt, shall not constitute a novation of the parties’ rights and obligations thereunder. On the Closing Date, the rights and obligations of the parties hereto evidenced by the Existing Credit Agreement shall be evidenced by this Agreement and the other Loan Documents, the “Loans” as defined in the Existing Credit Agreement shall remain outstanding and be continued as, and converted to, Loans as defined herein and the Existing Letters of Credit issued by the Fronting Bank (as defined in the Existing Credit Agreement) for the account of the Borrower prior to the Closing Date shall remain issued and outstanding and shall be deemed to be Letters of Credit under this Agreement, and shall bear interest and be subject to such other fees as set forth in this Agreement;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for the avoidance of doubt, any lender party to the Existing Credit Agreement that is not a Bank hereunder has no Commitment hereunder and is not a party to this Agreement and its Commitment under (and as defined in) the Existing Credit Agreement will be terminated. All interest and fees and expenses, if any, owing or accruing under or in respect of the Existing Credit Agreement through the Closing Date (including any Breakage Costs, as defined therein) shall be calculated as of the Closing Date (pro-rated in the case of any fractional periods), and shall be paid on the Closing Date).</w:t>
      </w:r>
    </w:p>
    <w:p>
      <w:pPr>
        <w:spacing w:after="0" w:line="181" w:lineRule="exact"/>
        <w:rPr>
          <w:sz w:val="20"/>
          <w:szCs w:val="20"/>
          <w:color w:val="auto"/>
        </w:rPr>
      </w:pPr>
    </w:p>
    <w:p>
      <w:pPr>
        <w:jc w:val="both"/>
        <w:ind w:firstLine="1304"/>
        <w:spacing w:after="0" w:line="268" w:lineRule="auto"/>
        <w:tabs>
          <w:tab w:leader="none" w:pos="1804" w:val="left"/>
        </w:tabs>
        <w:numPr>
          <w:ilvl w:val="0"/>
          <w:numId w:val="2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On the Closing Date, each Original Note, if any, held by each Bank shall be deemed to be cancelled and, if such Bank has requested a Revolving Credit Note or Bid Rate Note hereunder, amended and restated by the corresponding Note delivered hereunder on or about the Closing Date (regardless of whether any Bank shall have delivered to the Borrower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163</w:t>
      </w:r>
    </w:p>
    <w:p>
      <w:pPr>
        <w:sectPr>
          <w:pgSz w:w="11900" w:h="16838" w:orient="portrait"/>
          <w:cols w:equalWidth="0" w:num="1">
            <w:col w:w="11240"/>
          </w:cols>
          <w:pgMar w:left="320" w:top="1273" w:right="339" w:bottom="1440" w:gutter="0" w:footer="0" w:header="0"/>
        </w:sectPr>
      </w:pPr>
    </w:p>
    <w:bookmarkStart w:id="292" w:name="page293"/>
    <w:bookmarkEnd w:id="292"/>
    <w:p>
      <w:pPr>
        <w:jc w:val="both"/>
        <w:spacing w:after="0" w:line="241" w:lineRule="auto"/>
        <w:rPr>
          <w:sz w:val="20"/>
          <w:szCs w:val="20"/>
          <w:color w:val="auto"/>
        </w:rPr>
      </w:pPr>
      <w:r>
        <w:rPr>
          <w:rFonts w:ascii="Times New Roman" w:cs="Times New Roman" w:eastAsia="Times New Roman" w:hAnsi="Times New Roman"/>
          <w:sz w:val="22"/>
          <w:szCs w:val="22"/>
          <w:color w:val="auto"/>
        </w:rPr>
        <w:t>cancellation any Original Note issued to it pursuant to the Existing Credit Agreement). Each Bank, whether or not requesting a Note hereunder, shall use its commercially reasonable efforts to deliver the Original Notes held by it to the Borrower for cancellation and/or amendment and restatement. All amounts owing under, and evidenced by, the Original Notes as of the Closing Date shall continue to be outstanding hereunder, and shall from and after the Closing Date, if requested by the Bank holding such Original Note, be evidenced by the corresponding Note issued hereunder, and shall in any event be evidenced by, and governed by the terms of, this Agreement. Each Bank hereby agrees to indemnify and hold harmless the Borrower from and against any and all liabilities, losses, damages, actions or claims that may be imposed on, incurred by or asserted against the Borrower arising out of such Bank’s failure to deliver the Original Notes held by it to the Borrower for cancellation, subject to the condition that the Borrower shall not make any payment to any Person claiming to be the holder of such Original Note unless such Bank is first notified of such claim and is given the opportunity, at such Bank’s sole cost and expense, to assert any defenses to such payment.</w:t>
      </w:r>
    </w:p>
    <w:p>
      <w:pPr>
        <w:spacing w:after="0" w:line="17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010000"/>
        </w:rPr>
        <w:t xml:space="preserve">§35 </w:t>
      </w:r>
      <w:r>
        <w:rPr>
          <w:rFonts w:ascii="Times New Roman" w:cs="Times New Roman" w:eastAsia="Times New Roman" w:hAnsi="Times New Roman"/>
          <w:sz w:val="22"/>
          <w:szCs w:val="22"/>
          <w:u w:val="single" w:color="auto"/>
          <w:color w:val="000000"/>
        </w:rPr>
        <w:t>NO ADVISORY OR FIDUCIARY RESPONSIBILITY</w:t>
      </w:r>
      <w:r>
        <w:rPr>
          <w:rFonts w:ascii="Times New Roman" w:cs="Times New Roman" w:eastAsia="Times New Roman" w:hAnsi="Times New Roman"/>
          <w:sz w:val="22"/>
          <w:szCs w:val="22"/>
          <w:color w:val="000000"/>
        </w:rPr>
        <w:t>. In connection with all aspects of each transaction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Agent</w:t>
      </w:r>
      <w:r>
        <w:rPr>
          <w:rFonts w:ascii="Times New Roman" w:cs="Times New Roman" w:eastAsia="Times New Roman" w:hAnsi="Times New Roman"/>
          <w:sz w:val="22"/>
          <w:szCs w:val="22"/>
          <w:b w:val="1"/>
          <w:bCs w:val="1"/>
          <w:color w:val="000000"/>
        </w:rPr>
        <w:t>,</w:t>
      </w:r>
      <w:r>
        <w:rPr>
          <w:rFonts w:ascii="Times New Roman" w:cs="Times New Roman" w:eastAsia="Times New Roman" w:hAnsi="Times New Roman"/>
          <w:sz w:val="22"/>
          <w:szCs w:val="22"/>
          <w:color w:val="000000"/>
        </w:rPr>
        <w:t xml:space="preserve"> the Arrangers, and the Banks are arm’s-length commercial transactions between the Borrower and its Affiliates, on the one hand, and the Agent</w:t>
      </w:r>
      <w:r>
        <w:rPr>
          <w:rFonts w:ascii="Times New Roman" w:cs="Times New Roman" w:eastAsia="Times New Roman" w:hAnsi="Times New Roman"/>
          <w:sz w:val="22"/>
          <w:szCs w:val="22"/>
          <w:b w:val="1"/>
          <w:bCs w:val="1"/>
          <w:color w:val="000000"/>
        </w:rPr>
        <w:t>,</w:t>
      </w:r>
      <w:r>
        <w:rPr>
          <w:rFonts w:ascii="Times New Roman" w:cs="Times New Roman" w:eastAsia="Times New Roman" w:hAnsi="Times New Roman"/>
          <w:sz w:val="22"/>
          <w:szCs w:val="22"/>
          <w:color w:val="000000"/>
        </w:rPr>
        <w:t xml:space="preserve"> the Arrangers and the Banks,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Agent</w:t>
      </w:r>
      <w:r>
        <w:rPr>
          <w:rFonts w:ascii="Times New Roman" w:cs="Times New Roman" w:eastAsia="Times New Roman" w:hAnsi="Times New Roman"/>
          <w:sz w:val="22"/>
          <w:szCs w:val="22"/>
          <w:b w:val="1"/>
          <w:bCs w:val="1"/>
          <w:color w:val="000000"/>
        </w:rPr>
        <w:t>,</w:t>
      </w:r>
      <w:r>
        <w:rPr>
          <w:rFonts w:ascii="Times New Roman" w:cs="Times New Roman" w:eastAsia="Times New Roman" w:hAnsi="Times New Roman"/>
          <w:sz w:val="22"/>
          <w:szCs w:val="22"/>
          <w:color w:val="000000"/>
        </w:rPr>
        <w:t xml:space="preserve"> the Arrangers and each Bank is and has been acting solely as a principal and, except as expressly agreed in writing by the relevant parties, has not been, is not, and will not be acting as an advisor, agent or fiduciary for the Borrower or any of its Affiliates, or any other Person and (B) neither the Agent</w:t>
      </w:r>
      <w:r>
        <w:rPr>
          <w:rFonts w:ascii="Times New Roman" w:cs="Times New Roman" w:eastAsia="Times New Roman" w:hAnsi="Times New Roman"/>
          <w:sz w:val="22"/>
          <w:szCs w:val="22"/>
          <w:b w:val="1"/>
          <w:bCs w:val="1"/>
          <w:color w:val="000000"/>
        </w:rPr>
        <w:t>,</w:t>
      </w:r>
      <w:r>
        <w:rPr>
          <w:rFonts w:ascii="Times New Roman" w:cs="Times New Roman" w:eastAsia="Times New Roman" w:hAnsi="Times New Roman"/>
          <w:sz w:val="22"/>
          <w:szCs w:val="22"/>
          <w:color w:val="000000"/>
        </w:rPr>
        <w:t xml:space="preserve"> the Arrangers nor any Bank has any obligation to the Borrower or any of its Affiliates with respect to the transactions contemplated hereby except those obligations expressly set forth herein and in the other Loan Documents; and (iii) the Agent</w:t>
      </w:r>
      <w:r>
        <w:rPr>
          <w:rFonts w:ascii="Times New Roman" w:cs="Times New Roman" w:eastAsia="Times New Roman" w:hAnsi="Times New Roman"/>
          <w:sz w:val="22"/>
          <w:szCs w:val="22"/>
          <w:b w:val="1"/>
          <w:bCs w:val="1"/>
          <w:color w:val="000000"/>
        </w:rPr>
        <w:t>,</w:t>
      </w:r>
      <w:r>
        <w:rPr>
          <w:rFonts w:ascii="Times New Roman" w:cs="Times New Roman" w:eastAsia="Times New Roman" w:hAnsi="Times New Roman"/>
          <w:sz w:val="22"/>
          <w:szCs w:val="22"/>
          <w:color w:val="000000"/>
        </w:rPr>
        <w:t xml:space="preserve"> the Arrangers and the Banks and their respective Affiliates may be engaged in a broad range of transactions that involve interests that differ from those of the Borrower and its Affiliates, and neither the Agent</w:t>
      </w:r>
      <w:r>
        <w:rPr>
          <w:rFonts w:ascii="Times New Roman" w:cs="Times New Roman" w:eastAsia="Times New Roman" w:hAnsi="Times New Roman"/>
          <w:sz w:val="22"/>
          <w:szCs w:val="22"/>
          <w:b w:val="1"/>
          <w:bCs w:val="1"/>
          <w:color w:val="000000"/>
        </w:rPr>
        <w:t>,</w:t>
      </w:r>
      <w:r>
        <w:rPr>
          <w:rFonts w:ascii="Times New Roman" w:cs="Times New Roman" w:eastAsia="Times New Roman" w:hAnsi="Times New Roman"/>
          <w:sz w:val="22"/>
          <w:szCs w:val="22"/>
          <w:color w:val="000000"/>
        </w:rPr>
        <w:t xml:space="preserve"> the Arrangers nor any Bank has any obligation to disclose any of such interests to the Borrower or any of its Affiliates The Borrower hereby agrees that it will not claim that any of the Agents, Arrangers, Banks or their respective Affiliates has rendered advisory services of any nature or respect or owes a fiduciary duty or similar duty to it in connection with any aspect of any transaction contemplated hereby.</w:t>
      </w:r>
    </w:p>
    <w:p>
      <w:pPr>
        <w:spacing w:after="0" w:line="19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010000"/>
        </w:rPr>
        <w:t xml:space="preserve">§36 </w:t>
      </w:r>
      <w:r>
        <w:rPr>
          <w:rFonts w:ascii="Times New Roman" w:cs="Times New Roman" w:eastAsia="Times New Roman" w:hAnsi="Times New Roman"/>
          <w:sz w:val="22"/>
          <w:szCs w:val="22"/>
          <w:u w:val="single" w:color="auto"/>
          <w:color w:val="000000"/>
        </w:rPr>
        <w:t>ELECTRONIC EXECUTION; ELECTRONIC RECORDS; COUNTERPARTS</w:t>
      </w:r>
      <w:r>
        <w:rPr>
          <w:rFonts w:ascii="Times New Roman" w:cs="Times New Roman" w:eastAsia="Times New Roman" w:hAnsi="Times New Roman"/>
          <w:sz w:val="22"/>
          <w:szCs w:val="22"/>
          <w:color w:val="000000"/>
        </w:rPr>
        <w:t>. This Agreement, any Loan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Document and any other Communication, including Communications required to be in writing, may be in the form of an Electronic Record and may be executed using Electronic Signatures. The Borrower and each of the Administrative Agent and each Bank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164</w:t>
      </w:r>
    </w:p>
    <w:p>
      <w:pPr>
        <w:sectPr>
          <w:pgSz w:w="11900" w:h="16838" w:orient="portrait"/>
          <w:cols w:equalWidth="0" w:num="1">
            <w:col w:w="11240"/>
          </w:cols>
          <w:pgMar w:left="320" w:top="1273" w:right="339" w:bottom="1440" w:gutter="0" w:footer="0" w:header="0"/>
        </w:sectPr>
      </w:pPr>
    </w:p>
    <w:bookmarkStart w:id="293" w:name="page294"/>
    <w:bookmarkEnd w:id="293"/>
    <w:p>
      <w:pPr>
        <w:jc w:val="both"/>
        <w:spacing w:after="0"/>
        <w:rPr>
          <w:sz w:val="20"/>
          <w:szCs w:val="20"/>
          <w:color w:val="auto"/>
        </w:rPr>
      </w:pPr>
      <w:r>
        <w:rPr>
          <w:rFonts w:ascii="Times New Roman" w:cs="Times New Roman" w:eastAsia="Times New Roman" w:hAnsi="Times New Roman"/>
          <w:sz w:val="22"/>
          <w:szCs w:val="22"/>
          <w:color w:val="auto"/>
        </w:rPr>
        <w:t>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Bank Parties may, at its option, create one or more copies of any Communication in the form of an imaged Electronic Record (“</w:t>
      </w:r>
      <w:r>
        <w:rPr>
          <w:rFonts w:ascii="Times New Roman" w:cs="Times New Roman" w:eastAsia="Times New Roman" w:hAnsi="Times New Roman"/>
          <w:sz w:val="22"/>
          <w:szCs w:val="22"/>
          <w:u w:val="single" w:color="auto"/>
          <w:color w:val="auto"/>
        </w:rPr>
        <w:t>Electronic Copy</w:t>
      </w:r>
      <w:r>
        <w:rPr>
          <w:rFonts w:ascii="Times New Roman" w:cs="Times New Roman" w:eastAsia="Times New Roman" w:hAnsi="Times New Roman"/>
          <w:sz w:val="22"/>
          <w:szCs w:val="22"/>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nor the Fronting Bank is under any obligation to accept an Electronic Signature in any form or in any format unless expressly agreed to by such Person pursuant to procedures approved by it; provided, further, without limiting the foregoing, (a) to the extent the Administrative Agent and/or the Fronting Bank has agreed to accept such Electronic Signature, the Administrative Agent and each of the Bank Parties shall be entitled to rely on any such Electronic Signature purportedly given by or on behalf of the Borrower and/or any Bank Party without further verification and (b) upon the request of the Administrative Agent or any Bank Party, any Electronic Signature shall be promptly followed by such manually executed counterpart.</w:t>
      </w:r>
    </w:p>
    <w:p>
      <w:pPr>
        <w:spacing w:after="0" w:line="17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color w:val="auto"/>
        </w:rPr>
        <w:t>Neither the Administrative Agent nor the Fronting Bank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or Fronting Bank’s reliance on any Electronic Signature transmitted by telecopy, emailed .pdf or any other electronic means). The Administrative Agent and the Fronting Bank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7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Each of the Borrower and each Bank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Bank Party and each Related Party of any of the foregoing for any liabilities arising solely from the Administrative Agent’s and/or any Bank Party’s reliance on or use of Electronic Signatures, including any liabilities arising as a result of the failure of the Borrower to use any available security measures in connection with the execution, delivery or transmission of any Electronic Signature.</w:t>
      </w:r>
    </w:p>
    <w:p>
      <w:pPr>
        <w:spacing w:after="0" w:line="17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010000"/>
        </w:rPr>
        <w:t xml:space="preserve">§37 </w:t>
      </w:r>
      <w:r>
        <w:rPr>
          <w:rFonts w:ascii="Times New Roman" w:cs="Times New Roman" w:eastAsia="Times New Roman" w:hAnsi="Times New Roman"/>
          <w:sz w:val="21"/>
          <w:szCs w:val="21"/>
          <w:u w:val="single" w:color="auto"/>
          <w:color w:val="000000"/>
        </w:rPr>
        <w:t>ACKNOWLEDGMENT AND CONSENT TO BAIL-IN OF AFFECTED FINANCIAL INSTITUTIONS</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Notwithstanding anything to the contrary in any Loan Document or in any other agreement, arrangement or understanding among any such parties, each party hereto acknowledges that any liability of any Bank or Fronting Bank that is an Affected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165</w:t>
      </w:r>
    </w:p>
    <w:p>
      <w:pPr>
        <w:sectPr>
          <w:pgSz w:w="11900" w:h="16838" w:orient="portrait"/>
          <w:cols w:equalWidth="0" w:num="1">
            <w:col w:w="11240"/>
          </w:cols>
          <w:pgMar w:left="320" w:top="1273" w:right="339" w:bottom="1440" w:gutter="0" w:footer="0" w:header="0"/>
        </w:sectPr>
      </w:pPr>
    </w:p>
    <w:bookmarkStart w:id="294" w:name="page295"/>
    <w:bookmarkEnd w:id="294"/>
    <w:p>
      <w:pPr>
        <w:jc w:val="both"/>
        <w:spacing w:after="0" w:line="250" w:lineRule="auto"/>
        <w:rPr>
          <w:sz w:val="20"/>
          <w:szCs w:val="20"/>
          <w:color w:val="auto"/>
        </w:rPr>
      </w:pPr>
      <w:r>
        <w:rPr>
          <w:rFonts w:ascii="Times New Roman" w:cs="Times New Roman" w:eastAsia="Times New Roman" w:hAnsi="Times New Roman"/>
          <w:sz w:val="22"/>
          <w:szCs w:val="22"/>
          <w:color w:val="auto"/>
        </w:rPr>
        <w:t>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5" w:lineRule="exact"/>
        <w:rPr>
          <w:sz w:val="20"/>
          <w:szCs w:val="20"/>
          <w:color w:val="auto"/>
        </w:rPr>
      </w:pPr>
    </w:p>
    <w:p>
      <w:pPr>
        <w:jc w:val="both"/>
        <w:ind w:firstLine="1304"/>
        <w:spacing w:after="0" w:line="257" w:lineRule="auto"/>
        <w:tabs>
          <w:tab w:leader="none" w:pos="1819" w:val="left"/>
        </w:tabs>
        <w:numPr>
          <w:ilvl w:val="0"/>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Bank or Fronting Bank that is an Affected Financial Institution; and</w:t>
      </w:r>
    </w:p>
    <w:p>
      <w:pPr>
        <w:spacing w:after="0" w:line="186"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19" w:lineRule="exact"/>
        <w:rPr>
          <w:rFonts w:ascii="Times New Roman" w:cs="Times New Roman" w:eastAsia="Times New Roman" w:hAnsi="Times New Roman"/>
          <w:sz w:val="22"/>
          <w:szCs w:val="22"/>
          <w:color w:val="010000"/>
        </w:rPr>
      </w:pPr>
    </w:p>
    <w:p>
      <w:pPr>
        <w:ind w:left="2380" w:hanging="428"/>
        <w:spacing w:after="0"/>
        <w:tabs>
          <w:tab w:leader="none" w:pos="2380" w:val="left"/>
        </w:tabs>
        <w:numPr>
          <w:ilvl w:val="1"/>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010000"/>
        </w:rPr>
      </w:pPr>
    </w:p>
    <w:p>
      <w:pPr>
        <w:jc w:val="both"/>
        <w:ind w:left="1300" w:firstLine="652"/>
        <w:spacing w:after="0" w:line="256" w:lineRule="auto"/>
        <w:tabs>
          <w:tab w:leader="none" w:pos="2509" w:val="left"/>
        </w:tabs>
        <w:numPr>
          <w:ilvl w:val="1"/>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010000"/>
        </w:rPr>
      </w:pPr>
    </w:p>
    <w:p>
      <w:pPr>
        <w:ind w:left="1300" w:firstLine="652"/>
        <w:spacing w:after="0" w:line="271" w:lineRule="auto"/>
        <w:tabs>
          <w:tab w:leader="none" w:pos="2555" w:val="left"/>
        </w:tabs>
        <w:numPr>
          <w:ilvl w:val="1"/>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§38 </w:t>
      </w:r>
      <w:r>
        <w:rPr>
          <w:rFonts w:ascii="Times New Roman" w:cs="Times New Roman" w:eastAsia="Times New Roman" w:hAnsi="Times New Roman"/>
          <w:sz w:val="22"/>
          <w:szCs w:val="22"/>
          <w:u w:val="single" w:color="auto"/>
          <w:color w:val="000000"/>
        </w:rPr>
        <w:t>ACKNOWLEDGMENT REGARDING ANY SUPPORTED QFCS</w:t>
      </w:r>
      <w:r>
        <w:rPr>
          <w:rFonts w:ascii="Times New Roman" w:cs="Times New Roman" w:eastAsia="Times New Roman" w:hAnsi="Times New Roman"/>
          <w:sz w:val="22"/>
          <w:szCs w:val="22"/>
          <w:color w:val="000000"/>
        </w:rPr>
        <w:t>. To the extent that the Loan Documents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provide support, through a guarantee or otherwise, for any Swap Contract or any other agreement or instrument that is a QFC (such support, “</w:t>
      </w:r>
      <w:r>
        <w:rPr>
          <w:rFonts w:ascii="Times New Roman" w:cs="Times New Roman" w:eastAsia="Times New Roman" w:hAnsi="Times New Roman"/>
          <w:sz w:val="22"/>
          <w:szCs w:val="22"/>
          <w:u w:val="single" w:color="auto"/>
          <w:color w:val="000000"/>
        </w:rPr>
        <w:t>QFC Credit Support</w:t>
      </w:r>
      <w:r>
        <w:rPr>
          <w:rFonts w:ascii="Times New Roman" w:cs="Times New Roman" w:eastAsia="Times New Roman" w:hAnsi="Times New Roman"/>
          <w:sz w:val="22"/>
          <w:szCs w:val="22"/>
          <w:color w:val="000000"/>
        </w:rPr>
        <w:t>”, and each such QFC, a “</w:t>
      </w:r>
      <w:r>
        <w:rPr>
          <w:rFonts w:ascii="Times New Roman" w:cs="Times New Roman" w:eastAsia="Times New Roman" w:hAnsi="Times New Roman"/>
          <w:sz w:val="22"/>
          <w:szCs w:val="22"/>
          <w:u w:val="single" w:color="auto"/>
          <w:color w:val="000000"/>
        </w:rPr>
        <w:t>Supported QFC</w:t>
      </w:r>
      <w:r>
        <w:rPr>
          <w:rFonts w:ascii="Times New Roman" w:cs="Times New Roman" w:eastAsia="Times New Roman" w:hAnsi="Times New Roman"/>
          <w:sz w:val="22"/>
          <w:szCs w:val="22"/>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000000"/>
        </w:rPr>
        <w:t>U.S. Special Resolution Regimes</w:t>
      </w:r>
      <w:r>
        <w:rPr>
          <w:rFonts w:ascii="Times New Roman" w:cs="Times New Roman" w:eastAsia="Times New Roman" w:hAnsi="Times New Roman"/>
          <w:sz w:val="22"/>
          <w:szCs w:val="22"/>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5" w:lineRule="exact"/>
        <w:rPr>
          <w:sz w:val="20"/>
          <w:szCs w:val="20"/>
          <w:color w:val="auto"/>
        </w:rPr>
      </w:pPr>
    </w:p>
    <w:p>
      <w:pPr>
        <w:jc w:val="both"/>
        <w:ind w:firstLine="1304"/>
        <w:spacing w:after="0" w:line="248" w:lineRule="auto"/>
        <w:tabs>
          <w:tab w:leader="none" w:pos="1765" w:val="left"/>
        </w:tabs>
        <w:numPr>
          <w:ilvl w:val="0"/>
          <w:numId w:val="2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166</w:t>
      </w:r>
    </w:p>
    <w:p>
      <w:pPr>
        <w:sectPr>
          <w:pgSz w:w="11900" w:h="16838" w:orient="portrait"/>
          <w:cols w:equalWidth="0" w:num="1">
            <w:col w:w="11240"/>
          </w:cols>
          <w:pgMar w:left="320" w:top="1273" w:right="339" w:bottom="1440" w:gutter="0" w:footer="0" w:header="0"/>
        </w:sectPr>
      </w:pPr>
    </w:p>
    <w:bookmarkStart w:id="295" w:name="page296"/>
    <w:bookmarkEnd w:id="295"/>
    <w:p>
      <w:pPr>
        <w:jc w:val="both"/>
        <w:spacing w:after="0" w:line="253" w:lineRule="auto"/>
        <w:rPr>
          <w:sz w:val="20"/>
          <w:szCs w:val="20"/>
          <w:color w:val="auto"/>
        </w:rPr>
      </w:pPr>
      <w:r>
        <w:rPr>
          <w:rFonts w:ascii="Times New Roman" w:cs="Times New Roman" w:eastAsia="Times New Roman" w:hAnsi="Times New Roman"/>
          <w:sz w:val="22"/>
          <w:szCs w:val="22"/>
          <w:color w:val="auto"/>
        </w:rPr>
        <w:t>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Delinquent Bank shall in no event affect the rights of any Covered Party with respect to a Supported QFC or any QFC Credit Support.</w:t>
      </w:r>
    </w:p>
    <w:p>
      <w:pPr>
        <w:spacing w:after="0" w:line="179" w:lineRule="exact"/>
        <w:rPr>
          <w:sz w:val="20"/>
          <w:szCs w:val="20"/>
          <w:color w:val="auto"/>
        </w:rPr>
      </w:pPr>
    </w:p>
    <w:p>
      <w:pPr>
        <w:ind w:left="1780" w:hanging="476"/>
        <w:spacing w:after="0"/>
        <w:tabs>
          <w:tab w:leader="none" w:pos="1780" w:val="left"/>
        </w:tabs>
        <w:numPr>
          <w:ilvl w:val="0"/>
          <w:numId w:val="2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used in this §38, the following terms have the following meanings:</w:t>
      </w:r>
    </w:p>
    <w:p>
      <w:pPr>
        <w:spacing w:after="0" w:line="233" w:lineRule="exact"/>
        <w:rPr>
          <w:sz w:val="20"/>
          <w:szCs w:val="20"/>
          <w:color w:val="auto"/>
        </w:rPr>
      </w:pPr>
    </w:p>
    <w:p>
      <w:pPr>
        <w:jc w:val="both"/>
        <w:ind w:left="13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 U.S.C. 1841(k)) of such party.</w:t>
      </w:r>
    </w:p>
    <w:p>
      <w:pPr>
        <w:spacing w:after="0" w:line="158"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93" w:lineRule="exact"/>
        <w:rPr>
          <w:sz w:val="20"/>
          <w:szCs w:val="20"/>
          <w:color w:val="auto"/>
        </w:rPr>
      </w:pPr>
    </w:p>
    <w:p>
      <w:pPr>
        <w:jc w:val="both"/>
        <w:ind w:left="13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8" w:lineRule="exact"/>
        <w:rPr>
          <w:sz w:val="20"/>
          <w:szCs w:val="20"/>
          <w:color w:val="auto"/>
        </w:rPr>
      </w:pPr>
    </w:p>
    <w:p>
      <w:pPr>
        <w:jc w:val="both"/>
        <w:ind w:left="13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167</w:t>
      </w:r>
    </w:p>
    <w:p>
      <w:pPr>
        <w:sectPr>
          <w:pgSz w:w="11900" w:h="16838" w:orient="portrait"/>
          <w:cols w:equalWidth="0" w:num="1">
            <w:col w:w="11240"/>
          </w:cols>
          <w:pgMar w:left="320" w:top="1287" w:right="339" w:bottom="1440" w:gutter="0" w:footer="0" w:header="0"/>
        </w:sectPr>
      </w:pPr>
    </w:p>
    <w:bookmarkStart w:id="296" w:name="page297"/>
    <w:bookmarkEnd w:id="296"/>
    <w:p>
      <w:pPr>
        <w:spacing w:after="0" w:line="30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duly executed this Agreement as a sealed instrument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Ninth Amended and Restated Revolving Credit Agreement]</w:t>
      </w:r>
    </w:p>
    <w:p>
      <w:pPr>
        <w:sectPr>
          <w:pgSz w:w="11900" w:h="16838" w:orient="portrait"/>
          <w:cols w:equalWidth="0" w:num="1">
            <w:col w:w="11220"/>
          </w:cols>
          <w:pgMar w:left="320" w:top="1440" w:right="35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22"/>
          <w:szCs w:val="22"/>
          <w:b w:val="1"/>
          <w:bCs w:val="1"/>
          <w:color w:val="auto"/>
        </w:rPr>
        <w:t>ANNEX II TO SECOND AMENDMENT</w:t>
      </w:r>
    </w:p>
    <w:p>
      <w:pPr>
        <w:spacing w:after="0" w:line="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b w:val="1"/>
          <w:bCs w:val="1"/>
          <w:color w:val="auto"/>
        </w:rPr>
        <w:t>TO NINTH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5.3</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DAY BASIS FOR ALTERNATIVE CURRENCIES</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4160" w:type="dxa"/>
            <w:vAlign w:val="bottom"/>
            <w:tcBorders>
              <w:top w:val="single" w:sz="8" w:color="auto"/>
              <w:left w:val="single" w:sz="8" w:color="auto"/>
              <w:bottom w:val="single" w:sz="8" w:color="auto"/>
              <w:right w:val="single" w:sz="8" w:color="auto"/>
            </w:tcBorders>
            <w:shd w:val="clear" w:color="auto" w:fill="8EAADB"/>
          </w:tcPr>
          <w:p>
            <w:pPr>
              <w:jc w:val="center"/>
              <w:spacing w:after="0"/>
              <w:rPr>
                <w:sz w:val="20"/>
                <w:szCs w:val="20"/>
                <w:color w:val="auto"/>
              </w:rPr>
            </w:pPr>
            <w:r>
              <w:rPr>
                <w:rFonts w:ascii="Times New Roman" w:cs="Times New Roman" w:eastAsia="Times New Roman" w:hAnsi="Times New Roman"/>
                <w:sz w:val="22"/>
                <w:szCs w:val="22"/>
                <w:color w:val="auto"/>
                <w:w w:val="98"/>
              </w:rPr>
              <w:t>Alternative Currency</w:t>
            </w:r>
          </w:p>
        </w:tc>
        <w:tc>
          <w:tcPr>
            <w:tcW w:w="4100" w:type="dxa"/>
            <w:vAlign w:val="bottom"/>
            <w:tcBorders>
              <w:top w:val="single" w:sz="8" w:color="auto"/>
              <w:bottom w:val="single" w:sz="8" w:color="auto"/>
              <w:right w:val="single" w:sz="8" w:color="auto"/>
            </w:tcBorders>
            <w:shd w:val="clear" w:color="auto" w:fill="8EAADB"/>
          </w:tcPr>
          <w:p>
            <w:pPr>
              <w:jc w:val="center"/>
              <w:spacing w:after="0"/>
              <w:rPr>
                <w:sz w:val="20"/>
                <w:szCs w:val="20"/>
                <w:color w:val="auto"/>
              </w:rPr>
            </w:pPr>
            <w:r>
              <w:rPr>
                <w:rFonts w:ascii="Times New Roman" w:cs="Times New Roman" w:eastAsia="Times New Roman" w:hAnsi="Times New Roman"/>
                <w:sz w:val="22"/>
                <w:szCs w:val="22"/>
                <w:color w:val="auto"/>
                <w:w w:val="97"/>
              </w:rPr>
              <w:t>Benchmark Rate</w:t>
            </w:r>
          </w:p>
        </w:tc>
        <w:tc>
          <w:tcPr>
            <w:tcW w:w="2420" w:type="dxa"/>
            <w:vAlign w:val="bottom"/>
            <w:tcBorders>
              <w:top w:val="single" w:sz="8" w:color="auto"/>
              <w:bottom w:val="single" w:sz="8" w:color="auto"/>
              <w:right w:val="single" w:sz="8" w:color="auto"/>
            </w:tcBorders>
            <w:shd w:val="clear" w:color="auto" w:fill="8EAADB"/>
          </w:tcPr>
          <w:p>
            <w:pPr>
              <w:jc w:val="center"/>
              <w:spacing w:after="0"/>
              <w:rPr>
                <w:sz w:val="20"/>
                <w:szCs w:val="20"/>
                <w:color w:val="auto"/>
              </w:rPr>
            </w:pPr>
            <w:r>
              <w:rPr>
                <w:rFonts w:ascii="Times New Roman" w:cs="Times New Roman" w:eastAsia="Times New Roman" w:hAnsi="Times New Roman"/>
                <w:sz w:val="22"/>
                <w:szCs w:val="22"/>
                <w:color w:val="auto"/>
                <w:w w:val="99"/>
              </w:rPr>
              <w:t>Day Basis*</w:t>
            </w:r>
          </w:p>
        </w:tc>
      </w:tr>
      <w:tr>
        <w:trPr>
          <w:trHeight w:val="304"/>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Sterling</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SONIA</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365</w:t>
            </w:r>
          </w:p>
        </w:tc>
      </w:tr>
      <w:tr>
        <w:trPr>
          <w:trHeight w:val="304"/>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Canadian Dollar</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Term CORRA Rate</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365</w:t>
            </w:r>
          </w:p>
        </w:tc>
      </w:tr>
      <w:tr>
        <w:trPr>
          <w:trHeight w:val="304"/>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Euro</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EURIBOR</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360</w:t>
            </w: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*Use of a 360-day year results in more fees or interest, as applicable, being paid than if computed on a 365-day year.</w:t>
      </w:r>
    </w:p>
    <w:p>
      <w:pPr>
        <w:sectPr>
          <w:pgSz w:w="11900" w:h="16838" w:orient="portrait"/>
          <w:cols w:equalWidth="0" w:num="1">
            <w:col w:w="11240"/>
          </w:cols>
          <w:pgMar w:left="320" w:top="122" w:right="339" w:bottom="1440" w:gutter="0" w:footer="0" w:header="0"/>
        </w:sectPr>
      </w:pPr>
    </w:p>
    <w:bookmarkStart w:id="298" w:name="page299"/>
    <w:bookmarkEnd w:id="298"/>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THIRD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NINTH AMENDED AND RESTATED CREDIT AGREEMENT</w:t>
      </w:r>
    </w:p>
    <w:p>
      <w:pPr>
        <w:spacing w:after="0" w:line="200" w:lineRule="exact"/>
        <w:rPr>
          <w:sz w:val="20"/>
          <w:szCs w:val="20"/>
          <w:color w:val="auto"/>
        </w:rPr>
      </w:pPr>
    </w:p>
    <w:p>
      <w:pPr>
        <w:spacing w:after="0" w:line="23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This THIRD AMENDMENT TO NINTH AMENDED AND RESTATED CREDIT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dated as of </w:t>
      </w:r>
      <w:r>
        <w:rPr>
          <w:rFonts w:ascii="Arial" w:cs="Arial" w:eastAsia="Arial" w:hAnsi="Arial"/>
          <w:sz w:val="22"/>
          <w:szCs w:val="22"/>
          <w:color w:val="auto"/>
        </w:rPr>
        <w:t>August 2</w:t>
      </w:r>
      <w:r>
        <w:rPr>
          <w:rFonts w:ascii="Times New Roman" w:cs="Times New Roman" w:eastAsia="Times New Roman" w:hAnsi="Times New Roman"/>
          <w:sz w:val="22"/>
          <w:szCs w:val="22"/>
          <w:color w:val="auto"/>
        </w:rPr>
        <w:t>, 2024 (the “</w:t>
      </w:r>
      <w:r>
        <w:rPr>
          <w:rFonts w:ascii="Times New Roman" w:cs="Times New Roman" w:eastAsia="Times New Roman" w:hAnsi="Times New Roman"/>
          <w:sz w:val="22"/>
          <w:szCs w:val="22"/>
          <w:u w:val="single" w:color="auto"/>
          <w:color w:val="auto"/>
        </w:rPr>
        <w:t>Third Amendment Effective Date</w:t>
      </w:r>
      <w:r>
        <w:rPr>
          <w:rFonts w:ascii="Times New Roman" w:cs="Times New Roman" w:eastAsia="Times New Roman" w:hAnsi="Times New Roman"/>
          <w:sz w:val="22"/>
          <w:szCs w:val="22"/>
          <w:color w:val="auto"/>
        </w:rPr>
        <w:t>”), among BOSTON PROPERTIES LIMITED PARTNERSHIP, a Delaware limited partnership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each of the Banks party hereto and BANK OF AMERICA, N.A., as administrative agent for itself and each other Bank (in such capacity,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WHEREAS, the Borrower, the Banks and the Agent, among others, are parties to that certain Ninth Amended and Restated Credit Agreement dated as of June 15, 2021 (as amended, supplemented or otherwise modified prior to, and as in effect immediately prior to this Amendment becoming effective on, the Third Amendment Effective Date,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Capitalized terms used herein and not otherwise defined herein shall have the meanings provided to such terms in the Credit Agreement. The Credit Agreement, as amended hereby, is referred to herein as the “</w:t>
      </w:r>
      <w:r>
        <w:rPr>
          <w:rFonts w:ascii="Times New Roman" w:cs="Times New Roman" w:eastAsia="Times New Roman" w:hAnsi="Times New Roman"/>
          <w:sz w:val="22"/>
          <w:szCs w:val="22"/>
          <w:u w:val="single" w:color="auto"/>
          <w:color w:val="auto"/>
        </w:rPr>
        <w:t>Amended Credit Agreement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Borrower has requested that the Banks and the Agent agree to modify the Credit Agreement as herein set forth.</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is hereby acknowledged, the parties hereto agree as follows:</w:t>
      </w:r>
    </w:p>
    <w:p>
      <w:pPr>
        <w:spacing w:after="0" w:line="14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Amendments to Credit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agree that effective as of the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Effective Date, §9.3(k) of the Credit Agreement shall be amended and restated in its entirety as follows:</w:t>
      </w:r>
    </w:p>
    <w:p>
      <w:pPr>
        <w:spacing w:after="0" w:line="153" w:lineRule="exact"/>
        <w:rPr>
          <w:sz w:val="20"/>
          <w:szCs w:val="20"/>
          <w:color w:val="auto"/>
        </w:rPr>
      </w:pPr>
    </w:p>
    <w:p>
      <w:pPr>
        <w:jc w:val="both"/>
        <w:ind w:left="660" w:firstLine="644"/>
        <w:spacing w:after="0" w:line="262" w:lineRule="auto"/>
        <w:tabs>
          <w:tab w:leader="none" w:pos="1953"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made by the Borrower (i) in businesses which are not in the business of commercial real estate so long as such businesses have real estate related purposes or such Investments are in connection with a real estate related transaction, including, without limitation, Investments in Mezzanine Loans, Mortgages, contracts for the management of real estate assets for third parties unrelated to the Borrower, and swaps, capped calls, hedges and other derivatives and similar or dissimilar hedging instruments entered into by the Borrower in the ordinary course of business for the purpose of mitigating risks associated with liabilities, commitments, investments, assets, or property held or reasonably anticipated by the Borrower, or changes in the value of securities issued by the Borrower, and not as an investment for purposes of speculation and (ii) in capital stock of BPI made pursuant to swaps, capped calls, hedges and other derivatives and similar or dissimilar hedging instruments entered into by the Borrower and/or BPI for the purpose of facilitating an exchangeable note offering of unsecured indebtedness by the Borrower that is permitted under §9.1;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6" w:right="339" w:bottom="1440" w:gutter="0" w:footer="0" w:header="0"/>
        </w:sectPr>
      </w:pPr>
    </w:p>
    <w:bookmarkStart w:id="299" w:name="page300"/>
    <w:bookmarkEnd w:id="299"/>
    <w:p>
      <w:pPr>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b w:val="1"/>
          <w:bCs w:val="1"/>
          <w:u w:val="single" w:color="auto"/>
          <w:color w:val="auto"/>
        </w:rPr>
        <w:t>Conditions of Effectiveness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shall become effective as of the first date on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the following conditions precedent has been satisfied:</w:t>
      </w:r>
    </w:p>
    <w:p>
      <w:pPr>
        <w:spacing w:after="0" w:line="153" w:lineRule="exact"/>
        <w:rPr>
          <w:sz w:val="20"/>
          <w:szCs w:val="20"/>
          <w:color w:val="auto"/>
        </w:rPr>
      </w:pPr>
    </w:p>
    <w:p>
      <w:pPr>
        <w:ind w:right="420" w:firstLine="1304"/>
        <w:spacing w:after="0" w:line="263" w:lineRule="auto"/>
        <w:tabs>
          <w:tab w:leader="none" w:pos="194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Agent’s receipt of the following, each of which shall be originals, telecopies or in .pdf or other electronic format (followed promptly by originals) in each case in accordance with §36 of the Amended Credit Agreement as incorporated herein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w:t>
      </w:r>
    </w:p>
    <w:p>
      <w:pPr>
        <w:spacing w:after="0" w:line="167"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592"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of this Amendment, duly executed and delivered by each of the Borrower, the Agent and Banks constituting Required Banks; and</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48" w:lineRule="auto"/>
        <w:tabs>
          <w:tab w:leader="none" w:pos="2598"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dated as of the Third Amendment Effective Date, signed by an Authorized Officer of the Borrower certifying that before and after giving effect to this Amendment, (x) each of the representations and warranties made by or on behalf of the Borrower or BPI contained in the Amended Credit Agreement, the other Loan Documents or in any document or instrument delivered pursuant to or in connection with the Credit Agreement or the Amended Credit Agreement shall be true as of the date as of which they were made and shall also be true at and as of the Third Amendment Effective Date (other than the representations in §7.5 and §7.14 of the Amended Credit Agreement, which shall be made only as of the Closing Date), with the same effect as if made at and as of that time (except (i) to the extent of changes resulting from transactions contemplated or not prohibited by the Credit Agreement or the other Loan Documents and changes occurring in the ordinary course of business, (ii) to the extent that such representations and warranties relate expressly to an earlier date, in which case they shall be true and correct as of such earlier date, and (iii) to the extent otherwise represented by the Borrower with respect to the representation set forth in §7.10 of the Amended Credit Agreement); and (y) no Default shall have occurred and be continuing.</w:t>
      </w:r>
    </w:p>
    <w:p>
      <w:pPr>
        <w:spacing w:after="0" w:line="197" w:lineRule="exact"/>
        <w:rPr>
          <w:rFonts w:ascii="Times New Roman" w:cs="Times New Roman" w:eastAsia="Times New Roman" w:hAnsi="Times New Roman"/>
          <w:sz w:val="22"/>
          <w:szCs w:val="22"/>
          <w:color w:val="auto"/>
        </w:rPr>
      </w:pPr>
    </w:p>
    <w:p>
      <w:pPr>
        <w:ind w:left="2160" w:hanging="856"/>
        <w:spacing w:after="0"/>
        <w:tabs>
          <w:tab w:leader="none" w:pos="21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has occurred and is continuing on the Third Amendment Effective Date.</w:t>
      </w:r>
    </w:p>
    <w:p>
      <w:pPr>
        <w:spacing w:after="0" w:line="21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b w:val="1"/>
          <w:bCs w:val="1"/>
          <w:u w:val="single" w:color="auto"/>
          <w:color w:val="auto"/>
        </w:rPr>
        <w:t>Representations and Warranties of Loan Parties</w:t>
      </w:r>
      <w:r>
        <w:rPr>
          <w:rFonts w:ascii="Times New Roman" w:cs="Times New Roman" w:eastAsia="Times New Roman" w:hAnsi="Times New Roman"/>
          <w:sz w:val="22"/>
          <w:szCs w:val="22"/>
          <w:color w:val="auto"/>
        </w:rPr>
        <w:t>. After giving effect to this Amendment,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reaffirms that the representations and warranties made by or on behalf of the Borrower or BPI contained in the Credit Agreement, the other Loan Documents or in any document or instrument delivered pursuant to or in connection with the Credit Agreement or the Amended Credit Agreement, shall be true and correct on and as of the Third Amendment Effective Date, (other than the representations in §7.5 and §7.14 of the Credit Agreement, which shall be made only as of the Closing Date), with the same effect as if made at and as of that time (except (i) to the extent of changes resulting from transactions contemplated or not prohibited by the Credit Agreement or the other Loan Documents and changes occurring in the ordinary course of business, (ii) to the extent that such representations and warranties relate expressly to an earlier date, in which case they shall be true and correct as of such earlier date, and (iii) to the extent otherwise represented by the Borrower with respect to the representation set forth in §7.10 of the Credit Agreement). The Borrower further represents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21"/>
          <w:szCs w:val="21"/>
          <w:color w:val="auto"/>
        </w:rPr>
        <w:t>warrants (which representations and warranties shall survive the execution and delivery hereof) to the Agent and the Banks that:</w:t>
      </w:r>
    </w:p>
    <w:p>
      <w:pPr>
        <w:spacing w:after="0" w:line="231" w:lineRule="exact"/>
        <w:rPr>
          <w:sz w:val="20"/>
          <w:szCs w:val="20"/>
          <w:color w:val="auto"/>
        </w:rPr>
      </w:pPr>
    </w:p>
    <w:p>
      <w:pPr>
        <w:jc w:val="both"/>
        <w:ind w:left="660" w:firstLine="644"/>
        <w:spacing w:after="0" w:line="263" w:lineRule="auto"/>
        <w:tabs>
          <w:tab w:leader="none" w:pos="2336"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all requisite power and authority to execute, deliver and perform its obligations under this Amendment and has taken or caused to be taken all necessary company action to authorize the execution, delivery and performance of this Amendment;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227"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of any Person (including, without limitation, any of its equity holders or creditors), and no action of, or filing with, any governmental or public body or authority is necessary or required in connection with, the execution, delivery and performance of this Amendment;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2258"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has been duly executed and delivered on its behalf by an Authorized Officer of the Borrower, and constitutes its legal, valid and binding obligation enforceable in accordance with its terms, except as enforceability may be limited by applicable bankruptcy, insolvency, reorganization, moratorium or similar laws affecting the enforcement of creditors’ rights generally and by general equitable principles, whether enforcement is sought by a proceeding in equity or at law;</w:t>
      </w:r>
    </w:p>
    <w:p>
      <w:pPr>
        <w:spacing w:after="0" w:line="178"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2253"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immediately before and immediately after giving effect to this Amendment and the transactions contemplated hereby, no Default or Event of Default has occurred and is continuing; and</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953"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this Amendment (i) do not materially conflict with or result in any breach or contravention of any provision of law, statute, rule or regulation to which the Borrower or BPI is subject or any judgment, order, writ, injunction, license or permit applicable to the Borrower or BPI, (ii) do not conflict with any provision of the agreement of limited partnership, any certificate of limited partnership, the charter documents or by-laws of the Borrower or BPI, and (iii) do not contravene any provisions of, or constitute Default or Event of Default or a failure to comply with any term, condition or provision of, any other agreement, instrument, judgment, order, decree, permit, license or undertaking binding upon or applicable to the Borrower or BPI or any of the Borrower’s or BPI’s properties (except for any such failure to comply under any such other agreement, instrument, judgment, order, decree, permit, license, or undertaking as would not materially and adversely affect the condition (financial or otherwise), properties, business or results of operations of BPLP, BPI or, taken as a whole, the BP Group) or result in the creation of any mortgage, pledge, security interest, lien, encumbrance or charge upon any of the properties or assets of the Borrower or BPI, as and to the extent the same would constitute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301" w:name="page302"/>
    <w:bookmarkEnd w:id="301"/>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Ratification</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63" w:lineRule="auto"/>
        <w:tabs>
          <w:tab w:leader="none" w:pos="193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Except as expressly amended hereby, the Credit Agreement, the other Loan Documents and all documents, instruments and agreements related thereto are hereby ratified and confirmed in all respects and shall continue in full force and effect.</w:t>
      </w:r>
    </w:p>
    <w:p>
      <w:pPr>
        <w:spacing w:after="0" w:line="27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2"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This Amendment shall be limited precisely as written and, except as expressly provided herein, shall not be deemed (i) to be a consent granted pursuant to, or a waiver, modification or forbearance of, any term or condition of the Credit Agreement or the Amended Credit Agreement or any of the instruments or agreements referred to therein or a waiver of any Default or Event of Default that may heretofore or hereafter occur or have occurred and be continuing under the Credit Agreement, the Amended Credit Agreement or any other Loan Document, whether or not known to the Agent, any Fronting Bank or any of the Banks, or (ii) to prejudice any right or remedy which the Agent, any Fronting Bank or any of the Banks may now have or have in the future against any Person under or in connection with the Credit Agreement, the Amended Credit Agreement the Loan Documents or any of the instruments or agreements referred to therein or any of the transactions contemplated thereby.</w:t>
      </w:r>
    </w:p>
    <w:p>
      <w:pPr>
        <w:spacing w:after="0" w:line="284"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b w:val="1"/>
          <w:bCs w:val="1"/>
          <w:u w:val="single" w:color="auto"/>
          <w:color w:val="auto"/>
        </w:rPr>
        <w:t>Modifications</w:t>
      </w:r>
      <w:r>
        <w:rPr>
          <w:rFonts w:ascii="Times New Roman" w:cs="Times New Roman" w:eastAsia="Times New Roman" w:hAnsi="Times New Roman"/>
          <w:sz w:val="22"/>
          <w:szCs w:val="22"/>
          <w:color w:val="auto"/>
        </w:rPr>
        <w:t>. Neither this Amendment, nor any provision hereof, may be waived, amended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modified except pursuant to an agreement or agreements in writing entered into by the parties hereto.</w:t>
      </w:r>
    </w:p>
    <w:p>
      <w:pPr>
        <w:spacing w:after="0" w:line="16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b w:val="1"/>
          <w:bCs w:val="1"/>
          <w:u w:val="single" w:color="auto"/>
          <w:color w:val="auto"/>
        </w:rPr>
        <w:t>Loan Document; References</w:t>
      </w:r>
      <w:r>
        <w:rPr>
          <w:rFonts w:ascii="Times New Roman" w:cs="Times New Roman" w:eastAsia="Times New Roman" w:hAnsi="Times New Roman"/>
          <w:sz w:val="22"/>
          <w:szCs w:val="22"/>
          <w:color w:val="auto"/>
        </w:rPr>
        <w:t>. The parties hereto agree that this Amendment is a Loan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reference in the Credit Agreement to “this Agreement,” “hereunder,” “hereof,” “herein,” or words of like import, and each reference in each other Loan Document (and the other documents and instruments delivered pursuant to or in connection therewith) to the “Credit Agreement”, “thereunder”, “thereof” or words of like import, shall mean and be a reference to the Amended Credit Agreement and as the Amended Credit Agreement may in the future be amended, restated, supplemented or modified from time to time.</w:t>
      </w:r>
    </w:p>
    <w:p>
      <w:pPr>
        <w:spacing w:after="0" w:line="17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b w:val="1"/>
          <w:bCs w:val="1"/>
          <w:u w:val="single" w:color="auto"/>
          <w:color w:val="auto"/>
        </w:rPr>
        <w:t>Counterparts; Execution</w:t>
      </w:r>
      <w:r>
        <w:rPr>
          <w:rFonts w:ascii="Times New Roman" w:cs="Times New Roman" w:eastAsia="Times New Roman" w:hAnsi="Times New Roman"/>
          <w:sz w:val="22"/>
          <w:szCs w:val="22"/>
          <w:color w:val="auto"/>
        </w:rPr>
        <w:t>. §36 of the Amended Credit Agreement is incorporated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 as if a part hereof.</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8. </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provisions of this Amendment shall be binding upon and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the parties hereto and their respective successors and assigns.</w:t>
      </w:r>
    </w:p>
    <w:p>
      <w:pPr>
        <w:spacing w:after="0" w:line="16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Amendment shall be held illegal, invalid or unenforceable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whole or in part in any jurisdiction, such provision shall, as to such jurisdiction, be ineffective to the extent of such illegality, invalidity or unenforceability without in any manner affecting the legality, validity or enforceability of such provision in any other jurisdiction or the remaining provisions of this Amendment in any jurisdiction.</w:t>
      </w:r>
    </w:p>
    <w:p>
      <w:pPr>
        <w:spacing w:after="0" w:line="175"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AMENDMENT IS A CONTRACT UNDER THE LAWS OF THE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NEW YORK AND THIS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302" w:name="page303"/>
    <w:bookmarkEnd w:id="302"/>
    <w:p>
      <w:pPr>
        <w:jc w:val="both"/>
        <w:spacing w:after="0" w:line="251" w:lineRule="auto"/>
        <w:rPr>
          <w:sz w:val="20"/>
          <w:szCs w:val="20"/>
          <w:color w:val="auto"/>
        </w:rPr>
      </w:pPr>
      <w:r>
        <w:rPr>
          <w:rFonts w:ascii="Times New Roman" w:cs="Times New Roman" w:eastAsia="Times New Roman" w:hAnsi="Times New Roman"/>
          <w:sz w:val="22"/>
          <w:szCs w:val="22"/>
          <w:color w:val="auto"/>
        </w:rPr>
        <w:t>ANY CLAIMS, CONTROVERSY, DISPUTE OR CAUSE OF ACTION (WHETHER IN CONTRACT OR TORT OR OTHERWISE) BASED UPON, ARISING OUT OF OR RELATING TO THIS AMENDMENT AND THE TRANSACTIONS CONTEMPLATED HEREBY SHALL FOR ALL PURPOSES BE CONSTRUED IN ACCORDANCE WITH AND GOVERNED BY THE LAWS OF SUCH STATE (EXCLUDING THE LAWS APPLICABLE TO CONFLICTS OR CHOICE OF LAW OTHER THAN SECTIONS 5-1401 AND 5-1402 OF THE GENERAL OBLIGATIONS LAW OF THE STATE OF NEW YORK).</w:t>
      </w:r>
    </w:p>
    <w:p>
      <w:pPr>
        <w:spacing w:after="0" w:line="177"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Section headings in this Amendment are included for convenience of reference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are not to affect the construction of, or to be taken into consideration in interpreting, this Amendment.</w:t>
      </w:r>
    </w:p>
    <w:p>
      <w:pPr>
        <w:spacing w:after="0" w:line="16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Amendment constitutes the entire contract among the parties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subject matter hereof and supersedes any and all previous agreements and understandings, oral or written, relating to the subject matter hereof. Without limitation of the foregoing:</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AMENDMENT REPRESENTS THE FINAL AGREEMENT AMONG THE PARTIES WITH RESPECT TO THE SUBJECT MATTER HEREOF AND MAY NOT BE CONTRADICTED BY EVIDENCE OF PRIOR, CONTEMPORANEOUS, OR SUBSEQUENT ORAL AGREEMENTS OF THE PARTIES. THERE ARE NO UNWRITTEN ORAL AGREEMENTS AMONG THE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immediately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303" w:name="page304"/>
    <w:bookmarkEnd w:id="303"/>
    <w:p>
      <w:pPr>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IN WITNESS WHEREOF</w:t>
      </w:r>
      <w:r>
        <w:rPr>
          <w:rFonts w:ascii="Times New Roman" w:cs="Times New Roman" w:eastAsia="Times New Roman" w:hAnsi="Times New Roman"/>
          <w:sz w:val="22"/>
          <w:szCs w:val="22"/>
          <w:color w:val="auto"/>
        </w:rPr>
        <w:t>, the undersigned have caused this Amendment to be executed by their respective officers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thereunto duly authorized as of the date hereof.</w:t>
      </w:r>
    </w:p>
    <w:p>
      <w:pPr>
        <w:spacing w:after="0" w:line="1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BOSTON PROPERTIES LIMITED PARTNERSHIP</w:t>
      </w:r>
    </w:p>
    <w:p>
      <w:pPr>
        <w:spacing w:after="0" w:line="233" w:lineRule="exact"/>
        <w:rPr>
          <w:sz w:val="20"/>
          <w:szCs w:val="20"/>
          <w:color w:val="auto"/>
        </w:rPr>
      </w:pPr>
    </w:p>
    <w:p>
      <w:pPr>
        <w:jc w:val="center"/>
        <w:ind w:left="3880"/>
        <w:spacing w:after="0"/>
        <w:tabs>
          <w:tab w:leader="none" w:pos="260" w:val="left"/>
        </w:tabs>
        <w:rPr>
          <w:sz w:val="20"/>
          <w:szCs w:val="20"/>
          <w:color w:val="auto"/>
        </w:rPr>
      </w:pPr>
      <w:r>
        <w:rPr>
          <w:rFonts w:ascii="Times New Roman" w:cs="Times New Roman" w:eastAsia="Times New Roman" w:hAnsi="Times New Roman"/>
          <w:sz w:val="22"/>
          <w:szCs w:val="22"/>
          <w:color w:val="auto"/>
        </w:rPr>
        <w:t>By:</w:t>
        <w:tab/>
        <w:t>BXP, Inc., its sole general partner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Magaldi</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James Magaldi</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Senior Vice President, Finance &amp; Capital Markets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BXP, INC.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Magaldi</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James Magaldi</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Senior Vice President, Finance &amp;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11240"/>
          </w:cols>
          <w:pgMar w:left="320" w:top="1418" w:right="339" w:bottom="1440" w:gutter="0" w:footer="0" w:header="0"/>
        </w:sectPr>
      </w:pPr>
    </w:p>
    <w:bookmarkStart w:id="304" w:name="page305"/>
    <w:bookmarkEnd w:id="304"/>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BANK OF AMERICA, N.A., as Agent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Elizabeth Uribe</w:t>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Elizabeth Uribe</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05" w:name="page306"/>
    <w:bookmarkEnd w:id="305"/>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BANK OF AMERICA, N.A.,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Dennis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948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948690"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Dennis Kwan</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06" w:name="page307"/>
    <w:bookmarkEnd w:id="306"/>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JPMORGAN CHASE BANK, N.A.,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Richard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2611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Richard Armstrong</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07" w:name="page308"/>
    <w:bookmarkEnd w:id="307"/>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BANK OF NEW YORK MELLON,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Carol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9486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948690"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Carol Murray</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08" w:name="page309"/>
    <w:bookmarkEnd w:id="308"/>
    <w:p>
      <w:pPr>
        <w:spacing w:after="0" w:line="198"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22"/>
          <w:szCs w:val="22"/>
          <w:color w:val="auto"/>
        </w:rPr>
        <w:t>DEUTSCHE BANK AG NEW YORK BRANCH,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8877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887730"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Alison Lugo</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8915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Ming K Chu</w:t>
      </w:r>
    </w:p>
    <w:p>
      <w:pPr>
        <w:spacing w:after="0" w:line="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09" w:name="page310"/>
    <w:bookmarkEnd w:id="309"/>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MORGAN STANLEY BANK, N.A.,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Gretell Merlo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9486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948690"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Gretell Merlo</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10" w:name="page311"/>
    <w:bookmarkEnd w:id="310"/>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PNC BANK, NATIONAL ASSOCIATION,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Brian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8420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842010"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Brian Kelly</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11" w:name="page312"/>
    <w:bookmarkEnd w:id="311"/>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U.S. BANK NATIONAL ASSOCIATION,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Patrick T.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95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115951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Patrick T. Brooks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12" w:name="page313"/>
    <w:bookmarkEnd w:id="312"/>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WELLS FARGO BANK N.A.,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Brendan Poe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9029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Brendan Poe</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13" w:name="page314"/>
    <w:bookmarkEnd w:id="313"/>
    <w:p>
      <w:pPr>
        <w:spacing w:after="0" w:line="1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THE BANK OF NOVA SCOTIA,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Allisson Michaels-van Dijkum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8897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Allisson Michaels-van Dijkum</w:t>
      </w:r>
    </w:p>
    <w:p>
      <w:pPr>
        <w:spacing w:after="0" w:line="5" w:lineRule="exact"/>
        <w:rPr>
          <w:sz w:val="20"/>
          <w:szCs w:val="20"/>
          <w:color w:val="auto"/>
        </w:rPr>
      </w:pPr>
    </w:p>
    <w:p>
      <w:pPr>
        <w:ind w:left="3100"/>
        <w:spacing w:after="0" w:line="259" w:lineRule="auto"/>
        <w:rPr>
          <w:sz w:val="20"/>
          <w:szCs w:val="20"/>
          <w:color w:val="auto"/>
        </w:rPr>
      </w:pPr>
      <w:r>
        <w:rPr>
          <w:rFonts w:ascii="Times New Roman" w:cs="Times New Roman" w:eastAsia="Times New Roman" w:hAnsi="Times New Roman"/>
          <w:sz w:val="22"/>
          <w:szCs w:val="22"/>
          <w:color w:val="auto"/>
        </w:rPr>
        <w:t>Title: Managing Director &amp; Head of Corporate Banking - U.S. Real Estate, Gaming &amp; Leisure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580"/>
          </w:cols>
          <w:pgMar w:left="1440" w:top="1440" w:right="879" w:bottom="1440" w:gutter="0" w:footer="0" w:header="0"/>
        </w:sectPr>
      </w:pPr>
    </w:p>
    <w:bookmarkStart w:id="314" w:name="page315"/>
    <w:bookmarkEnd w:id="314"/>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TD BANK, N.A.,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Jessica Trombly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0883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Jessica Trombly</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15" w:name="page316"/>
    <w:bookmarkEnd w:id="315"/>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TRUIST BANK,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C. Vincent Hughes,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319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C. Vincent Hughes, Jr.</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16" w:name="page317"/>
    <w:bookmarkEnd w:id="316"/>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CITIBANK, N.A.,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David Bouton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9715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David Bouton</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17" w:name="page318"/>
    <w:bookmarkEnd w:id="317"/>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MIZUHO BANK, LTD.,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925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Raymond Ventura</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18" w:name="page319"/>
    <w:bookmarkEnd w:id="318"/>
    <w:p>
      <w:pPr>
        <w:spacing w:after="0" w:line="19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22"/>
          <w:szCs w:val="22"/>
          <w:color w:val="auto"/>
        </w:rPr>
        <w:t>FIFTH THIRD BANK, NATIONAL ASSOCIATION,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Joel Dalson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8420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Joel Dalson</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19" w:name="page320"/>
    <w:bookmarkEnd w:id="319"/>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LANDESBANK BADEN-WÜRTTEMBERG, NEW YORK BRANCH,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Stephen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0096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Stephen White</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David McGannon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849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David McGannon</w:t>
      </w:r>
    </w:p>
    <w:p>
      <w:pPr>
        <w:spacing w:after="0" w:line="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940"/>
          </w:cols>
          <w:pgMar w:left="1440" w:top="1440" w:right="519" w:bottom="1440" w:gutter="0" w:footer="0" w:header="0"/>
        </w:sectPr>
      </w:pPr>
    </w:p>
    <w:bookmarkStart w:id="320" w:name="page321"/>
    <w:bookmarkEnd w:id="320"/>
    <w:p>
      <w:pPr>
        <w:spacing w:after="0" w:line="198"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22"/>
          <w:szCs w:val="22"/>
          <w:color w:val="auto"/>
        </w:rPr>
        <w:t>SUMITOMO MITSUI BANKING CORPORATION,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Khrystyna Manko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925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Khrystyna Manko</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21" w:name="page322"/>
    <w:bookmarkEnd w:id="321"/>
    <w:p>
      <w:pPr>
        <w:spacing w:after="0" w:line="198" w:lineRule="exact"/>
        <w:rPr>
          <w:sz w:val="20"/>
          <w:szCs w:val="20"/>
          <w:color w:val="auto"/>
        </w:rPr>
      </w:pPr>
    </w:p>
    <w:p>
      <w:pPr>
        <w:jc w:val="right"/>
        <w:ind w:right="759"/>
        <w:spacing w:after="0"/>
        <w:rPr>
          <w:sz w:val="20"/>
          <w:szCs w:val="20"/>
          <w:color w:val="auto"/>
        </w:rPr>
      </w:pPr>
      <w:r>
        <w:rPr>
          <w:rFonts w:ascii="Times New Roman" w:cs="Times New Roman" w:eastAsia="Times New Roman" w:hAnsi="Times New Roman"/>
          <w:sz w:val="22"/>
          <w:szCs w:val="22"/>
          <w:color w:val="auto"/>
        </w:rPr>
        <w:t>BANCO BILBAO VIZCAYA ARGENTARIA, S.A.,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Bruce Habig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8953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Bruce Habig</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239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Armen Semizian</w:t>
      </w:r>
    </w:p>
    <w:p>
      <w:pPr>
        <w:spacing w:after="0" w:line="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22" w:name="page323"/>
    <w:bookmarkEnd w:id="322"/>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M&amp;T BANK,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Maresa 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0318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1031875"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Maresa Carney</w:t>
      </w:r>
    </w:p>
    <w:p>
      <w:pPr>
        <w:spacing w:after="0" w:line="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Boston Properties Limited Partnership Ninth A&amp;R Credit Agreement</w:t>
      </w:r>
    </w:p>
    <w:p>
      <w:pPr>
        <w:sectPr>
          <w:pgSz w:w="11900" w:h="16838" w:orient="portrait"/>
          <w:cols w:equalWidth="0" w:num="1">
            <w:col w:w="9019"/>
          </w:cols>
          <w:pgMar w:left="1440" w:top="1440" w:right="1440" w:bottom="1440" w:gutter="0" w:footer="0" w:header="0"/>
        </w:sectPr>
      </w:pPr>
    </w:p>
    <w:bookmarkStart w:id="323" w:name="page324"/>
    <w:bookmarkEnd w:id="323"/>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TERM LOAN CREDIT AGREEMENT</w:t>
      </w:r>
    </w:p>
    <w:p>
      <w:pPr>
        <w:spacing w:after="0" w:line="200" w:lineRule="exact"/>
        <w:rPr>
          <w:sz w:val="20"/>
          <w:szCs w:val="20"/>
          <w:color w:val="auto"/>
        </w:rPr>
      </w:pPr>
    </w:p>
    <w:p>
      <w:pPr>
        <w:spacing w:after="0" w:line="23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This FIRST AMENDMENT TO CREDIT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dated as of </w:t>
      </w:r>
      <w:r>
        <w:rPr>
          <w:rFonts w:ascii="Arial" w:cs="Arial" w:eastAsia="Arial" w:hAnsi="Arial"/>
          <w:sz w:val="22"/>
          <w:szCs w:val="22"/>
          <w:color w:val="auto"/>
        </w:rPr>
        <w:t>August 2</w:t>
      </w:r>
      <w:r>
        <w:rPr>
          <w:rFonts w:ascii="Times New Roman" w:cs="Times New Roman" w:eastAsia="Times New Roman" w:hAnsi="Times New Roman"/>
          <w:sz w:val="22"/>
          <w:szCs w:val="22"/>
          <w:color w:val="auto"/>
        </w:rPr>
        <w:t>, 2024 (the “</w:t>
      </w:r>
      <w:r>
        <w:rPr>
          <w:rFonts w:ascii="Times New Roman" w:cs="Times New Roman" w:eastAsia="Times New Roman" w:hAnsi="Times New Roman"/>
          <w:sz w:val="22"/>
          <w:szCs w:val="22"/>
          <w:u w:val="single" w:color="auto"/>
          <w:color w:val="auto"/>
        </w:rPr>
        <w:t>First Amendment Effective Date</w:t>
      </w:r>
      <w:r>
        <w:rPr>
          <w:rFonts w:ascii="Times New Roman" w:cs="Times New Roman" w:eastAsia="Times New Roman" w:hAnsi="Times New Roman"/>
          <w:sz w:val="22"/>
          <w:szCs w:val="22"/>
          <w:color w:val="auto"/>
        </w:rPr>
        <w:t>”), among BOSTON PROPERTIES LIMITED PARTNERSHIP, a Delaware limited partnership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each of the Banks party hereto and BANK OF AMERICA, N.A., as administrative agent for itself and each other Bank (in such capacity,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WHEREAS, the Borrower, the Banks and the Agent, among others, are parties to that certain Credit Agreement dated as of January 4, 2023 (as amended, supplemented or otherwise modified prior to, and as in effect immediately prior to this Amendment becoming effective on, the First Amendment Effective Date,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Capitalized terms used herein and not otherwise defined herein shall have the meanings provided to such terms in the Credit Agreement. The Credit Agreement, as amended hereby, is referred to herein as the “</w:t>
      </w:r>
      <w:r>
        <w:rPr>
          <w:rFonts w:ascii="Times New Roman" w:cs="Times New Roman" w:eastAsia="Times New Roman" w:hAnsi="Times New Roman"/>
          <w:sz w:val="22"/>
          <w:szCs w:val="22"/>
          <w:u w:val="single" w:color="auto"/>
          <w:color w:val="auto"/>
        </w:rPr>
        <w:t>Amended Credit Agreement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Borrower has requested that the Banks and the Agent agree to modify the Credit Agreement as herein set forth.</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is hereby acknowledged, the parties hereto agree as follows:</w:t>
      </w:r>
    </w:p>
    <w:p>
      <w:pPr>
        <w:spacing w:after="0" w:line="14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Amendments to Credit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agree that effective as of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Effective Date, §9.3(k) of the Credit Agreement shall be amended and restated in its entirety as follows:</w:t>
      </w:r>
    </w:p>
    <w:p>
      <w:pPr>
        <w:spacing w:after="0" w:line="153" w:lineRule="exact"/>
        <w:rPr>
          <w:sz w:val="20"/>
          <w:szCs w:val="20"/>
          <w:color w:val="auto"/>
        </w:rPr>
      </w:pPr>
    </w:p>
    <w:p>
      <w:pPr>
        <w:jc w:val="both"/>
        <w:ind w:left="660" w:firstLine="644"/>
        <w:spacing w:after="0" w:line="262" w:lineRule="auto"/>
        <w:tabs>
          <w:tab w:leader="none" w:pos="195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made by the Borrower (i) in businesses which are not in the business of commercial real estate so long as such businesses have real estate related purposes or such Investments are in connection with a real estate related transaction, including, without limitation, Investments in Mezzanine Loans, Mortgages, contracts for the management of real estate assets for third parties unrelated to the Borrower, and swaps, capped calls, hedges and other derivatives and similar or dissimilar hedging instruments entered into by the Borrower in the ordinary course of business for the purpose of mitigating risks associated with liabilities, commitments, investments, assets, or property held or reasonably anticipated by the Borrower, or changes in the value of securities issued by the Borrower, and not as an investment for purposes of speculation and (ii) in capital stock of BPI made pursuant to swaps, capped calls, hedges and other derivatives and similar or dissimilar hedging instruments entered into by the Borrower and/or BPI for the purpose of facilitating an exchangeable note offering of unsecured indebtedness by the Borrower that is permitted under §9.1;</w:t>
      </w:r>
    </w:p>
    <w:p>
      <w:pPr>
        <w:sectPr>
          <w:pgSz w:w="11900" w:h="16838" w:orient="portrait"/>
          <w:cols w:equalWidth="0" w:num="1">
            <w:col w:w="11240"/>
          </w:cols>
          <w:pgMar w:left="320" w:top="115" w:right="339" w:bottom="1440" w:gutter="0" w:footer="0" w:header="0"/>
        </w:sectPr>
      </w:pPr>
    </w:p>
    <w:bookmarkStart w:id="324" w:name="page325"/>
    <w:bookmarkEnd w:id="324"/>
    <w:p>
      <w:pPr>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b w:val="1"/>
          <w:bCs w:val="1"/>
          <w:u w:val="single" w:color="auto"/>
          <w:color w:val="auto"/>
        </w:rPr>
        <w:t>Conditions of Effectiveness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shall become effective as of the first date on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the following conditions precedent has been satisfied:</w:t>
      </w:r>
    </w:p>
    <w:p>
      <w:pPr>
        <w:spacing w:after="0" w:line="153" w:lineRule="exact"/>
        <w:rPr>
          <w:sz w:val="20"/>
          <w:szCs w:val="20"/>
          <w:color w:val="auto"/>
        </w:rPr>
      </w:pPr>
    </w:p>
    <w:p>
      <w:pPr>
        <w:jc w:val="both"/>
        <w:ind w:firstLine="1304"/>
        <w:spacing w:after="0" w:line="263" w:lineRule="auto"/>
        <w:tabs>
          <w:tab w:leader="none" w:pos="1941"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Agent’s receipt of the following, each of which shall be originals, telecopies or in .pdf or other electronic format (followed promptly by originals) in each case in accordance with §36 of the Amended Credit Agreement as incorporated herein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w:t>
      </w:r>
    </w:p>
    <w:p>
      <w:pPr>
        <w:spacing w:after="0" w:line="167"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592"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of this Amendment, duly executed and delivered by each of the Borrower, the Agent and Banks constituting Required Banks; and</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48" w:lineRule="auto"/>
        <w:tabs>
          <w:tab w:leader="none" w:pos="2598"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dated as of the First Amendment Effective Date, signed by an Authorized Officer of the Borrower certifying that before and after giving effect to this Amendment, (x) each of the representations and warranties made by or on behalf of the Borrower or BPI contained in the Amended Credit Agreement, the other Loan Documents or in any document or instrument delivered pursuant to or in connection with the Credit Agreement or the Amended Credit Agreement shall be true as of the date as of which they were made and shall also be true at and as of the First Amendment Effective Date (other than the representations in §7.5 and §7.14 of the Amended Credit Agreement, which shall be made only as of the Closing Date), with the same effect as if made at and as of that time (except (i) to the extent of changes resulting from transactions contemplated or not prohibited by the Credit Agreement or the other Loan Documents and changes occurring in the ordinary course of business, (ii) to the extent that such representations and warranties relate expressly to an earlier date, in which case they shall be true and correct as of such earlier date, and (iii) to the extent otherwise represented by the Borrower with respect to the representation set forth in §7.10 of the Amended Credit Agreement); and (y) no Default shall have occurred and be continuing.</w:t>
      </w:r>
    </w:p>
    <w:p>
      <w:pPr>
        <w:spacing w:after="0" w:line="19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has occurred and is continuing on the First Amendment Effective Date.</w:t>
      </w:r>
    </w:p>
    <w:p>
      <w:pPr>
        <w:spacing w:after="0" w:line="21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b w:val="1"/>
          <w:bCs w:val="1"/>
          <w:u w:val="single" w:color="auto"/>
          <w:color w:val="auto"/>
        </w:rPr>
        <w:t>Representations and Warranties of Loan Parties</w:t>
      </w:r>
      <w:r>
        <w:rPr>
          <w:rFonts w:ascii="Times New Roman" w:cs="Times New Roman" w:eastAsia="Times New Roman" w:hAnsi="Times New Roman"/>
          <w:sz w:val="22"/>
          <w:szCs w:val="22"/>
          <w:color w:val="auto"/>
        </w:rPr>
        <w:t>. After giving effect to this Amendment,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reaffirms that the representations and warranties made by or on behalf of the Borrower or BPI contained in the Credit Agreement, the other Loan Documents or in any document or instrument delivered pursuant to or in connection with the Credit Agreement or the Amended Credit Agreement, shall be true and correct on and as of the First Amendment Effective Date, (other than the representations in §7.5 and §7.14 of the Credit Agreement, which shall be made only as of the Closing Date), with the same effect as if made at and as of that time (except (i) to the extent of changes resulting from transactions contemplated or not prohibited by the Credit Agreement or the other Loan Documents and changes occurring in the ordinary course of business, (ii) to the extent that such representations and warranties relate expressly to an earlier date, in which case they shall be true and correct as of such earlier date, and (iii) to the extent otherwise represented by the Borrower with respect to the representation set forth in §7.10 of the Credit Agreement). The Borrower further represents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21"/>
          <w:szCs w:val="21"/>
          <w:color w:val="auto"/>
        </w:rPr>
        <w:t>warrants (which representations and warranties shall survive the execution and delivery hereof) to the Agent and the Banks that:</w:t>
      </w:r>
    </w:p>
    <w:p>
      <w:pPr>
        <w:spacing w:after="0" w:line="231" w:lineRule="exact"/>
        <w:rPr>
          <w:sz w:val="20"/>
          <w:szCs w:val="20"/>
          <w:color w:val="auto"/>
        </w:rPr>
      </w:pPr>
    </w:p>
    <w:p>
      <w:pPr>
        <w:jc w:val="both"/>
        <w:ind w:left="660" w:firstLine="644"/>
        <w:spacing w:after="0" w:line="263" w:lineRule="auto"/>
        <w:tabs>
          <w:tab w:leader="none" w:pos="2336"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all requisite power and authority to execute, deliver and perform its obligations under this Amendment and has taken or caused to be taken all necessary company action to authorize the execution, delivery and performance of this Amendment;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227"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of any Person (including, without limitation, any of its equity holders or creditors), and no action of, or filing with, any governmental or public body or authority is necessary or required in connection with, the execution, delivery and performance of this Amendment;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2258"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has been duly executed and delivered on its behalf by an Authorized Officer of the Borrower, and constitutes its legal, valid and binding obligation enforceable in accordance with its terms, except as enforceability may be limited by applicable bankruptcy, insolvency, reorganization, moratorium or similar laws affecting the enforcement of creditors’ rights generally and by general equitable principles, whether enforcement is sought by a proceeding in equity or at law;</w:t>
      </w:r>
    </w:p>
    <w:p>
      <w:pPr>
        <w:spacing w:after="0" w:line="178"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2253"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immediately before and immediately after giving effect to this Amendment and the transactions contemplated hereby, no Default or Event of Default has occurred and is continuing; and</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953"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this Amendment (i) do not materially conflict with or result in any breach or contravention of any provision of law, statute, rule or regulation to which the Borrower or BPI is subject or any judgment, order, writ, injunction, license or permit applicable to the Borrower or BPI, (ii) do not conflict with any provision of the agreement of limited partnership, any certificate of limited partnership, the charter documents or by-laws of the Borrower or BPI, and (iii) do not contravene any provisions of, or constitute Default or Event of Default or a failure to comply with any term, condition or provision of, any other agreement, instrument, judgment, order, decree, permit, license or undertaking binding upon or applicable to the Borrower or BPI or any of the Borrower’s or BPI’s properties (except for any such failure to comply under any such other agreement, instrument, judgment, order, decree, permit, license, or undertaking as would not materially and adversely affect the condition (financial or otherwise), properties, business or results of operations of BPLP, BPI or, taken as a whole, the BP Group) or result in the creation of any mortgage, pledge, security interest, lien, encumbrance or charge upon any of the properties or assets of the Borrower or BPI, as and to the extent the same would constitute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326" w:name="page327"/>
    <w:bookmarkEnd w:id="326"/>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Ratification</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63" w:lineRule="auto"/>
        <w:tabs>
          <w:tab w:leader="none" w:pos="1934"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Except as expressly amended hereby, the Credit Agreement, the other Loan Documents and all documents, instruments and agreements related thereto are hereby ratified and confirmed in all respects and shall continue in full force and effect.</w:t>
      </w:r>
    </w:p>
    <w:p>
      <w:pPr>
        <w:spacing w:after="0" w:line="27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2"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This Amendment shall be limited precisely as written and, except as expressly provided herein, shall not be deemed (i) to be a consent granted pursuant to, or a waiver, modification or forbearance of, any term or condition of the Credit Agreement or the Amended Credit Agreement or any of the instruments or agreements referred to therein or a waiver of any Default or Event of Default that may heretofore or hereafter occur or have occurred and be continuing under the Credit Agreement, the Amended Credit Agreement or any other Loan Document, whether or not known to the Agent, any Fronting Bank or any of the Banks, or (ii) to prejudice any right or remedy which the Agent, any Fronting Bank or any of the Banks may now have or have in the future against any Person under or in connection with the Credit Agreement, the Amended Credit Agreement the Loan Documents or any of the instruments or agreements referred to therein or any of the transactions contemplated thereby.</w:t>
      </w:r>
    </w:p>
    <w:p>
      <w:pPr>
        <w:spacing w:after="0" w:line="284"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b w:val="1"/>
          <w:bCs w:val="1"/>
          <w:u w:val="single" w:color="auto"/>
          <w:color w:val="auto"/>
        </w:rPr>
        <w:t>Modifications</w:t>
      </w:r>
      <w:r>
        <w:rPr>
          <w:rFonts w:ascii="Times New Roman" w:cs="Times New Roman" w:eastAsia="Times New Roman" w:hAnsi="Times New Roman"/>
          <w:sz w:val="22"/>
          <w:szCs w:val="22"/>
          <w:color w:val="auto"/>
        </w:rPr>
        <w:t>. Neither this Amendment, nor any provision hereof, may be waived, amended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modified except pursuant to an agreement or agreements in writing entered into by the parties hereto.</w:t>
      </w:r>
    </w:p>
    <w:p>
      <w:pPr>
        <w:spacing w:after="0" w:line="16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b w:val="1"/>
          <w:bCs w:val="1"/>
          <w:u w:val="single" w:color="auto"/>
          <w:color w:val="auto"/>
        </w:rPr>
        <w:t>Loan Document; References</w:t>
      </w:r>
      <w:r>
        <w:rPr>
          <w:rFonts w:ascii="Times New Roman" w:cs="Times New Roman" w:eastAsia="Times New Roman" w:hAnsi="Times New Roman"/>
          <w:sz w:val="22"/>
          <w:szCs w:val="22"/>
          <w:color w:val="auto"/>
        </w:rPr>
        <w:t>. The parties hereto agree that this Amendment is a Loan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reference in the Credit Agreement to “this Agreement,” “hereunder,” “hereof,” “herein,” or words of like import, and each reference in each other Loan Document (and the other documents and instruments delivered pursuant to or in connection therewith) to the “Credit Agreement”, “thereunder”, “thereof” or words of like import, shall mean and be a reference to the Amended Credit Agreement and as the Amended Credit Agreement may in the future be amended, restated, supplemented or modified from time to time.</w:t>
      </w:r>
    </w:p>
    <w:p>
      <w:pPr>
        <w:spacing w:after="0" w:line="17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b w:val="1"/>
          <w:bCs w:val="1"/>
          <w:u w:val="single" w:color="auto"/>
          <w:color w:val="auto"/>
        </w:rPr>
        <w:t>Counterparts; Execution</w:t>
      </w:r>
      <w:r>
        <w:rPr>
          <w:rFonts w:ascii="Times New Roman" w:cs="Times New Roman" w:eastAsia="Times New Roman" w:hAnsi="Times New Roman"/>
          <w:sz w:val="22"/>
          <w:szCs w:val="22"/>
          <w:color w:val="auto"/>
        </w:rPr>
        <w:t>. §36 of the Amended Credit Agreement is incorporated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 as if a part hereof.</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8. </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provisions of this Amendment shall be binding upon and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the parties hereto and their respective successors and assigns.</w:t>
      </w:r>
    </w:p>
    <w:p>
      <w:pPr>
        <w:spacing w:after="0" w:line="16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Amendment shall be held illegal, invalid or unenforceable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whole or in part in any jurisdiction, such provision shall, as to such jurisdiction, be ineffective to the extent of such illegality, invalidity or unenforceability without in any manner affecting the legality, validity or enforceability of such provision in any other jurisdiction or the remaining provisions of this Amendment in any jurisdiction.</w:t>
      </w:r>
    </w:p>
    <w:p>
      <w:pPr>
        <w:spacing w:after="0" w:line="175"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AMENDMENT IS A CONTRACT UNDER THE LAWS OF THE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NEW YORK AND THIS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327" w:name="page328"/>
    <w:bookmarkEnd w:id="327"/>
    <w:p>
      <w:pPr>
        <w:jc w:val="both"/>
        <w:spacing w:after="0" w:line="251" w:lineRule="auto"/>
        <w:rPr>
          <w:sz w:val="20"/>
          <w:szCs w:val="20"/>
          <w:color w:val="auto"/>
        </w:rPr>
      </w:pPr>
      <w:r>
        <w:rPr>
          <w:rFonts w:ascii="Times New Roman" w:cs="Times New Roman" w:eastAsia="Times New Roman" w:hAnsi="Times New Roman"/>
          <w:sz w:val="22"/>
          <w:szCs w:val="22"/>
          <w:color w:val="auto"/>
        </w:rPr>
        <w:t>ANY CLAIMS, CONTROVERSY, DISPUTE OR CAUSE OF ACTION (WHETHER IN CONTRACT OR TORT OR OTHERWISE) BASED UPON, ARISING OUT OF OR RELATING TO THIS AMENDMNENT AND THE TRANSACTIONS CONTEMPLATED HEREBY SHALL FOR ALL PURPOSES BE CONSTRUED IN ACCORDANCE WITH AND GOVERNED BY THE LAWS OF SUCH STATE (EXCLUDING THE LAWS APPLICABLE TO CONFLICTS OR CHOICE OF LAW OTHER THAN SECTIONS 5-1401 AND 5-1402 OF THE GENERAL OBLIGATIONS LAW OF THE STATE OF NEW YORK).</w:t>
      </w:r>
    </w:p>
    <w:p>
      <w:pPr>
        <w:spacing w:after="0" w:line="177"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Section headings in this Amendment are included for convenience of reference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are not to affect the construction of, or to be taken into consideration in interpreting, this Amendment.</w:t>
      </w:r>
    </w:p>
    <w:p>
      <w:pPr>
        <w:spacing w:after="0" w:line="16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Amendment constitutes the entire contract among the parties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subject matter hereof and supersedes any and all previous agreements and understandings, oral or written, relating to the subject matter hereof. Without limitation of the foregoing:</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AMENDMENT REPRESENTS THE FINAL AGREEMENT AMONG THE PARTIES WITH RESPECT TO THE SUBJECT MATTER HEREOF AND MAY NOT BE CONTRADICTED BY EVIDENCE OF PRIOR, CONTEMPORANEOUS, OR SUBSEQUENT ORAL AGREEMENTS OF THE PARTIES. THERE ARE NO UNWRITTEN ORAL AGREEMENTS AMONG THE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immediately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328" w:name="page329"/>
    <w:bookmarkEnd w:id="328"/>
    <w:p>
      <w:pPr>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IN WITNESS WHEREOF</w:t>
      </w:r>
      <w:r>
        <w:rPr>
          <w:rFonts w:ascii="Times New Roman" w:cs="Times New Roman" w:eastAsia="Times New Roman" w:hAnsi="Times New Roman"/>
          <w:sz w:val="22"/>
          <w:szCs w:val="22"/>
          <w:color w:val="auto"/>
        </w:rPr>
        <w:t>, the undersigned have caused this Amendment to be executed by their respective officers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thereunto duly authorized as of the date hereof.</w:t>
      </w:r>
    </w:p>
    <w:p>
      <w:pPr>
        <w:spacing w:after="0" w:line="1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BOSTON PROPERTIES LIMITED PARTNERSHIP</w:t>
      </w:r>
    </w:p>
    <w:p>
      <w:pPr>
        <w:spacing w:after="0" w:line="233" w:lineRule="exact"/>
        <w:rPr>
          <w:sz w:val="20"/>
          <w:szCs w:val="20"/>
          <w:color w:val="auto"/>
        </w:rPr>
      </w:pPr>
    </w:p>
    <w:p>
      <w:pPr>
        <w:jc w:val="center"/>
        <w:ind w:left="3880"/>
        <w:spacing w:after="0"/>
        <w:tabs>
          <w:tab w:leader="none" w:pos="260" w:val="left"/>
        </w:tabs>
        <w:rPr>
          <w:sz w:val="20"/>
          <w:szCs w:val="20"/>
          <w:color w:val="auto"/>
        </w:rPr>
      </w:pPr>
      <w:r>
        <w:rPr>
          <w:rFonts w:ascii="Times New Roman" w:cs="Times New Roman" w:eastAsia="Times New Roman" w:hAnsi="Times New Roman"/>
          <w:sz w:val="22"/>
          <w:szCs w:val="22"/>
          <w:color w:val="auto"/>
        </w:rPr>
        <w:t>By:</w:t>
        <w:tab/>
        <w:t>B</w:t>
      </w:r>
      <w:r>
        <w:rPr>
          <w:rFonts w:ascii="Arial" w:cs="Arial" w:eastAsia="Arial" w:hAnsi="Arial"/>
          <w:sz w:val="22"/>
          <w:szCs w:val="22"/>
          <w:color w:val="auto"/>
        </w:rPr>
        <w:t>XP</w:t>
      </w:r>
      <w:r>
        <w:rPr>
          <w:rFonts w:ascii="Times New Roman" w:cs="Times New Roman" w:eastAsia="Times New Roman" w:hAnsi="Times New Roman"/>
          <w:sz w:val="22"/>
          <w:szCs w:val="22"/>
          <w:color w:val="auto"/>
        </w:rPr>
        <w:t>, Inc., its sole general partner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Magaldi</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James Magaldi</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Senior Vice President, Finance &amp; Capital Markets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BXP, INC.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Magaldi</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James Magaldi</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Senior Vice President, Finance &amp;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11240"/>
          </w:cols>
          <w:pgMar w:left="320" w:top="1418" w:right="339" w:bottom="1440" w:gutter="0" w:footer="0" w:header="0"/>
        </w:sectPr>
      </w:pPr>
    </w:p>
    <w:bookmarkStart w:id="329" w:name="page330"/>
    <w:bookmarkEnd w:id="329"/>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BANK OF AMERICA, N.A., as Agent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Elizabeth Uribe</w:t>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Elizabeth Uribe</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019"/>
          </w:cols>
          <w:pgMar w:left="1440" w:top="1440" w:right="1440" w:bottom="1440" w:gutter="0" w:footer="0" w:header="0"/>
        </w:sectPr>
      </w:pPr>
    </w:p>
    <w:bookmarkStart w:id="330" w:name="page331"/>
    <w:bookmarkEnd w:id="330"/>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BANK OF AMERICA, N.A.,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Dennis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948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Dennis Kwan</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019"/>
          </w:cols>
          <w:pgMar w:left="1440" w:top="1440" w:right="1440" w:bottom="1440" w:gutter="0" w:footer="0" w:header="0"/>
        </w:sectPr>
      </w:pPr>
    </w:p>
    <w:bookmarkStart w:id="331" w:name="page332"/>
    <w:bookmarkEnd w:id="331"/>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JPMORGAN CHASE BANK, N.A.,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Richard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2611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Richard Armstrong</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019"/>
          </w:cols>
          <w:pgMar w:left="1440" w:top="1440" w:right="1440" w:bottom="1440" w:gutter="0" w:footer="0" w:header="0"/>
        </w:sectPr>
      </w:pPr>
    </w:p>
    <w:bookmarkStart w:id="332" w:name="page333"/>
    <w:bookmarkEnd w:id="332"/>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THE BANK OF NEW YORK MELLON, as a Bank</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Carol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948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Carol Murray</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019"/>
          </w:cols>
          <w:pgMar w:left="1440" w:top="1440" w:right="1440" w:bottom="1440" w:gutter="0" w:footer="0" w:header="0"/>
        </w:sectPr>
      </w:pPr>
    </w:p>
    <w:bookmarkStart w:id="333" w:name="page334"/>
    <w:bookmarkEnd w:id="333"/>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MORGAN STANLEY BANK, N.A.,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Gretell Merlo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948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Gretell Merlo</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019"/>
          </w:cols>
          <w:pgMar w:left="1440" w:top="1440" w:right="1440" w:bottom="1440" w:gutter="0" w:footer="0" w:header="0"/>
        </w:sectPr>
      </w:pPr>
    </w:p>
    <w:bookmarkStart w:id="334" w:name="page335"/>
    <w:bookmarkEnd w:id="334"/>
    <w:p>
      <w:pPr>
        <w:spacing w:after="0" w:line="198"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22"/>
          <w:szCs w:val="22"/>
          <w:color w:val="auto"/>
        </w:rPr>
        <w:t>PNC BANK, NATIONAL ASSOCIATION,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Brian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8420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842010"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Brian Kelly</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019"/>
          </w:cols>
          <w:pgMar w:left="1440" w:top="1440" w:right="1440" w:bottom="1440" w:gutter="0" w:footer="0" w:header="0"/>
        </w:sectPr>
      </w:pPr>
    </w:p>
    <w:bookmarkStart w:id="335" w:name="page336"/>
    <w:bookmarkEnd w:id="335"/>
    <w:p>
      <w:pPr>
        <w:spacing w:after="0" w:line="198" w:lineRule="exact"/>
        <w:rPr>
          <w:sz w:val="20"/>
          <w:szCs w:val="20"/>
          <w:color w:val="auto"/>
        </w:rPr>
      </w:pPr>
    </w:p>
    <w:p>
      <w:pPr>
        <w:jc w:val="right"/>
        <w:ind w:right="1639"/>
        <w:spacing w:after="0"/>
        <w:rPr>
          <w:sz w:val="20"/>
          <w:szCs w:val="20"/>
          <w:color w:val="auto"/>
        </w:rPr>
      </w:pPr>
      <w:r>
        <w:rPr>
          <w:rFonts w:ascii="Times New Roman" w:cs="Times New Roman" w:eastAsia="Times New Roman" w:hAnsi="Times New Roman"/>
          <w:sz w:val="22"/>
          <w:szCs w:val="22"/>
          <w:color w:val="auto"/>
        </w:rPr>
        <w:t>U.S. BANK NATIONAL ASSOCIATION,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Patrick T.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95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1159510"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Patrick T. Brooks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019"/>
          </w:cols>
          <w:pgMar w:left="1440" w:top="1440" w:right="1440" w:bottom="1440" w:gutter="0" w:footer="0" w:header="0"/>
        </w:sectPr>
      </w:pPr>
    </w:p>
    <w:bookmarkStart w:id="336" w:name="page337"/>
    <w:bookmarkEnd w:id="336"/>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WELLS FARGO BANK N.A.,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Brendan Poe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9029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902970"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Brendan Poe</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019"/>
          </w:cols>
          <w:pgMar w:left="1440" w:top="1440" w:right="1440" w:bottom="1440" w:gutter="0" w:footer="0" w:header="0"/>
        </w:sectPr>
      </w:pPr>
    </w:p>
    <w:bookmarkStart w:id="337" w:name="page338"/>
    <w:bookmarkEnd w:id="337"/>
    <w:p>
      <w:pPr>
        <w:spacing w:after="0" w:line="1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THE BANK OF NOVA SCOTIA,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Allisson Michaels-van Dijkum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8897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1889760"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Allisson Michaels-van Dijkum</w:t>
      </w:r>
    </w:p>
    <w:p>
      <w:pPr>
        <w:spacing w:after="0" w:line="5" w:lineRule="exact"/>
        <w:rPr>
          <w:sz w:val="20"/>
          <w:szCs w:val="20"/>
          <w:color w:val="auto"/>
        </w:rPr>
      </w:pPr>
    </w:p>
    <w:p>
      <w:pPr>
        <w:ind w:left="3100"/>
        <w:spacing w:after="0" w:line="259" w:lineRule="auto"/>
        <w:rPr>
          <w:sz w:val="20"/>
          <w:szCs w:val="20"/>
          <w:color w:val="auto"/>
        </w:rPr>
      </w:pPr>
      <w:r>
        <w:rPr>
          <w:rFonts w:ascii="Times New Roman" w:cs="Times New Roman" w:eastAsia="Times New Roman" w:hAnsi="Times New Roman"/>
          <w:sz w:val="22"/>
          <w:szCs w:val="22"/>
          <w:color w:val="auto"/>
        </w:rPr>
        <w:t>Title: Managing Director &amp; Head of Corporate Banking - U.S. Real Estate, Gaming &amp; Leisure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580"/>
          </w:cols>
          <w:pgMar w:left="1440" w:top="1440" w:right="879" w:bottom="1440" w:gutter="0" w:footer="0" w:header="0"/>
        </w:sectPr>
      </w:pPr>
    </w:p>
    <w:bookmarkStart w:id="338" w:name="page339"/>
    <w:bookmarkEnd w:id="338"/>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TD BANK, N.A.,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Jessica Trombly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0883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1088390"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Jessica Trombly</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019"/>
          </w:cols>
          <w:pgMar w:left="1440" w:top="1440" w:right="1440" w:bottom="1440" w:gutter="0" w:footer="0" w:header="0"/>
        </w:sectPr>
      </w:pPr>
    </w:p>
    <w:bookmarkStart w:id="339" w:name="page340"/>
    <w:bookmarkEnd w:id="339"/>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TRUIST BANK,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C. Vincent Hughes,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319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C. Vincent Hughes, Jr.</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019"/>
          </w:cols>
          <w:pgMar w:left="1440" w:top="1440" w:right="1440" w:bottom="1440" w:gutter="0" w:footer="0" w:header="0"/>
        </w:sectPr>
      </w:pPr>
    </w:p>
    <w:bookmarkStart w:id="340" w:name="page341"/>
    <w:bookmarkEnd w:id="340"/>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MIZUHO BANK, LTD.,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Donna DeMagistris</w:t>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Donna DeMagistris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019"/>
          </w:cols>
          <w:pgMar w:left="1440" w:top="1440" w:right="1440" w:bottom="1440" w:gutter="0" w:footer="0" w:header="0"/>
        </w:sectPr>
      </w:pPr>
    </w:p>
    <w:bookmarkStart w:id="341" w:name="page342"/>
    <w:bookmarkEnd w:id="341"/>
    <w:p>
      <w:pPr>
        <w:spacing w:after="0" w:line="198"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22"/>
          <w:szCs w:val="22"/>
          <w:color w:val="auto"/>
        </w:rPr>
        <w:t>SUMITOMO MITSUI BANKING CORPORATION,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Khrystyna Manko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925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Khrystyna Manko</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019"/>
          </w:cols>
          <w:pgMar w:left="1440" w:top="1440" w:right="1440" w:bottom="1440" w:gutter="0" w:footer="0" w:header="0"/>
        </w:sectPr>
      </w:pPr>
    </w:p>
    <w:bookmarkStart w:id="342" w:name="page343"/>
    <w:bookmarkEnd w:id="342"/>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M&amp;T BANK, as a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Maresa 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0318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1031875"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Maresa Carney</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Boston Properties Term Loan Credit Agreement</w:t>
      </w:r>
    </w:p>
    <w:p>
      <w:pPr>
        <w:sectPr>
          <w:pgSz w:w="11900" w:h="16838" w:orient="portrait"/>
          <w:cols w:equalWidth="0" w:num="1">
            <w:col w:w="9019"/>
          </w:cols>
          <w:pgMar w:left="1440" w:top="1440" w:right="1440"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90" w:lineRule="exact"/>
        <w:rPr>
          <w:sz w:val="20"/>
          <w:szCs w:val="20"/>
          <w:color w:val="auto"/>
        </w:rPr>
      </w:pPr>
    </w:p>
    <w:p>
      <w:pPr>
        <w:ind w:left="400" w:hanging="352"/>
        <w:spacing w:after="0"/>
        <w:tabs>
          <w:tab w:leader="none" w:pos="4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BXP, Inc.;</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2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840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33" w:right="33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90" w:lineRule="exact"/>
        <w:rPr>
          <w:sz w:val="20"/>
          <w:szCs w:val="20"/>
          <w:color w:val="auto"/>
        </w:rPr>
      </w:pPr>
    </w:p>
    <w:p>
      <w:pPr>
        <w:ind w:left="400" w:hanging="352"/>
        <w:spacing w:after="0"/>
        <w:tabs>
          <w:tab w:leader="none" w:pos="4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BXP, Inc.;</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838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52" w:right="339"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90" w:lineRule="exact"/>
        <w:rPr>
          <w:sz w:val="20"/>
          <w:szCs w:val="20"/>
          <w:color w:val="auto"/>
        </w:rPr>
      </w:pPr>
    </w:p>
    <w:p>
      <w:pPr>
        <w:ind w:left="400" w:hanging="352"/>
        <w:spacing w:after="0"/>
        <w:tabs>
          <w:tab w:leader="none" w:pos="4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Limited Partnership;</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2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17780</wp:posOffset>
            </wp:positionV>
            <wp:extent cx="32575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6"/>
          <w:szCs w:val="16"/>
          <w:b w:val="1"/>
          <w:bCs w:val="1"/>
          <w:color w:val="auto"/>
        </w:rPr>
        <w:t>Owen D. Thomas</w:t>
      </w:r>
    </w:p>
    <w:p>
      <w:pPr>
        <w:jc w:val="center"/>
        <w:ind w:left="6080"/>
        <w:spacing w:after="0" w:line="211" w:lineRule="auto"/>
        <w:rPr>
          <w:sz w:val="20"/>
          <w:szCs w:val="20"/>
          <w:color w:val="auto"/>
        </w:rPr>
      </w:pPr>
      <w:r>
        <w:rPr>
          <w:rFonts w:ascii="Arial" w:cs="Arial" w:eastAsia="Arial" w:hAnsi="Arial"/>
          <w:sz w:val="16"/>
          <w:szCs w:val="16"/>
          <w:b w:val="1"/>
          <w:bCs w:val="1"/>
          <w:color w:val="auto"/>
        </w:rPr>
        <w:t>Chief Executive Officer of BXP, Inc.</w:t>
      </w:r>
    </w:p>
    <w:p>
      <w:pPr>
        <w:jc w:val="center"/>
        <w:ind w:left="610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33" w:right="33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90" w:lineRule="exact"/>
        <w:rPr>
          <w:sz w:val="20"/>
          <w:szCs w:val="20"/>
          <w:color w:val="auto"/>
        </w:rPr>
      </w:pPr>
    </w:p>
    <w:p>
      <w:pPr>
        <w:ind w:left="400" w:hanging="352"/>
        <w:spacing w:after="0"/>
        <w:tabs>
          <w:tab w:leader="none" w:pos="4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Limited Partnership;</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760"/>
        <w:spacing w:after="0"/>
        <w:tabs>
          <w:tab w:leader="none" w:pos="812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17780</wp:posOffset>
            </wp:positionV>
            <wp:extent cx="32143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5" w:lineRule="exact"/>
        <w:rPr>
          <w:sz w:val="20"/>
          <w:szCs w:val="20"/>
          <w:color w:val="auto"/>
        </w:rPr>
      </w:pPr>
    </w:p>
    <w:p>
      <w:pPr>
        <w:jc w:val="center"/>
        <w:ind w:left="6160"/>
        <w:spacing w:after="0"/>
        <w:rPr>
          <w:sz w:val="20"/>
          <w:szCs w:val="20"/>
          <w:color w:val="auto"/>
        </w:rPr>
      </w:pPr>
      <w:r>
        <w:rPr>
          <w:rFonts w:ascii="Arial" w:cs="Arial" w:eastAsia="Arial" w:hAnsi="Arial"/>
          <w:sz w:val="16"/>
          <w:szCs w:val="16"/>
          <w:b w:val="1"/>
          <w:bCs w:val="1"/>
          <w:color w:val="auto"/>
        </w:rPr>
        <w:t>Michael E. LaBelle</w:t>
      </w:r>
    </w:p>
    <w:p>
      <w:pPr>
        <w:jc w:val="center"/>
        <w:ind w:left="6160"/>
        <w:spacing w:after="0" w:line="211" w:lineRule="auto"/>
        <w:rPr>
          <w:sz w:val="20"/>
          <w:szCs w:val="20"/>
          <w:color w:val="auto"/>
        </w:rPr>
      </w:pPr>
      <w:r>
        <w:rPr>
          <w:rFonts w:ascii="Arial" w:cs="Arial" w:eastAsia="Arial" w:hAnsi="Arial"/>
          <w:sz w:val="16"/>
          <w:szCs w:val="16"/>
          <w:b w:val="1"/>
          <w:bCs w:val="1"/>
          <w:color w:val="auto"/>
        </w:rPr>
        <w:t>Chief Financial Officer of BXP, Inc.</w:t>
      </w:r>
    </w:p>
    <w:p>
      <w:pPr>
        <w:jc w:val="center"/>
        <w:ind w:left="616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33" w:right="339" w:bottom="1440" w:gutter="0" w:footer="0" w:header="0"/>
        </w:sectPr>
      </w:pPr>
    </w:p>
    <w:bookmarkStart w:id="347" w:name="page348"/>
    <w:bookmarkEnd w:id="3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undersigned officer of BXP, Inc. (the “Company”) hereby certifies to his knowledge that the Company’s Quarterly Report on Form 10-Q for the period ended September 30, 2024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20"/>
        <w:spacing w:after="0"/>
        <w:tabs>
          <w:tab w:leader="none" w:pos="838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376" w:right="33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undersigned officer of BXP, Inc. (the “Company”) hereby certifies to his knowledge that the Company's Quarterly Report on Form 10-Q for the period ended September 30, 2024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980"/>
        <w:spacing w:after="0"/>
        <w:tabs>
          <w:tab w:leader="none" w:pos="834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376" w:right="339"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ind w:right="140" w:firstLine="445"/>
        <w:spacing w:after="0" w:line="257" w:lineRule="auto"/>
        <w:rPr>
          <w:sz w:val="20"/>
          <w:szCs w:val="20"/>
          <w:color w:val="auto"/>
        </w:rPr>
      </w:pPr>
      <w:r>
        <w:rPr>
          <w:rFonts w:ascii="Arial" w:cs="Arial" w:eastAsia="Arial" w:hAnsi="Arial"/>
          <w:sz w:val="18"/>
          <w:szCs w:val="18"/>
          <w:color w:val="auto"/>
        </w:rPr>
        <w:t>The undersigned officer of BXP, Inc., the sole general partner of Boston Properties Limited Partnership (the “Operating Partnership”), hereby certifies to his knowledge that the Operating Partnership's Quarterly Report on Form 10-Q for the period ended September 30, 2024 (the “Report”), as filed with the Securities and Exchange Commission on the date hereof, fully complies with the requirements of</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40"/>
        <w:spacing w:after="0"/>
        <w:tabs>
          <w:tab w:leader="none" w:pos="802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17780</wp:posOffset>
            </wp:positionV>
            <wp:extent cx="32575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6"/>
          <w:szCs w:val="16"/>
          <w:b w:val="1"/>
          <w:bCs w:val="1"/>
          <w:color w:val="auto"/>
        </w:rPr>
        <w:t>Owen D. Thomas</w:t>
      </w:r>
    </w:p>
    <w:p>
      <w:pPr>
        <w:jc w:val="center"/>
        <w:ind w:left="6080"/>
        <w:spacing w:after="0" w:line="211" w:lineRule="auto"/>
        <w:rPr>
          <w:sz w:val="20"/>
          <w:szCs w:val="20"/>
          <w:color w:val="auto"/>
        </w:rPr>
      </w:pPr>
      <w:r>
        <w:rPr>
          <w:rFonts w:ascii="Arial" w:cs="Arial" w:eastAsia="Arial" w:hAnsi="Arial"/>
          <w:sz w:val="16"/>
          <w:szCs w:val="16"/>
          <w:b w:val="1"/>
          <w:bCs w:val="1"/>
          <w:color w:val="auto"/>
        </w:rPr>
        <w:t>Chief Executive Officer of BXP, Inc.</w:t>
      </w:r>
    </w:p>
    <w:p>
      <w:pPr>
        <w:jc w:val="center"/>
        <w:ind w:left="610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322" w:right="3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32.4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The undersigned officer of BXP, Inc., the sole general partner of Boston Properties Limited Partnership (the “Operating Partnership”), hereby certifies to his knowledge that the Operating Partnership’s Quarterly Report on Form 10-Q for the period ended September 30, 2024 (the “Report”), as filed with the Securities and Exchange Commission on the date hereof, fully complies with the requirements of</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0"/>
        <w:spacing w:after="0"/>
        <w:tabs>
          <w:tab w:leader="none" w:pos="796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17780</wp:posOffset>
            </wp:positionV>
            <wp:extent cx="32575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Michael E. LaBelle</w:t>
      </w:r>
    </w:p>
    <w:p>
      <w:pPr>
        <w:jc w:val="center"/>
        <w:ind w:left="6100"/>
        <w:spacing w:after="0" w:line="211" w:lineRule="auto"/>
        <w:rPr>
          <w:sz w:val="20"/>
          <w:szCs w:val="20"/>
          <w:color w:val="auto"/>
        </w:rPr>
      </w:pPr>
      <w:r>
        <w:rPr>
          <w:rFonts w:ascii="Arial" w:cs="Arial" w:eastAsia="Arial" w:hAnsi="Arial"/>
          <w:sz w:val="16"/>
          <w:szCs w:val="16"/>
          <w:b w:val="1"/>
          <w:bCs w:val="1"/>
          <w:color w:val="auto"/>
        </w:rPr>
        <w:t>Chief Financial Officer of BXP, Inc.</w:t>
      </w:r>
    </w:p>
    <w:p>
      <w:pPr>
        <w:jc w:val="center"/>
        <w:ind w:left="6100"/>
        <w:spacing w:after="0"/>
        <w:rPr>
          <w:sz w:val="20"/>
          <w:szCs w:val="20"/>
          <w:color w:val="auto"/>
        </w:rPr>
      </w:pPr>
      <w:r>
        <w:rPr>
          <w:rFonts w:ascii="Arial" w:cs="Arial" w:eastAsia="Arial" w:hAnsi="Arial"/>
          <w:sz w:val="16"/>
          <w:szCs w:val="16"/>
          <w:b w:val="1"/>
          <w:bCs w:val="1"/>
          <w:color w:val="auto"/>
        </w:rPr>
        <w:t>General Partner of Boston Properties Limited Partnership</w:t>
      </w:r>
    </w:p>
    <w:sectPr>
      <w:pgSz w:w="11900" w:h="16838" w:orient="portrait"/>
      <w:cols w:equalWidth="0" w:num="1">
        <w:col w:w="11240"/>
      </w:cols>
      <w:pgMar w:left="320" w:top="13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27069A"/>
    <w:multiLevelType w:val="hybridMultilevel"/>
    <w:lvl w:ilvl="0">
      <w:lvlJc w:val="left"/>
      <w:lvlText w:val="☒"/>
      <w:numFmt w:val="bullet"/>
      <w:start w:val="1"/>
    </w:lvl>
  </w:abstractNum>
  <w:abstractNum w:abstractNumId="1">
    <w:nsid w:val="B37E80A"/>
    <w:multiLevelType w:val="hybridMultilevel"/>
    <w:lvl w:ilvl="0">
      <w:lvlJc w:val="left"/>
      <w:lvlText w:val="☐"/>
      <w:numFmt w:val="bullet"/>
      <w:start w:val="1"/>
    </w:lvl>
  </w:abstractNum>
  <w:abstractNum w:abstractNumId="2">
    <w:nsid w:val="2157F6BC"/>
    <w:multiLevelType w:val="hybridMultilevel"/>
    <w:lvl w:ilvl="0">
      <w:lvlJc w:val="left"/>
      <w:lvlText w:val="•"/>
      <w:numFmt w:val="bullet"/>
      <w:start w:val="1"/>
    </w:lvl>
  </w:abstractNum>
  <w:abstractNum w:abstractNumId="3">
    <w:nsid w:val="704E1DD5"/>
    <w:multiLevelType w:val="hybridMultilevel"/>
    <w:lvl w:ilvl="0">
      <w:lvlJc w:val="left"/>
      <w:lvlText w:val="•"/>
      <w:numFmt w:val="bullet"/>
      <w:start w:val="1"/>
    </w:lvl>
  </w:abstractNum>
  <w:abstractNum w:abstractNumId="4">
    <w:nsid w:val="57D2F10E"/>
    <w:multiLevelType w:val="hybridMultilevel"/>
    <w:lvl w:ilvl="0">
      <w:lvlJc w:val="left"/>
      <w:lvlText w:val="(%1)"/>
      <w:numFmt w:val="decimal"/>
      <w:start w:val="1"/>
    </w:lvl>
  </w:abstractNum>
  <w:abstractNum w:abstractNumId="5">
    <w:nsid w:val="BFFAE18"/>
    <w:multiLevelType w:val="hybridMultilevel"/>
    <w:lvl w:ilvl="0">
      <w:lvlJc w:val="left"/>
      <w:lvlText w:val="(%1)"/>
      <w:numFmt w:val="decimal"/>
      <w:start w:val="1"/>
    </w:lvl>
  </w:abstractNum>
  <w:abstractNum w:abstractNumId="6">
    <w:nsid w:val="E3E47A8"/>
    <w:multiLevelType w:val="hybridMultilevel"/>
    <w:lvl w:ilvl="0">
      <w:lvlJc w:val="left"/>
      <w:lvlText w:val="•"/>
      <w:numFmt w:val="bullet"/>
      <w:start w:val="1"/>
    </w:lvl>
  </w:abstractNum>
  <w:abstractNum w:abstractNumId="7">
    <w:nsid w:val="2E48F044"/>
    <w:multiLevelType w:val="hybridMultilevel"/>
    <w:lvl w:ilvl="0">
      <w:lvlJc w:val="left"/>
      <w:lvlText w:val="%1."/>
      <w:numFmt w:val="decimal"/>
      <w:start w:val="1"/>
    </w:lvl>
    <w:lvl w:ilvl="1">
      <w:lvlJc w:val="left"/>
      <w:lvlText w:val="•"/>
      <w:numFmt w:val="bullet"/>
      <w:start w:val="1"/>
    </w:lvl>
  </w:abstractNum>
  <w:abstractNum w:abstractNumId="8">
    <w:nsid w:val="49D0FEAC"/>
    <w:multiLevelType w:val="hybridMultilevel"/>
    <w:lvl w:ilvl="0">
      <w:lvlJc w:val="left"/>
      <w:lvlText w:val="(%1)"/>
      <w:numFmt w:val="decimal"/>
      <w:start w:val="1"/>
    </w:lvl>
  </w:abstractNum>
  <w:abstractNum w:abstractNumId="9">
    <w:nsid w:val="4BEE5A5B"/>
    <w:multiLevelType w:val="hybridMultilevel"/>
    <w:lvl w:ilvl="0">
      <w:lvlJc w:val="left"/>
      <w:lvlText w:val="(%1)"/>
      <w:numFmt w:val="decimal"/>
      <w:start w:val="1"/>
    </w:lvl>
  </w:abstractNum>
  <w:abstractNum w:abstractNumId="10">
    <w:nsid w:val="5551B9F3"/>
    <w:multiLevelType w:val="hybridMultilevel"/>
    <w:lvl w:ilvl="0">
      <w:lvlJc w:val="left"/>
      <w:lvlText w:val="(%1)"/>
      <w:numFmt w:val="decimal"/>
      <w:start w:val="1"/>
    </w:lvl>
  </w:abstractNum>
  <w:abstractNum w:abstractNumId="11">
    <w:nsid w:val="24F6AB8E"/>
    <w:multiLevelType w:val="hybridMultilevel"/>
    <w:lvl w:ilvl="0">
      <w:lvlJc w:val="left"/>
      <w:lvlText w:val="%1."/>
      <w:numFmt w:val="decimal"/>
      <w:start w:val="4"/>
    </w:lvl>
  </w:abstractNum>
  <w:abstractNum w:abstractNumId="12">
    <w:nsid w:val="634C574C"/>
    <w:multiLevelType w:val="hybridMultilevel"/>
    <w:lvl w:ilvl="0">
      <w:lvlJc w:val="left"/>
      <w:lvlText w:val="(%1)"/>
      <w:numFmt w:val="decimal"/>
      <w:start w:val="1"/>
    </w:lvl>
  </w:abstractNum>
  <w:abstractNum w:abstractNumId="13">
    <w:nsid w:val="24E99DD7"/>
    <w:multiLevelType w:val="hybridMultilevel"/>
    <w:lvl w:ilvl="0">
      <w:lvlJc w:val="left"/>
      <w:lvlText w:val="(%1)"/>
      <w:numFmt w:val="decimal"/>
      <w:start w:val="3"/>
    </w:lvl>
  </w:abstractNum>
  <w:abstractNum w:abstractNumId="14">
    <w:nsid w:val="2A31B62D"/>
    <w:multiLevelType w:val="hybridMultilevel"/>
    <w:lvl w:ilvl="0">
      <w:lvlJc w:val="left"/>
      <w:lvlText w:val="(%1)"/>
      <w:numFmt w:val="decimal"/>
      <w:start w:val="1"/>
    </w:lvl>
  </w:abstractNum>
  <w:abstractNum w:abstractNumId="15">
    <w:nsid w:val="1849C29B"/>
    <w:multiLevelType w:val="hybridMultilevel"/>
    <w:lvl w:ilvl="0">
      <w:lvlJc w:val="left"/>
      <w:lvlText w:val="(%1)"/>
      <w:numFmt w:val="decimal"/>
      <w:start w:val="5"/>
    </w:lvl>
  </w:abstractNum>
  <w:abstractNum w:abstractNumId="16">
    <w:nsid w:val="7DFF9D09"/>
    <w:multiLevelType w:val="hybridMultilevel"/>
    <w:lvl w:ilvl="0">
      <w:lvlJc w:val="left"/>
      <w:lvlText w:val="(%1)"/>
      <w:numFmt w:val="decimal"/>
      <w:start w:val="1"/>
    </w:lvl>
  </w:abstractNum>
  <w:abstractNum w:abstractNumId="17">
    <w:nsid w:val="754342"/>
    <w:multiLevelType w:val="hybridMultilevel"/>
    <w:lvl w:ilvl="0">
      <w:lvlJc w:val="left"/>
      <w:lvlText w:val="%1."/>
      <w:numFmt w:val="decimal"/>
      <w:start w:val="6"/>
    </w:lvl>
  </w:abstractNum>
  <w:abstractNum w:abstractNumId="18">
    <w:nsid w:val="69E7F3E5"/>
    <w:multiLevelType w:val="hybridMultilevel"/>
    <w:lvl w:ilvl="0">
      <w:lvlJc w:val="left"/>
      <w:lvlText w:val="(%1)"/>
      <w:numFmt w:val="decimal"/>
      <w:start w:val="1"/>
    </w:lvl>
  </w:abstractNum>
  <w:abstractNum w:abstractNumId="19">
    <w:nsid w:val="2A6DE806"/>
    <w:multiLevelType w:val="hybridMultilevel"/>
    <w:lvl w:ilvl="0">
      <w:lvlJc w:val="left"/>
      <w:lvlText w:val="(%1)"/>
      <w:numFmt w:val="decimal"/>
      <w:start w:val="1"/>
    </w:lvl>
  </w:abstractNum>
  <w:abstractNum w:abstractNumId="20">
    <w:nsid w:val="1816F8C4"/>
    <w:multiLevelType w:val="hybridMultilevel"/>
    <w:lvl w:ilvl="0">
      <w:lvlJc w:val="left"/>
      <w:lvlText w:val="(%1)"/>
      <w:numFmt w:val="decimal"/>
      <w:start w:val="1"/>
    </w:lvl>
  </w:abstractNum>
  <w:abstractNum w:abstractNumId="21">
    <w:nsid w:val="37DF2233"/>
    <w:multiLevelType w:val="hybridMultilevel"/>
    <w:lvl w:ilvl="0">
      <w:lvlJc w:val="left"/>
      <w:lvlText w:val="(%1)"/>
      <w:numFmt w:val="decimal"/>
      <w:start w:val="1"/>
    </w:lvl>
  </w:abstractNum>
  <w:abstractNum w:abstractNumId="22">
    <w:nsid w:val="7AB49DAF"/>
    <w:multiLevelType w:val="hybridMultilevel"/>
    <w:lvl w:ilvl="0">
      <w:lvlJc w:val="left"/>
      <w:lvlText w:val="(%1)"/>
      <w:numFmt w:val="decimal"/>
      <w:start w:val="1"/>
    </w:lvl>
  </w:abstractNum>
  <w:abstractNum w:abstractNumId="23">
    <w:nsid w:val="759F82CD"/>
    <w:multiLevelType w:val="hybridMultilevel"/>
    <w:lvl w:ilvl="0">
      <w:lvlJc w:val="left"/>
      <w:lvlText w:val="(%1)"/>
      <w:numFmt w:val="decimal"/>
      <w:start w:val="1"/>
    </w:lvl>
  </w:abstractNum>
  <w:abstractNum w:abstractNumId="24">
    <w:nsid w:val="61E74EA3"/>
    <w:multiLevelType w:val="hybridMultilevel"/>
    <w:lvl w:ilvl="0">
      <w:lvlJc w:val="left"/>
      <w:lvlText w:val="%1"/>
      <w:numFmt w:val="decimal"/>
      <w:start w:val="1"/>
    </w:lvl>
    <w:lvl w:ilvl="1">
      <w:lvlJc w:val="left"/>
      <w:lvlText w:val="(%2)"/>
      <w:numFmt w:val="decimal"/>
      <w:start w:val="1"/>
    </w:lvl>
  </w:abstractNum>
  <w:abstractNum w:abstractNumId="25">
    <w:nsid w:val="597B4D84"/>
    <w:multiLevelType w:val="hybridMultilevel"/>
    <w:lvl w:ilvl="0">
      <w:lvlJc w:val="left"/>
      <w:lvlText w:val="%1."/>
      <w:numFmt w:val="decimal"/>
      <w:start w:val="12"/>
    </w:lvl>
    <w:lvl w:ilvl="1">
      <w:lvlJc w:val="left"/>
      <w:lvlText w:val="%2"/>
      <w:numFmt w:val="decimal"/>
      <w:start w:val="1"/>
    </w:lvl>
  </w:abstractNum>
  <w:abstractNum w:abstractNumId="26">
    <w:nsid w:val="F819E7F"/>
    <w:multiLevelType w:val="hybridMultilevel"/>
    <w:lvl w:ilvl="0">
      <w:lvlJc w:val="left"/>
      <w:lvlText w:val="•"/>
      <w:numFmt w:val="bullet"/>
      <w:start w:val="1"/>
    </w:lvl>
  </w:abstractNum>
  <w:abstractNum w:abstractNumId="27">
    <w:nsid w:val="57C7D42D"/>
    <w:multiLevelType w:val="hybridMultilevel"/>
    <w:lvl w:ilvl="0">
      <w:lvlJc w:val="left"/>
      <w:lvlText w:val="•"/>
      <w:numFmt w:val="bullet"/>
      <w:start w:val="1"/>
    </w:lvl>
  </w:abstractNum>
  <w:abstractNum w:abstractNumId="28">
    <w:nsid w:val="312167AD"/>
    <w:multiLevelType w:val="hybridMultilevel"/>
    <w:lvl w:ilvl="0">
      <w:lvlJc w:val="left"/>
      <w:lvlText w:val="•"/>
      <w:numFmt w:val="bullet"/>
      <w:start w:val="1"/>
    </w:lvl>
  </w:abstractNum>
  <w:abstractNum w:abstractNumId="29">
    <w:nsid w:val="631B64D4"/>
    <w:multiLevelType w:val="hybridMultilevel"/>
    <w:lvl w:ilvl="0">
      <w:lvlJc w:val="left"/>
      <w:lvlText w:val="•"/>
      <w:numFmt w:val="bullet"/>
      <w:start w:val="1"/>
    </w:lvl>
  </w:abstractNum>
  <w:abstractNum w:abstractNumId="30">
    <w:nsid w:val="78B5E776"/>
    <w:multiLevelType w:val="hybridMultilevel"/>
    <w:lvl w:ilvl="0">
      <w:lvlJc w:val="left"/>
      <w:lvlText w:val="•"/>
      <w:numFmt w:val="bullet"/>
      <w:start w:val="1"/>
    </w:lvl>
  </w:abstractNum>
  <w:abstractNum w:abstractNumId="31">
    <w:nsid w:val="75486E47"/>
    <w:multiLevelType w:val="hybridMultilevel"/>
    <w:lvl w:ilvl="0">
      <w:lvlJc w:val="left"/>
      <w:lvlText w:val="•"/>
      <w:numFmt w:val="bullet"/>
      <w:start w:val="1"/>
    </w:lvl>
  </w:abstractNum>
  <w:abstractNum w:abstractNumId="32">
    <w:nsid w:val="6E534CDE"/>
    <w:multiLevelType w:val="hybridMultilevel"/>
    <w:lvl w:ilvl="0">
      <w:lvlJc w:val="left"/>
      <w:lvlText w:val="(%1)"/>
      <w:numFmt w:val="decimal"/>
      <w:start w:val="1"/>
    </w:lvl>
  </w:abstractNum>
  <w:abstractNum w:abstractNumId="33">
    <w:nsid w:val="1A0DDE32"/>
    <w:multiLevelType w:val="hybridMultilevel"/>
    <w:lvl w:ilvl="0">
      <w:lvlJc w:val="left"/>
      <w:lvlText w:val="(%1)"/>
      <w:numFmt w:val="decimal"/>
      <w:start w:val="7"/>
    </w:lvl>
  </w:abstractNum>
  <w:abstractNum w:abstractNumId="34">
    <w:nsid w:val="65968C1C"/>
    <w:multiLevelType w:val="hybridMultilevel"/>
    <w:lvl w:ilvl="0">
      <w:lvlJc w:val="left"/>
      <w:lvlText w:val="•"/>
      <w:numFmt w:val="bullet"/>
      <w:start w:val="1"/>
    </w:lvl>
  </w:abstractNum>
  <w:abstractNum w:abstractNumId="35">
    <w:nsid w:val="46263DEC"/>
    <w:multiLevelType w:val="hybridMultilevel"/>
    <w:lvl w:ilvl="0">
      <w:lvlJc w:val="left"/>
      <w:lvlText w:val="•"/>
      <w:numFmt w:val="bullet"/>
      <w:start w:val="1"/>
    </w:lvl>
  </w:abstractNum>
  <w:abstractNum w:abstractNumId="36">
    <w:nsid w:val="260D8C4A"/>
    <w:multiLevelType w:val="hybridMultilevel"/>
    <w:lvl w:ilvl="0">
      <w:lvlJc w:val="left"/>
      <w:lvlText w:val="•"/>
      <w:numFmt w:val="bullet"/>
      <w:start w:val="1"/>
    </w:lvl>
  </w:abstractNum>
  <w:abstractNum w:abstractNumId="37">
    <w:nsid w:val="73D4D3C4"/>
    <w:multiLevelType w:val="hybridMultilevel"/>
    <w:lvl w:ilvl="0">
      <w:lvlJc w:val="left"/>
      <w:lvlText w:val="•"/>
      <w:numFmt w:val="bullet"/>
      <w:start w:val="1"/>
    </w:lvl>
  </w:abstractNum>
  <w:abstractNum w:abstractNumId="38">
    <w:nsid w:val="746F2E30"/>
    <w:multiLevelType w:val="hybridMultilevel"/>
    <w:lvl w:ilvl="0">
      <w:lvlJc w:val="left"/>
      <w:lvlText w:val="•"/>
      <w:numFmt w:val="bullet"/>
      <w:start w:val="1"/>
    </w:lvl>
  </w:abstractNum>
  <w:abstractNum w:abstractNumId="39">
    <w:nsid w:val="6FDE8AF6"/>
    <w:multiLevelType w:val="hybridMultilevel"/>
    <w:lvl w:ilvl="0">
      <w:lvlJc w:val="left"/>
      <w:lvlText w:val="(%1)"/>
      <w:numFmt w:val="decimal"/>
      <w:start w:val="1"/>
    </w:lvl>
  </w:abstractNum>
  <w:abstractNum w:abstractNumId="40">
    <w:nsid w:val="3FC32E20"/>
    <w:multiLevelType w:val="hybridMultilevel"/>
    <w:lvl w:ilvl="0">
      <w:lvlJc w:val="left"/>
      <w:lvlText w:val="(%1)"/>
      <w:numFmt w:val="decimal"/>
      <w:start w:val="1"/>
    </w:lvl>
  </w:abstractNum>
  <w:abstractNum w:abstractNumId="41">
    <w:nsid w:val="49C0E823"/>
    <w:multiLevelType w:val="hybridMultilevel"/>
    <w:lvl w:ilvl="0">
      <w:lvlJc w:val="left"/>
      <w:lvlText w:val="(%1)"/>
      <w:numFmt w:val="decimal"/>
      <w:start w:val="1"/>
    </w:lvl>
  </w:abstractNum>
  <w:abstractNum w:abstractNumId="42">
    <w:nsid w:val="14D53685"/>
    <w:multiLevelType w:val="hybridMultilevel"/>
    <w:lvl w:ilvl="0">
      <w:lvlJc w:val="left"/>
      <w:lvlText w:val="(%1)"/>
      <w:numFmt w:val="decimal"/>
      <w:start w:val="4"/>
    </w:lvl>
  </w:abstractNum>
  <w:abstractNum w:abstractNumId="43">
    <w:nsid w:val="230F856C"/>
    <w:multiLevelType w:val="hybridMultilevel"/>
    <w:lvl w:ilvl="0">
      <w:lvlJc w:val="left"/>
      <w:lvlText w:val="(%1)"/>
      <w:numFmt w:val="decimal"/>
      <w:start w:val="1"/>
    </w:lvl>
  </w:abstractNum>
  <w:abstractNum w:abstractNumId="44">
    <w:nsid w:val="6EAA85FB"/>
    <w:multiLevelType w:val="hybridMultilevel"/>
    <w:lvl w:ilvl="0">
      <w:lvlJc w:val="left"/>
      <w:lvlText w:val="(%1)"/>
      <w:numFmt w:val="decimal"/>
      <w:start w:val="1"/>
    </w:lvl>
  </w:abstractNum>
  <w:abstractNum w:abstractNumId="45">
    <w:nsid w:val="3F06ECB2"/>
    <w:multiLevelType w:val="hybridMultilevel"/>
    <w:lvl w:ilvl="0">
      <w:lvlJc w:val="left"/>
      <w:lvlText w:val="(%1)"/>
      <w:numFmt w:val="decimal"/>
      <w:start w:val="1"/>
    </w:lvl>
  </w:abstractNum>
  <w:abstractNum w:abstractNumId="46">
    <w:nsid w:val="3B594807"/>
    <w:multiLevelType w:val="hybridMultilevel"/>
    <w:lvl w:ilvl="0">
      <w:lvlJc w:val="left"/>
      <w:lvlText w:val="(%1)"/>
      <w:numFmt w:val="decimal"/>
      <w:start w:val="1"/>
    </w:lvl>
  </w:abstractNum>
  <w:abstractNum w:abstractNumId="47">
    <w:nsid w:val="6CAA2304"/>
    <w:multiLevelType w:val="hybridMultilevel"/>
    <w:lvl w:ilvl="0">
      <w:lvlJc w:val="left"/>
      <w:lvlText w:val="(%1)"/>
      <w:numFmt w:val="decimal"/>
      <w:start w:val="1"/>
    </w:lvl>
  </w:abstractNum>
  <w:abstractNum w:abstractNumId="48">
    <w:nsid w:val="3F7C2FF4"/>
    <w:multiLevelType w:val="hybridMultilevel"/>
    <w:lvl w:ilvl="0">
      <w:lvlJc w:val="left"/>
      <w:lvlText w:val="(%1)"/>
      <w:numFmt w:val="decimal"/>
      <w:start w:val="1"/>
    </w:lvl>
  </w:abstractNum>
  <w:abstractNum w:abstractNumId="49">
    <w:nsid w:val="25413BEC"/>
    <w:multiLevelType w:val="hybridMultilevel"/>
    <w:lvl w:ilvl="0">
      <w:lvlJc w:val="left"/>
      <w:lvlText w:val="(%1)"/>
      <w:numFmt w:val="decimal"/>
      <w:start w:val="1"/>
    </w:lvl>
  </w:abstractNum>
  <w:abstractNum w:abstractNumId="50">
    <w:nsid w:val="17180B0B"/>
    <w:multiLevelType w:val="hybridMultilevel"/>
    <w:lvl w:ilvl="0">
      <w:lvlJc w:val="left"/>
      <w:lvlText w:val="(%1)"/>
      <w:numFmt w:val="decimal"/>
      <w:start w:val="1"/>
    </w:lvl>
  </w:abstractNum>
  <w:abstractNum w:abstractNumId="51">
    <w:nsid w:val="579328B9"/>
    <w:multiLevelType w:val="hybridMultilevel"/>
    <w:lvl w:ilvl="0">
      <w:lvlJc w:val="left"/>
      <w:lvlText w:val="(%1)"/>
      <w:numFmt w:val="decimal"/>
      <w:start w:val="1"/>
    </w:lvl>
  </w:abstractNum>
  <w:abstractNum w:abstractNumId="52">
    <w:nsid w:val="5D205E20"/>
    <w:multiLevelType w:val="hybridMultilevel"/>
    <w:lvl w:ilvl="0">
      <w:lvlJc w:val="left"/>
      <w:lvlText w:val="(%1)"/>
      <w:numFmt w:val="decimal"/>
      <w:start w:val="1"/>
    </w:lvl>
  </w:abstractNum>
  <w:abstractNum w:abstractNumId="53">
    <w:nsid w:val="11CCA8BA"/>
    <w:multiLevelType w:val="hybridMultilevel"/>
    <w:lvl w:ilvl="0">
      <w:lvlJc w:val="left"/>
      <w:lvlText w:val="•"/>
      <w:numFmt w:val="bullet"/>
      <w:start w:val="1"/>
    </w:lvl>
    <w:lvl w:ilvl="1">
      <w:lvlJc w:val="left"/>
      <w:lvlText w:val="◦"/>
      <w:numFmt w:val="bullet"/>
      <w:start w:val="1"/>
    </w:lvl>
  </w:abstractNum>
  <w:abstractNum w:abstractNumId="54">
    <w:nsid w:val="4D32AB86"/>
    <w:multiLevelType w:val="hybridMultilevel"/>
    <w:lvl w:ilvl="0">
      <w:lvlJc w:val="left"/>
      <w:lvlText w:val="•"/>
      <w:numFmt w:val="bullet"/>
      <w:start w:val="1"/>
    </w:lvl>
  </w:abstractNum>
  <w:abstractNum w:abstractNumId="55">
    <w:nsid w:val="3F07ACC3"/>
    <w:multiLevelType w:val="hybridMultilevel"/>
    <w:lvl w:ilvl="0">
      <w:lvlJc w:val="left"/>
      <w:lvlText w:val="•"/>
      <w:numFmt w:val="bullet"/>
      <w:start w:val="1"/>
    </w:lvl>
  </w:abstractNum>
  <w:abstractNum w:abstractNumId="56">
    <w:nsid w:val="6B47F63E"/>
    <w:multiLevelType w:val="hybridMultilevel"/>
    <w:lvl w:ilvl="0">
      <w:lvlJc w:val="left"/>
      <w:lvlText w:val="(%1)"/>
      <w:numFmt w:val="decimal"/>
      <w:start w:val="1"/>
    </w:lvl>
  </w:abstractNum>
  <w:abstractNum w:abstractNumId="57">
    <w:nsid w:val="5CB44A05"/>
    <w:multiLevelType w:val="hybridMultilevel"/>
    <w:lvl w:ilvl="0">
      <w:lvlJc w:val="left"/>
      <w:lvlText w:val="(%1)"/>
      <w:numFmt w:val="decimal"/>
      <w:start w:val="11"/>
    </w:lvl>
  </w:abstractNum>
  <w:abstractNum w:abstractNumId="58">
    <w:nsid w:val="16CF80F1"/>
    <w:multiLevelType w:val="hybridMultilevel"/>
    <w:lvl w:ilvl="0">
      <w:lvlJc w:val="left"/>
      <w:lvlText w:val="•"/>
      <w:numFmt w:val="bullet"/>
      <w:start w:val="1"/>
    </w:lvl>
  </w:abstractNum>
  <w:abstractNum w:abstractNumId="59">
    <w:nsid w:val="1C695DEC"/>
    <w:multiLevelType w:val="hybridMultilevel"/>
    <w:lvl w:ilvl="0">
      <w:lvlJc w:val="left"/>
      <w:lvlText w:val="(%1)"/>
      <w:numFmt w:val="decimal"/>
      <w:start w:val="1"/>
    </w:lvl>
  </w:abstractNum>
  <w:abstractNum w:abstractNumId="60">
    <w:nsid w:val="3FCFAED9"/>
    <w:multiLevelType w:val="hybridMultilevel"/>
    <w:lvl w:ilvl="0">
      <w:lvlJc w:val="left"/>
      <w:lvlText w:val="(%1)"/>
      <w:numFmt w:val="decimal"/>
      <w:start w:val="4"/>
    </w:lvl>
  </w:abstractNum>
  <w:abstractNum w:abstractNumId="61">
    <w:nsid w:val="F856867"/>
    <w:multiLevelType w:val="hybridMultilevel"/>
    <w:lvl w:ilvl="0">
      <w:lvlJc w:val="left"/>
      <w:lvlText w:val="(%1)"/>
      <w:numFmt w:val="decimal"/>
      <w:start w:val="1"/>
    </w:lvl>
  </w:abstractNum>
  <w:abstractNum w:abstractNumId="62">
    <w:nsid w:val="11B1CC33"/>
    <w:multiLevelType w:val="hybridMultilevel"/>
    <w:lvl w:ilvl="0">
      <w:lvlJc w:val="left"/>
      <w:lvlText w:val="(%1)"/>
      <w:numFmt w:val="decimal"/>
      <w:start w:val="1"/>
    </w:lvl>
    <w:lvl w:ilvl="1">
      <w:lvlJc w:val="left"/>
      <w:lvlText w:val="(%2)"/>
      <w:numFmt w:val="lowerRoman"/>
      <w:start w:val="1"/>
    </w:lvl>
  </w:abstractNum>
  <w:abstractNum w:abstractNumId="63">
    <w:nsid w:val="2E22FBB7"/>
    <w:multiLevelType w:val="hybridMultilevel"/>
    <w:lvl w:ilvl="0">
      <w:lvlJc w:val="left"/>
      <w:lvlText w:val="(%1)"/>
      <w:numFmt w:val="decimal"/>
      <w:start w:val="1"/>
    </w:lvl>
  </w:abstractNum>
  <w:abstractNum w:abstractNumId="64">
    <w:nsid w:val="29934699"/>
    <w:multiLevelType w:val="hybridMultilevel"/>
    <w:lvl w:ilvl="0">
      <w:lvlJc w:val="left"/>
      <w:lvlText w:val="(%1)"/>
      <w:numFmt w:val="decimal"/>
      <w:start w:val="1"/>
    </w:lvl>
  </w:abstractNum>
  <w:abstractNum w:abstractNumId="65">
    <w:nsid w:val="77485850"/>
    <w:multiLevelType w:val="hybridMultilevel"/>
    <w:lvl w:ilvl="0">
      <w:lvlJc w:val="left"/>
      <w:lvlText w:val="(%1)"/>
      <w:numFmt w:val="decimal"/>
      <w:start w:val="1"/>
    </w:lvl>
  </w:abstractNum>
  <w:abstractNum w:abstractNumId="66">
    <w:nsid w:val="744939A3"/>
    <w:multiLevelType w:val="hybridMultilevel"/>
    <w:lvl w:ilvl="0">
      <w:lvlJc w:val="left"/>
      <w:lvlText w:val="(%1)"/>
      <w:numFmt w:val="decimal"/>
      <w:start w:val="5"/>
    </w:lvl>
  </w:abstractNum>
  <w:abstractNum w:abstractNumId="67">
    <w:nsid w:val="4FA0D2E3"/>
    <w:multiLevelType w:val="hybridMultilevel"/>
    <w:lvl w:ilvl="0">
      <w:lvlJc w:val="left"/>
      <w:lvlText w:val="(%1)"/>
      <w:numFmt w:val="decimal"/>
      <w:start w:val="1"/>
    </w:lvl>
  </w:abstractNum>
  <w:abstractNum w:abstractNumId="68">
    <w:nsid w:val="6B1D2C14"/>
    <w:multiLevelType w:val="hybridMultilevel"/>
    <w:lvl w:ilvl="0">
      <w:lvlJc w:val="left"/>
      <w:lvlText w:val="(%1)"/>
      <w:numFmt w:val="decimal"/>
      <w:start w:val="1"/>
    </w:lvl>
  </w:abstractNum>
  <w:abstractNum w:abstractNumId="69">
    <w:nsid w:val="68B867D3"/>
    <w:multiLevelType w:val="hybridMultilevel"/>
    <w:lvl w:ilvl="0">
      <w:lvlJc w:val="left"/>
      <w:lvlText w:val="(%1)"/>
      <w:numFmt w:val="decimal"/>
      <w:start w:val="1"/>
    </w:lvl>
  </w:abstractNum>
  <w:abstractNum w:abstractNumId="70">
    <w:nsid w:val="3F7F5DD9"/>
    <w:multiLevelType w:val="hybridMultilevel"/>
    <w:lvl w:ilvl="0">
      <w:lvlJc w:val="left"/>
      <w:lvlText w:val="(%1)"/>
      <w:numFmt w:val="decimal"/>
      <w:start w:val="1"/>
    </w:lvl>
  </w:abstractNum>
  <w:abstractNum w:abstractNumId="71">
    <w:nsid w:val="2AE05A34"/>
    <w:multiLevelType w:val="hybridMultilevel"/>
    <w:lvl w:ilvl="0">
      <w:lvlJc w:val="left"/>
      <w:lvlText w:val="(%1)"/>
      <w:numFmt w:val="lowerLetter"/>
      <w:start w:val="1"/>
    </w:lvl>
  </w:abstractNum>
  <w:abstractNum w:abstractNumId="72">
    <w:nsid w:val="32794FF7"/>
    <w:multiLevelType w:val="hybridMultilevel"/>
    <w:lvl w:ilvl="0">
      <w:lvlJc w:val="left"/>
      <w:lvlText w:val="(%1)"/>
      <w:numFmt w:val="lowerLetter"/>
      <w:start w:val="1"/>
    </w:lvl>
  </w:abstractNum>
  <w:abstractNum w:abstractNumId="73">
    <w:nsid w:val="5454945E"/>
    <w:multiLevelType w:val="hybridMultilevel"/>
    <w:lvl w:ilvl="0">
      <w:lvlJc w:val="left"/>
      <w:lvlText w:val="•"/>
      <w:numFmt w:val="bullet"/>
      <w:start w:val="1"/>
    </w:lvl>
  </w:abstractNum>
  <w:abstractNum w:abstractNumId="74">
    <w:nsid w:val="4DEFDFA0"/>
    <w:multiLevelType w:val="hybridMultilevel"/>
    <w:lvl w:ilvl="0">
      <w:lvlJc w:val="left"/>
      <w:lvlText w:val="(%1)"/>
      <w:numFmt w:val="decimal"/>
      <w:start w:val="1"/>
    </w:lvl>
  </w:abstractNum>
  <w:abstractNum w:abstractNumId="75">
    <w:nsid w:val="2123D5F2"/>
    <w:multiLevelType w:val="hybridMultilevel"/>
    <w:lvl w:ilvl="0">
      <w:lvlJc w:val="left"/>
      <w:lvlText w:val="(%1)"/>
      <w:numFmt w:val="lowerLetter"/>
      <w:start w:val="1"/>
    </w:lvl>
  </w:abstractNum>
  <w:abstractNum w:abstractNumId="76">
    <w:nsid w:val="135B8110"/>
    <w:multiLevelType w:val="hybridMultilevel"/>
    <w:lvl w:ilvl="0">
      <w:lvlJc w:val="left"/>
      <w:lvlText w:val="(%1)"/>
      <w:numFmt w:val="decimal"/>
      <w:start w:val="1"/>
    </w:lvl>
  </w:abstractNum>
  <w:abstractNum w:abstractNumId="77">
    <w:nsid w:val="94927A8"/>
    <w:multiLevelType w:val="hybridMultilevel"/>
    <w:lvl w:ilvl="0">
      <w:lvlJc w:val="left"/>
      <w:lvlText w:val="(%1)"/>
      <w:numFmt w:val="lowerLetter"/>
      <w:start w:val="1"/>
    </w:lvl>
  </w:abstractNum>
  <w:abstractNum w:abstractNumId="78">
    <w:nsid w:val="DCDF8F6"/>
    <w:multiLevelType w:val="hybridMultilevel"/>
    <w:lvl w:ilvl="0">
      <w:lvlJc w:val="left"/>
      <w:lvlText w:val="%1"/>
      <w:numFmt w:val="decimal"/>
      <w:start w:val="104"/>
    </w:lvl>
  </w:abstractNum>
  <w:abstractNum w:abstractNumId="79">
    <w:nsid w:val="52D7B105"/>
    <w:multiLevelType w:val="hybridMultilevel"/>
    <w:lvl w:ilvl="0">
      <w:lvlJc w:val="left"/>
      <w:lvlText w:val="(%1)"/>
      <w:numFmt w:val="lowerLetter"/>
      <w:start w:val="1"/>
    </w:lvl>
  </w:abstractNum>
  <w:abstractNum w:abstractNumId="80">
    <w:nsid w:val="2E8A6394"/>
    <w:multiLevelType w:val="hybridMultilevel"/>
    <w:lvl w:ilvl="0">
      <w:lvlJc w:val="left"/>
      <w:lvlText w:val="(%1)"/>
      <w:numFmt w:val="lowerLetter"/>
      <w:start w:val="1"/>
    </w:lvl>
  </w:abstractNum>
  <w:abstractNum w:abstractNumId="81">
    <w:nsid w:val="24E60401"/>
    <w:multiLevelType w:val="hybridMultilevel"/>
    <w:lvl w:ilvl="0">
      <w:lvlJc w:val="left"/>
      <w:lvlText w:val="(%1)"/>
      <w:numFmt w:val="lowerLetter"/>
      <w:start w:val="4"/>
    </w:lvl>
  </w:abstractNum>
  <w:abstractNum w:abstractNumId="82">
    <w:nsid w:val="2A6AD9BE"/>
    <w:multiLevelType w:val="hybridMultilevel"/>
    <w:lvl w:ilvl="0">
      <w:lvlJc w:val="left"/>
      <w:lvlText w:val="A"/>
      <w:numFmt w:val="bullet"/>
      <w:start w:val="1"/>
    </w:lvl>
  </w:abstractNum>
  <w:abstractNum w:abstractNumId="83">
    <w:nsid w:val="BAAC1B4"/>
    <w:multiLevelType w:val="hybridMultilevel"/>
    <w:lvl w:ilvl="0">
      <w:lvlJc w:val="left"/>
      <w:lvlText w:val="%1."/>
      <w:numFmt w:val="upperLetter"/>
      <w:start w:val="1"/>
    </w:lvl>
  </w:abstractNum>
  <w:abstractNum w:abstractNumId="84">
    <w:nsid w:val="36B2ACBC"/>
    <w:multiLevelType w:val="hybridMultilevel"/>
    <w:lvl w:ilvl="0">
      <w:lvlJc w:val="left"/>
      <w:lvlText w:val="(%1)"/>
      <w:numFmt w:val="lowerLetter"/>
      <w:start w:val="1"/>
    </w:lvl>
  </w:abstractNum>
  <w:abstractNum w:abstractNumId="85">
    <w:nsid w:val="779D8544"/>
    <w:multiLevelType w:val="hybridMultilevel"/>
    <w:lvl w:ilvl="0">
      <w:lvlJc w:val="left"/>
      <w:lvlText w:val="(%1)"/>
      <w:numFmt w:val="lowerLetter"/>
      <w:start w:val="1"/>
    </w:lvl>
  </w:abstractNum>
  <w:abstractNum w:abstractNumId="86">
    <w:nsid w:val="4AB26E78"/>
    <w:multiLevelType w:val="hybridMultilevel"/>
    <w:lvl w:ilvl="0">
      <w:lvlJc w:val="left"/>
      <w:lvlText w:val="(%1)"/>
      <w:numFmt w:val="lowerLetter"/>
      <w:start w:val="1"/>
    </w:lvl>
  </w:abstractNum>
  <w:abstractNum w:abstractNumId="87">
    <w:nsid w:val="21FAA2FA"/>
    <w:multiLevelType w:val="hybridMultilevel"/>
    <w:lvl w:ilvl="0">
      <w:lvlJc w:val="left"/>
      <w:lvlText w:val="(%1)"/>
      <w:numFmt w:val="lowerRoman"/>
      <w:start w:val="10"/>
    </w:lvl>
  </w:abstractNum>
  <w:abstractNum w:abstractNumId="88">
    <w:nsid w:val="5451CF49"/>
    <w:multiLevelType w:val="hybridMultilevel"/>
    <w:lvl w:ilvl="0">
      <w:lvlJc w:val="left"/>
      <w:lvlText w:val="(%1)"/>
      <w:numFmt w:val="lowerLetter"/>
      <w:start w:val="2"/>
    </w:lvl>
  </w:abstractNum>
  <w:abstractNum w:abstractNumId="89">
    <w:nsid w:val="6181EF69"/>
    <w:multiLevelType w:val="hybridMultilevel"/>
    <w:lvl w:ilvl="0">
      <w:lvlJc w:val="left"/>
      <w:lvlText w:val="(%1)"/>
      <w:numFmt w:val="lowerLetter"/>
      <w:start w:val="1"/>
    </w:lvl>
  </w:abstractNum>
  <w:abstractNum w:abstractNumId="90">
    <w:nsid w:val="3E6400E6"/>
    <w:multiLevelType w:val="hybridMultilevel"/>
    <w:lvl w:ilvl="0">
      <w:lvlJc w:val="left"/>
      <w:lvlText w:val="(%1)"/>
      <w:numFmt w:val="lowerLetter"/>
      <w:start w:val="1"/>
    </w:lvl>
  </w:abstractNum>
  <w:abstractNum w:abstractNumId="91">
    <w:nsid w:val="14217E23"/>
    <w:multiLevelType w:val="hybridMultilevel"/>
    <w:lvl w:ilvl="0">
      <w:lvlJc w:val="left"/>
      <w:lvlText w:val="(%1)"/>
      <w:numFmt w:val="lowerLetter"/>
      <w:start w:val="1"/>
    </w:lvl>
  </w:abstractNum>
  <w:abstractNum w:abstractNumId="92">
    <w:nsid w:val="710757D0"/>
    <w:multiLevelType w:val="hybridMultilevel"/>
    <w:lvl w:ilvl="0">
      <w:lvlJc w:val="left"/>
      <w:lvlText w:val="(%1)"/>
      <w:numFmt w:val="lowerLetter"/>
      <w:start w:val="1"/>
    </w:lvl>
  </w:abstractNum>
  <w:abstractNum w:abstractNumId="93">
    <w:nsid w:val="5015CD1A"/>
    <w:multiLevelType w:val="hybridMultilevel"/>
    <w:lvl w:ilvl="0">
      <w:lvlJc w:val="left"/>
      <w:lvlText w:val="%1"/>
      <w:numFmt w:val="lowerLetter"/>
      <w:start w:val="1"/>
    </w:lvl>
    <w:lvl w:ilvl="1">
      <w:lvlJc w:val="left"/>
      <w:lvlText w:val="(%2)"/>
      <w:numFmt w:val="lowerRoman"/>
      <w:start w:val="1"/>
    </w:lvl>
  </w:abstractNum>
  <w:abstractNum w:abstractNumId="94">
    <w:nsid w:val="424479DA"/>
    <w:multiLevelType w:val="hybridMultilevel"/>
    <w:lvl w:ilvl="0">
      <w:lvlJc w:val="left"/>
      <w:lvlText w:val="(%1)"/>
      <w:numFmt w:val="lowerLetter"/>
      <w:start w:val="2"/>
    </w:lvl>
    <w:lvl w:ilvl="1">
      <w:lvlJc w:val="left"/>
      <w:lvlText w:val="%2"/>
      <w:numFmt w:val="lowerRoman"/>
      <w:start w:val="1"/>
    </w:lvl>
  </w:abstractNum>
  <w:abstractNum w:abstractNumId="95">
    <w:nsid w:val="1A9A9E69"/>
    <w:multiLevelType w:val="hybridMultilevel"/>
    <w:lvl w:ilvl="0">
      <w:lvlJc w:val="left"/>
      <w:lvlText w:val="(%1)"/>
      <w:numFmt w:val="lowerRoman"/>
      <w:start w:val="5"/>
    </w:lvl>
  </w:abstractNum>
  <w:abstractNum w:abstractNumId="96">
    <w:nsid w:val="475E256A"/>
    <w:multiLevelType w:val="hybridMultilevel"/>
    <w:lvl w:ilvl="0">
      <w:lvlJc w:val="left"/>
      <w:lvlText w:val="(%1)"/>
      <w:numFmt w:val="lowerRoman"/>
      <w:start w:val="10"/>
    </w:lvl>
  </w:abstractNum>
  <w:abstractNum w:abstractNumId="97">
    <w:nsid w:val="368DB37E"/>
    <w:multiLevelType w:val="hybridMultilevel"/>
    <w:lvl w:ilvl="0">
      <w:lvlJc w:val="left"/>
      <w:lvlText w:val="(%1)"/>
      <w:numFmt w:val="lowerLetter"/>
      <w:start w:val="4"/>
    </w:lvl>
  </w:abstractNum>
  <w:abstractNum w:abstractNumId="98">
    <w:nsid w:val="6A3B714C"/>
    <w:multiLevelType w:val="hybridMultilevel"/>
    <w:lvl w:ilvl="0">
      <w:lvlJc w:val="left"/>
      <w:lvlText w:val="(%1)"/>
      <w:numFmt w:val="lowerRoman"/>
      <w:start w:val="6"/>
    </w:lvl>
  </w:abstractNum>
  <w:abstractNum w:abstractNumId="99">
    <w:nsid w:val="327B517E"/>
    <w:multiLevelType w:val="hybridMultilevel"/>
    <w:lvl w:ilvl="0">
      <w:lvlJc w:val="left"/>
      <w:lvlText w:val="(%1)"/>
      <w:numFmt w:val="lowerRoman"/>
      <w:start w:val="1"/>
    </w:lvl>
  </w:abstractNum>
  <w:abstractNum w:abstractNumId="100">
    <w:nsid w:val="1F461B51"/>
    <w:multiLevelType w:val="hybridMultilevel"/>
    <w:lvl w:ilvl="0">
      <w:lvlJc w:val="left"/>
      <w:lvlText w:val="(%1)"/>
      <w:numFmt w:val="lowerLetter"/>
      <w:start w:val="4"/>
    </w:lvl>
  </w:abstractNum>
  <w:abstractNum w:abstractNumId="101">
    <w:nsid w:val="29BACF25"/>
    <w:multiLevelType w:val="hybridMultilevel"/>
    <w:lvl w:ilvl="0">
      <w:lvlJc w:val="left"/>
      <w:lvlText w:val="(%1)"/>
      <w:numFmt w:val="lowerLetter"/>
      <w:start w:val="3"/>
    </w:lvl>
  </w:abstractNum>
  <w:abstractNum w:abstractNumId="102">
    <w:nsid w:val="5D5BABB3"/>
    <w:multiLevelType w:val="hybridMultilevel"/>
    <w:lvl w:ilvl="0">
      <w:lvlJc w:val="left"/>
      <w:lvlText w:val="(%1)"/>
      <w:numFmt w:val="lowerLetter"/>
      <w:start w:val="1"/>
    </w:lvl>
  </w:abstractNum>
  <w:abstractNum w:abstractNumId="103">
    <w:nsid w:val="51BF6B48"/>
    <w:multiLevelType w:val="hybridMultilevel"/>
    <w:lvl w:ilvl="0">
      <w:lvlJc w:val="left"/>
      <w:lvlText w:val="(%1)"/>
      <w:numFmt w:val="lowerLetter"/>
      <w:start w:val="3"/>
    </w:lvl>
  </w:abstractNum>
  <w:abstractNum w:abstractNumId="104">
    <w:nsid w:val="7E0F6384"/>
    <w:multiLevelType w:val="hybridMultilevel"/>
    <w:lvl w:ilvl="0">
      <w:lvlJc w:val="left"/>
      <w:lvlText w:val="(%1)"/>
      <w:numFmt w:val="upperLetter"/>
      <w:start w:val="1"/>
    </w:lvl>
  </w:abstractNum>
  <w:abstractNum w:abstractNumId="105">
    <w:nsid w:val="2B4B8B53"/>
    <w:multiLevelType w:val="hybridMultilevel"/>
    <w:lvl w:ilvl="0">
      <w:lvlJc w:val="left"/>
      <w:lvlText w:val="(%1)"/>
      <w:numFmt w:val="upperLetter"/>
      <w:start w:val="2"/>
    </w:lvl>
  </w:abstractNum>
  <w:abstractNum w:abstractNumId="106">
    <w:nsid w:val="72E3413A"/>
    <w:multiLevelType w:val="hybridMultilevel"/>
    <w:lvl w:ilvl="0">
      <w:lvlJc w:val="left"/>
      <w:lvlText w:val="(%1)"/>
      <w:numFmt w:val="lowerRoman"/>
      <w:start w:val="1"/>
    </w:lvl>
  </w:abstractNum>
  <w:abstractNum w:abstractNumId="107">
    <w:nsid w:val="116AE494"/>
    <w:multiLevelType w:val="hybridMultilevel"/>
    <w:lvl w:ilvl="0">
      <w:lvlJc w:val="left"/>
      <w:lvlText w:val="(%1)"/>
      <w:numFmt w:val="lowerRoman"/>
      <w:start w:val="2"/>
    </w:lvl>
  </w:abstractNum>
  <w:abstractNum w:abstractNumId="108">
    <w:nsid w:val="3494B2FB"/>
    <w:multiLevelType w:val="hybridMultilevel"/>
    <w:lvl w:ilvl="0">
      <w:lvlJc w:val="left"/>
      <w:lvlText w:val="(%1)"/>
      <w:numFmt w:val="lowerRoman"/>
      <w:start w:val="2"/>
    </w:lvl>
  </w:abstractNum>
  <w:abstractNum w:abstractNumId="109">
    <w:nsid w:val="B13A31"/>
    <w:multiLevelType w:val="hybridMultilevel"/>
    <w:lvl w:ilvl="0">
      <w:lvlJc w:val="left"/>
      <w:lvlText w:val="(%1)"/>
      <w:numFmt w:val="lowerLetter"/>
      <w:start w:val="1"/>
    </w:lvl>
  </w:abstractNum>
  <w:abstractNum w:abstractNumId="110">
    <w:nsid w:val="64429599"/>
    <w:multiLevelType w:val="hybridMultilevel"/>
    <w:lvl w:ilvl="0">
      <w:lvlJc w:val="left"/>
      <w:lvlText w:val="(%1)"/>
      <w:numFmt w:val="lowerLetter"/>
      <w:start w:val="1"/>
    </w:lvl>
  </w:abstractNum>
  <w:abstractNum w:abstractNumId="111">
    <w:nsid w:val="631F1690"/>
    <w:multiLevelType w:val="hybridMultilevel"/>
    <w:lvl w:ilvl="0">
      <w:lvlJc w:val="left"/>
      <w:lvlText w:val="(%1)"/>
      <w:numFmt w:val="lowerLetter"/>
      <w:start w:val="9"/>
    </w:lvl>
  </w:abstractNum>
  <w:abstractNum w:abstractNumId="112">
    <w:nsid w:val="25973E32"/>
    <w:multiLevelType w:val="hybridMultilevel"/>
    <w:lvl w:ilvl="0">
      <w:lvlJc w:val="left"/>
      <w:lvlText w:val="(%1)"/>
      <w:numFmt w:val="lowerLetter"/>
      <w:start w:val="15"/>
    </w:lvl>
  </w:abstractNum>
  <w:abstractNum w:abstractNumId="113">
    <w:nsid w:val="EAD6F57"/>
    <w:multiLevelType w:val="hybridMultilevel"/>
    <w:lvl w:ilvl="0">
      <w:lvlJc w:val="left"/>
      <w:lvlText w:val="(%1)"/>
      <w:numFmt w:val="lowerLetter"/>
      <w:start w:val="1"/>
    </w:lvl>
  </w:abstractNum>
  <w:abstractNum w:abstractNumId="114">
    <w:nsid w:val="6EC9D844"/>
    <w:multiLevelType w:val="hybridMultilevel"/>
    <w:lvl w:ilvl="0">
      <w:lvlJc w:val="left"/>
      <w:lvlText w:val="(%1)"/>
      <w:numFmt w:val="lowerLetter"/>
      <w:start w:val="1"/>
    </w:lvl>
  </w:abstractNum>
  <w:abstractNum w:abstractNumId="115">
    <w:nsid w:val="5C49EAEE"/>
    <w:multiLevelType w:val="hybridMultilevel"/>
    <w:lvl w:ilvl="0">
      <w:lvlJc w:val="left"/>
      <w:lvlText w:val="(%1)"/>
      <w:numFmt w:val="lowerLetter"/>
      <w:start w:val="1"/>
    </w:lvl>
  </w:abstractNum>
  <w:abstractNum w:abstractNumId="116">
    <w:nsid w:val="64AF49B"/>
    <w:multiLevelType w:val="hybridMultilevel"/>
    <w:lvl w:ilvl="0">
      <w:lvlJc w:val="left"/>
      <w:lvlText w:val="(%1)"/>
      <w:numFmt w:val="lowerLetter"/>
      <w:start w:val="1"/>
    </w:lvl>
  </w:abstractNum>
  <w:abstractNum w:abstractNumId="117">
    <w:nsid w:val="397C46BC"/>
    <w:multiLevelType w:val="hybridMultilevel"/>
    <w:lvl w:ilvl="0">
      <w:lvlJc w:val="left"/>
      <w:lvlText w:val="(%1)"/>
      <w:numFmt w:val="lowerLetter"/>
      <w:start w:val="2"/>
    </w:lvl>
  </w:abstractNum>
  <w:abstractNum w:abstractNumId="118">
    <w:nsid w:val="7E448DE9"/>
    <w:multiLevelType w:val="hybridMultilevel"/>
    <w:lvl w:ilvl="0">
      <w:lvlJc w:val="left"/>
      <w:lvlText w:val="(%1)"/>
      <w:numFmt w:val="lowerLetter"/>
      <w:start w:val="1"/>
    </w:lvl>
  </w:abstractNum>
  <w:abstractNum w:abstractNumId="119">
    <w:nsid w:val="5A9CC3E5"/>
    <w:multiLevelType w:val="hybridMultilevel"/>
    <w:lvl w:ilvl="0">
      <w:lvlJc w:val="left"/>
      <w:lvlText w:val="(%1)"/>
      <w:numFmt w:val="lowerLetter"/>
      <w:start w:val="6"/>
    </w:lvl>
  </w:abstractNum>
  <w:abstractNum w:abstractNumId="120">
    <w:nsid w:val="1AFE3625"/>
    <w:multiLevelType w:val="hybridMultilevel"/>
    <w:lvl w:ilvl="0">
      <w:lvlJc w:val="left"/>
      <w:lvlText w:val="(%1)"/>
      <w:numFmt w:val="lowerLetter"/>
      <w:start w:val="7"/>
    </w:lvl>
  </w:abstractNum>
  <w:abstractNum w:abstractNumId="121">
    <w:nsid w:val="3CA88ECF"/>
    <w:multiLevelType w:val="hybridMultilevel"/>
    <w:lvl w:ilvl="0">
      <w:lvlJc w:val="left"/>
      <w:lvlText w:val="(%1)"/>
      <w:numFmt w:val="lowerLetter"/>
      <w:start w:val="8"/>
    </w:lvl>
  </w:abstractNum>
  <w:abstractNum w:abstractNumId="122">
    <w:nsid w:val="6EBE4208"/>
    <w:multiLevelType w:val="hybridMultilevel"/>
    <w:lvl w:ilvl="0">
      <w:lvlJc w:val="left"/>
      <w:lvlText w:val="%1"/>
      <w:numFmt w:val="lowerLetter"/>
      <w:start w:val="1"/>
    </w:lvl>
    <w:lvl w:ilvl="1">
      <w:lvlJc w:val="left"/>
      <w:lvlText w:val="(%2)"/>
      <w:numFmt w:val="lowerLetter"/>
      <w:start w:val="1"/>
    </w:lvl>
  </w:abstractNum>
  <w:abstractNum w:abstractNumId="123">
    <w:nsid w:val="C058DF5"/>
    <w:multiLevelType w:val="hybridMultilevel"/>
    <w:lvl w:ilvl="0">
      <w:lvlJc w:val="left"/>
      <w:lvlText w:val="(%1)"/>
      <w:numFmt w:val="lowerLetter"/>
      <w:start w:val="1"/>
    </w:lvl>
    <w:lvl w:ilvl="1">
      <w:lvlJc w:val="left"/>
      <w:lvlText w:val="(%2)"/>
      <w:numFmt w:val="lowerLetter"/>
      <w:start w:val="3"/>
    </w:lvl>
  </w:abstractNum>
  <w:abstractNum w:abstractNumId="124">
    <w:nsid w:val="CBE5BE9"/>
    <w:multiLevelType w:val="hybridMultilevel"/>
    <w:lvl w:ilvl="0">
      <w:lvlJc w:val="left"/>
      <w:lvlText w:val="(%1)"/>
      <w:numFmt w:val="lowerLetter"/>
      <w:start w:val="4"/>
    </w:lvl>
    <w:lvl w:ilvl="1">
      <w:lvlJc w:val="left"/>
      <w:lvlText w:val="(%2)"/>
      <w:numFmt w:val="lowerRoman"/>
      <w:start w:val="1"/>
    </w:lvl>
  </w:abstractNum>
  <w:abstractNum w:abstractNumId="125">
    <w:nsid w:val="3102BBE2"/>
    <w:multiLevelType w:val="hybridMultilevel"/>
    <w:lvl w:ilvl="0">
      <w:lvlJc w:val="left"/>
      <w:lvlText w:val="(%1)"/>
      <w:numFmt w:val="lowerLetter"/>
      <w:start w:val="1"/>
    </w:lvl>
  </w:abstractNum>
  <w:abstractNum w:abstractNumId="126">
    <w:nsid w:val="26A02C5E"/>
    <w:multiLevelType w:val="hybridMultilevel"/>
    <w:lvl w:ilvl="0">
      <w:lvlJc w:val="left"/>
      <w:lvlText w:val="(%1)"/>
      <w:numFmt w:val="decimal"/>
      <w:start w:val="3"/>
    </w:lvl>
    <w:lvl w:ilvl="1">
      <w:lvlJc w:val="left"/>
      <w:lvlText w:val="(%2)"/>
      <w:numFmt w:val="lowerLetter"/>
      <w:start w:val="2"/>
    </w:lvl>
  </w:abstractNum>
  <w:abstractNum w:abstractNumId="127">
    <w:nsid w:val="541C8153"/>
    <w:multiLevelType w:val="hybridMultilevel"/>
    <w:lvl w:ilvl="0">
      <w:lvlJc w:val="left"/>
      <w:lvlText w:val="(%1)"/>
      <w:numFmt w:val="lowerLetter"/>
      <w:start w:val="4"/>
    </w:lvl>
    <w:lvl w:ilvl="1">
      <w:lvlJc w:val="left"/>
      <w:lvlText w:val="(%2)"/>
      <w:numFmt w:val="lowerLetter"/>
      <w:start w:val="9"/>
    </w:lvl>
  </w:abstractNum>
  <w:abstractNum w:abstractNumId="128">
    <w:nsid w:val="67906F60"/>
    <w:multiLevelType w:val="hybridMultilevel"/>
    <w:lvl w:ilvl="0">
      <w:lvlJc w:val="left"/>
      <w:lvlText w:val="(%1)"/>
      <w:numFmt w:val="lowerRoman"/>
      <w:start w:val="2"/>
    </w:lvl>
  </w:abstractNum>
  <w:abstractNum w:abstractNumId="129">
    <w:nsid w:val="10DB9DAA"/>
    <w:multiLevelType w:val="hybridMultilevel"/>
    <w:lvl w:ilvl="0">
      <w:lvlJc w:val="left"/>
      <w:lvlText w:val="%1"/>
      <w:numFmt w:val="decimal"/>
      <w:start w:val="1"/>
    </w:lvl>
    <w:lvl w:ilvl="1">
      <w:lvlJc w:val="left"/>
      <w:lvlText w:val="(%2)"/>
      <w:numFmt w:val="lowerLetter"/>
      <w:start w:val="1"/>
    </w:lvl>
  </w:abstractNum>
  <w:abstractNum w:abstractNumId="130">
    <w:nsid w:val="697D2D2"/>
    <w:multiLevelType w:val="hybridMultilevel"/>
    <w:lvl w:ilvl="0">
      <w:lvlJc w:val="left"/>
      <w:lvlText w:val="(%1)"/>
      <w:numFmt w:val="decimal"/>
      <w:start w:val="10"/>
    </w:lvl>
    <w:lvl w:ilvl="1">
      <w:lvlJc w:val="left"/>
      <w:lvlText w:val="(%2)"/>
      <w:numFmt w:val="lowerLetter"/>
      <w:start w:val="2"/>
    </w:lvl>
  </w:abstractNum>
  <w:abstractNum w:abstractNumId="131">
    <w:nsid w:val="6D68AB2"/>
    <w:multiLevelType w:val="hybridMultilevel"/>
    <w:lvl w:ilvl="0">
      <w:lvlJc w:val="left"/>
      <w:lvlText w:val="(%1)"/>
      <w:numFmt w:val="lowerLetter"/>
      <w:start w:val="3"/>
    </w:lvl>
    <w:lvl w:ilvl="1">
      <w:lvlJc w:val="left"/>
      <w:lvlText w:val="(%2)"/>
      <w:numFmt w:val="lowerRoman"/>
      <w:start w:val="1"/>
    </w:lvl>
  </w:abstractNum>
  <w:abstractNum w:abstractNumId="132">
    <w:nsid w:val="3A966CD0"/>
    <w:multiLevelType w:val="hybridMultilevel"/>
    <w:lvl w:ilvl="0">
      <w:lvlJc w:val="left"/>
      <w:lvlText w:val="%1"/>
      <w:numFmt w:val="lowerLetter"/>
      <w:start w:val="1"/>
    </w:lvl>
    <w:lvl w:ilvl="1">
      <w:lvlJc w:val="left"/>
      <w:lvlText w:val="(%2)"/>
      <w:numFmt w:val="lowerRoman"/>
      <w:start w:val="4"/>
    </w:lvl>
  </w:abstractNum>
  <w:abstractNum w:abstractNumId="133">
    <w:nsid w:val="63F37E85"/>
    <w:multiLevelType w:val="hybridMultilevel"/>
    <w:lvl w:ilvl="0">
      <w:lvlJc w:val="left"/>
      <w:lvlText w:val="(%1)"/>
      <w:numFmt w:val="lowerLetter"/>
      <w:start w:val="4"/>
    </w:lvl>
    <w:lvl w:ilvl="1">
      <w:lvlJc w:val="left"/>
      <w:lvlText w:val="(%2)"/>
      <w:numFmt w:val="lowerRoman"/>
      <w:start w:val="1"/>
    </w:lvl>
  </w:abstractNum>
  <w:abstractNum w:abstractNumId="134">
    <w:nsid w:val="5895F5FA"/>
    <w:multiLevelType w:val="hybridMultilevel"/>
    <w:lvl w:ilvl="0">
      <w:lvlJc w:val="left"/>
      <w:lvlText w:val="(%1)"/>
      <w:numFmt w:val="lowerLetter"/>
      <w:start w:val="7"/>
    </w:lvl>
  </w:abstractNum>
  <w:abstractNum w:abstractNumId="135">
    <w:nsid w:val="38A5D054"/>
    <w:multiLevelType w:val="hybridMultilevel"/>
    <w:lvl w:ilvl="0">
      <w:lvlJc w:val="left"/>
      <w:lvlText w:val="(%1)"/>
      <w:numFmt w:val="lowerLetter"/>
      <w:start w:val="13"/>
    </w:lvl>
  </w:abstractNum>
  <w:abstractNum w:abstractNumId="136">
    <w:nsid w:val="F3F09D8"/>
    <w:multiLevelType w:val="hybridMultilevel"/>
    <w:lvl w:ilvl="0">
      <w:lvlJc w:val="left"/>
      <w:lvlText w:val="(%1)"/>
      <w:numFmt w:val="lowerLetter"/>
      <w:start w:val="1"/>
    </w:lvl>
  </w:abstractNum>
  <w:abstractNum w:abstractNumId="137">
    <w:nsid w:val="4B793735"/>
    <w:multiLevelType w:val="hybridMultilevel"/>
    <w:lvl w:ilvl="0">
      <w:lvlJc w:val="left"/>
      <w:lvlText w:val="(%1)"/>
      <w:numFmt w:val="lowerLetter"/>
      <w:start w:val="2"/>
    </w:lvl>
  </w:abstractNum>
  <w:abstractNum w:abstractNumId="138">
    <w:nsid w:val="4A10B4E8"/>
    <w:multiLevelType w:val="hybridMultilevel"/>
    <w:lvl w:ilvl="0">
      <w:lvlJc w:val="left"/>
      <w:lvlText w:val="(%1)"/>
      <w:numFmt w:val="lowerLetter"/>
      <w:start w:val="1"/>
    </w:lvl>
  </w:abstractNum>
  <w:abstractNum w:abstractNumId="139">
    <w:nsid w:val="43D3BCD4"/>
    <w:multiLevelType w:val="hybridMultilevel"/>
    <w:lvl w:ilvl="0">
      <w:lvlJc w:val="left"/>
      <w:lvlText w:val="(%1)"/>
      <w:numFmt w:val="lowerLetter"/>
      <w:start w:val="2"/>
    </w:lvl>
  </w:abstractNum>
  <w:abstractNum w:abstractNumId="140">
    <w:nsid w:val="4C2A7166"/>
    <w:multiLevelType w:val="hybridMultilevel"/>
    <w:lvl w:ilvl="0">
      <w:lvlJc w:val="left"/>
      <w:lvlText w:val="(%1)"/>
      <w:numFmt w:val="lowerRoman"/>
      <w:start w:val="1"/>
    </w:lvl>
  </w:abstractNum>
  <w:abstractNum w:abstractNumId="141">
    <w:nsid w:val="2E534A82"/>
    <w:multiLevelType w:val="hybridMultilevel"/>
    <w:lvl w:ilvl="0">
      <w:lvlJc w:val="left"/>
      <w:lvlText w:val="%1"/>
      <w:numFmt w:val="lowerLetter"/>
      <w:start w:val="1"/>
    </w:lvl>
    <w:lvl w:ilvl="1">
      <w:lvlJc w:val="left"/>
      <w:lvlText w:val="(%2)"/>
      <w:numFmt w:val="lowerRoman"/>
      <w:start w:val="5"/>
    </w:lvl>
  </w:abstractNum>
  <w:abstractNum w:abstractNumId="142">
    <w:nsid w:val="26F2D364"/>
    <w:multiLevelType w:val="hybridMultilevel"/>
    <w:lvl w:ilvl="0">
      <w:lvlJc w:val="left"/>
      <w:lvlText w:val="(%1)"/>
      <w:numFmt w:val="lowerLetter"/>
      <w:start w:val="3"/>
    </w:lvl>
    <w:lvl w:ilvl="1">
      <w:lvlJc w:val="left"/>
      <w:lvlText w:val="%2"/>
      <w:numFmt w:val="lowerRoman"/>
      <w:start w:val="1"/>
    </w:lvl>
  </w:abstractNum>
  <w:abstractNum w:abstractNumId="143">
    <w:nsid w:val="71C1AF98"/>
    <w:multiLevelType w:val="hybridMultilevel"/>
    <w:lvl w:ilvl="0">
      <w:lvlJc w:val="left"/>
      <w:lvlText w:val="(%1)"/>
      <w:numFmt w:val="lowerLetter"/>
      <w:start w:val="5"/>
    </w:lvl>
  </w:abstractNum>
  <w:abstractNum w:abstractNumId="144">
    <w:nsid w:val="3D00B9D9"/>
    <w:multiLevelType w:val="hybridMultilevel"/>
    <w:lvl w:ilvl="0">
      <w:lvlJc w:val="left"/>
      <w:lvlText w:val="(%1)"/>
      <w:numFmt w:val="lowerLetter"/>
      <w:start w:val="1"/>
    </w:lvl>
  </w:abstractNum>
  <w:abstractNum w:abstractNumId="145">
    <w:nsid w:val="15BCABA8"/>
    <w:multiLevelType w:val="hybridMultilevel"/>
    <w:lvl w:ilvl="0">
      <w:lvlJc w:val="left"/>
      <w:lvlText w:val="(%1)"/>
      <w:numFmt w:val="lowerLetter"/>
      <w:start w:val="2"/>
    </w:lvl>
  </w:abstractNum>
  <w:abstractNum w:abstractNumId="146">
    <w:nsid w:val="4E0B9A87"/>
    <w:multiLevelType w:val="hybridMultilevel"/>
    <w:lvl w:ilvl="0">
      <w:lvlJc w:val="left"/>
      <w:lvlText w:val="(%1)"/>
      <w:numFmt w:val="lowerLetter"/>
      <w:start w:val="3"/>
    </w:lvl>
  </w:abstractNum>
  <w:abstractNum w:abstractNumId="147">
    <w:nsid w:val="434BAE75"/>
    <w:multiLevelType w:val="hybridMultilevel"/>
    <w:lvl w:ilvl="0">
      <w:lvlJc w:val="left"/>
      <w:lvlText w:val="(%1)"/>
      <w:numFmt w:val="lowerLetter"/>
      <w:start w:val="1"/>
    </w:lvl>
  </w:abstractNum>
  <w:abstractNum w:abstractNumId="148">
    <w:nsid w:val="4F38F265"/>
    <w:multiLevelType w:val="hybridMultilevel"/>
    <w:lvl w:ilvl="0">
      <w:lvlJc w:val="left"/>
      <w:lvlText w:val="(%1)"/>
      <w:numFmt w:val="lowerLetter"/>
      <w:start w:val="2"/>
    </w:lvl>
  </w:abstractNum>
  <w:abstractNum w:abstractNumId="149">
    <w:nsid w:val="4C502870"/>
    <w:multiLevelType w:val="hybridMultilevel"/>
    <w:lvl w:ilvl="0">
      <w:lvlJc w:val="left"/>
      <w:lvlText w:val="(%1)"/>
      <w:numFmt w:val="lowerLetter"/>
      <w:start w:val="1"/>
    </w:lvl>
  </w:abstractNum>
  <w:abstractNum w:abstractNumId="150">
    <w:nsid w:val="1DE8725A"/>
    <w:multiLevelType w:val="hybridMultilevel"/>
    <w:lvl w:ilvl="0">
      <w:lvlJc w:val="left"/>
      <w:lvlText w:val="(%1)"/>
      <w:numFmt w:val="lowerLetter"/>
      <w:start w:val="1"/>
    </w:lvl>
  </w:abstractNum>
  <w:abstractNum w:abstractNumId="151">
    <w:nsid w:val="6A37288A"/>
    <w:multiLevelType w:val="hybridMultilevel"/>
    <w:lvl w:ilvl="0">
      <w:lvlJc w:val="left"/>
      <w:lvlText w:val="(%1)"/>
      <w:numFmt w:val="lowerLetter"/>
      <w:start w:val="2"/>
    </w:lvl>
  </w:abstractNum>
  <w:abstractNum w:abstractNumId="152">
    <w:nsid w:val="8F8B73F"/>
    <w:multiLevelType w:val="hybridMultilevel"/>
    <w:lvl w:ilvl="0">
      <w:lvlJc w:val="left"/>
      <w:lvlText w:val="(%1)"/>
      <w:numFmt w:val="lowerLetter"/>
      <w:start w:val="5"/>
    </w:lvl>
  </w:abstractNum>
  <w:abstractNum w:abstractNumId="153">
    <w:nsid w:val="CA6B462"/>
    <w:multiLevelType w:val="hybridMultilevel"/>
    <w:lvl w:ilvl="0">
      <w:lvlJc w:val="left"/>
      <w:lvlText w:val="(%1)"/>
      <w:numFmt w:val="lowerRoman"/>
      <w:start w:val="1"/>
    </w:lvl>
  </w:abstractNum>
  <w:abstractNum w:abstractNumId="154">
    <w:nsid w:val="763CB680"/>
    <w:multiLevelType w:val="hybridMultilevel"/>
    <w:lvl w:ilvl="0">
      <w:lvlJc w:val="left"/>
      <w:lvlText w:val="(%1)"/>
      <w:numFmt w:val="lowerRoman"/>
      <w:start w:val="3"/>
    </w:lvl>
  </w:abstractNum>
  <w:abstractNum w:abstractNumId="155">
    <w:nsid w:val="15B71329"/>
    <w:multiLevelType w:val="hybridMultilevel"/>
    <w:lvl w:ilvl="0">
      <w:lvlJc w:val="left"/>
      <w:lvlText w:val="(%1)"/>
      <w:numFmt w:val="lowerRoman"/>
      <w:start w:val="2"/>
    </w:lvl>
  </w:abstractNum>
  <w:abstractNum w:abstractNumId="156">
    <w:nsid w:val="3DA97044"/>
    <w:multiLevelType w:val="hybridMultilevel"/>
    <w:lvl w:ilvl="0">
      <w:lvlJc w:val="left"/>
      <w:lvlText w:val="%1"/>
      <w:numFmt w:val="decimal"/>
      <w:start w:val="1"/>
    </w:lvl>
    <w:lvl w:ilvl="1">
      <w:lvlJc w:val="left"/>
      <w:lvlText w:val="(%2)"/>
      <w:numFmt w:val="lowerLetter"/>
      <w:start w:val="1"/>
    </w:lvl>
  </w:abstractNum>
  <w:abstractNum w:abstractNumId="157">
    <w:nsid w:val="1CDCE2DE"/>
    <w:multiLevelType w:val="hybridMultilevel"/>
    <w:lvl w:ilvl="0">
      <w:lvlJc w:val="left"/>
      <w:lvlText w:val="(%1)"/>
      <w:numFmt w:val="decimal"/>
      <w:start w:val="2"/>
    </w:lvl>
    <w:lvl w:ilvl="1">
      <w:lvlJc w:val="left"/>
      <w:lvlText w:val="%2"/>
      <w:numFmt w:val="lowerLetter"/>
      <w:start w:val="1"/>
    </w:lvl>
  </w:abstractNum>
  <w:abstractNum w:abstractNumId="158">
    <w:nsid w:val="69D3947C"/>
    <w:multiLevelType w:val="hybridMultilevel"/>
    <w:lvl w:ilvl="0">
      <w:lvlJc w:val="left"/>
      <w:lvlText w:val="(%1)"/>
      <w:numFmt w:val="lowerLetter"/>
      <w:start w:val="2"/>
    </w:lvl>
  </w:abstractNum>
  <w:abstractNum w:abstractNumId="159">
    <w:nsid w:val="2539DFA5"/>
    <w:multiLevelType w:val="hybridMultilevel"/>
    <w:lvl w:ilvl="0">
      <w:lvlJc w:val="left"/>
      <w:lvlText w:val="(%1)"/>
      <w:numFmt w:val="lowerLetter"/>
      <w:start w:val="1"/>
    </w:lvl>
  </w:abstractNum>
  <w:abstractNum w:abstractNumId="160">
    <w:nsid w:val="2DB88089"/>
    <w:multiLevelType w:val="hybridMultilevel"/>
    <w:lvl w:ilvl="0">
      <w:lvlJc w:val="left"/>
      <w:lvlText w:val="(%1)"/>
      <w:numFmt w:val="decimal"/>
      <w:start w:val="2"/>
    </w:lvl>
  </w:abstractNum>
  <w:abstractNum w:abstractNumId="161">
    <w:nsid w:val="706B674E"/>
    <w:multiLevelType w:val="hybridMultilevel"/>
    <w:lvl w:ilvl="0">
      <w:lvlJc w:val="left"/>
      <w:lvlText w:val="(%1)"/>
      <w:numFmt w:val="lowerLetter"/>
      <w:start w:val="1"/>
    </w:lvl>
  </w:abstractNum>
  <w:abstractNum w:abstractNumId="162">
    <w:nsid w:val="2C106A57"/>
    <w:multiLevelType w:val="hybridMultilevel"/>
    <w:lvl w:ilvl="0">
      <w:lvlJc w:val="left"/>
      <w:lvlText w:val="(%1)"/>
      <w:numFmt w:val="lowerLetter"/>
      <w:start w:val="1"/>
    </w:lvl>
    <w:lvl w:ilvl="1">
      <w:lvlJc w:val="left"/>
      <w:lvlText w:val="(%2)"/>
      <w:numFmt w:val="lowerRoman"/>
      <w:start w:val="1"/>
    </w:lvl>
  </w:abstractNum>
  <w:abstractNum w:abstractNumId="163">
    <w:nsid w:val="684EED59"/>
    <w:multiLevelType w:val="hybridMultilevel"/>
    <w:lvl w:ilvl="0">
      <w:lvlJc w:val="left"/>
      <w:lvlText w:val="%1"/>
      <w:numFmt w:val="lowerLetter"/>
      <w:start w:val="1"/>
    </w:lvl>
    <w:lvl w:ilvl="1">
      <w:lvlJc w:val="left"/>
      <w:lvlText w:val="(%2)"/>
      <w:numFmt w:val="lowerRoman"/>
      <w:start w:val="4"/>
    </w:lvl>
  </w:abstractNum>
  <w:abstractNum w:abstractNumId="164">
    <w:nsid w:val="545EE5D3"/>
    <w:multiLevelType w:val="hybridMultilevel"/>
    <w:lvl w:ilvl="0">
      <w:lvlJc w:val="left"/>
      <w:lvlText w:val="(%1)"/>
      <w:numFmt w:val="lowerLetter"/>
      <w:start w:val="2"/>
    </w:lvl>
    <w:lvl w:ilvl="1">
      <w:lvlJc w:val="left"/>
      <w:lvlText w:val="(%2)"/>
      <w:numFmt w:val="lowerRoman"/>
      <w:start w:val="1"/>
    </w:lvl>
  </w:abstractNum>
  <w:abstractNum w:abstractNumId="165">
    <w:nsid w:val="4A66051"/>
    <w:multiLevelType w:val="hybridMultilevel"/>
    <w:lvl w:ilvl="0">
      <w:lvlJc w:val="left"/>
      <w:lvlText w:val="%1"/>
      <w:numFmt w:val="lowerLetter"/>
      <w:start w:val="1"/>
    </w:lvl>
    <w:lvl w:ilvl="1">
      <w:lvlJc w:val="left"/>
      <w:lvlText w:val="(%2)"/>
      <w:numFmt w:val="lowerLetter"/>
      <w:start w:val="35"/>
    </w:lvl>
  </w:abstractNum>
  <w:abstractNum w:abstractNumId="166">
    <w:nsid w:val="20F4BDAD"/>
    <w:multiLevelType w:val="hybridMultilevel"/>
    <w:lvl w:ilvl="0">
      <w:lvlJc w:val="left"/>
      <w:lvlText w:val="(%1)"/>
      <w:numFmt w:val="lowerLetter"/>
      <w:start w:val="4"/>
    </w:lvl>
    <w:lvl w:ilvl="1">
      <w:lvlJc w:val="left"/>
      <w:lvlText w:val="%2"/>
      <w:numFmt w:val="lowerLetter"/>
      <w:start w:val="1"/>
    </w:lvl>
  </w:abstractNum>
  <w:abstractNum w:abstractNumId="167">
    <w:nsid w:val="639DEFA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68">
    <w:nsid w:val="501F9786"/>
    <w:multiLevelType w:val="hybridMultilevel"/>
    <w:lvl w:ilvl="0">
      <w:lvlJc w:val="left"/>
      <w:lvlText w:val="(%1)"/>
      <w:numFmt w:val="upperLetter"/>
      <w:start w:val="9"/>
    </w:lvl>
  </w:abstractNum>
  <w:abstractNum w:abstractNumId="169">
    <w:nsid w:val="6B057295"/>
    <w:multiLevelType w:val="hybridMultilevel"/>
    <w:lvl w:ilvl="0">
      <w:lvlJc w:val="left"/>
      <w:lvlText w:val="(%1)"/>
      <w:numFmt w:val="upperLetter"/>
      <w:start w:val="35"/>
    </w:lvl>
  </w:abstractNum>
  <w:abstractNum w:abstractNumId="170">
    <w:nsid w:val="2771AC80"/>
    <w:multiLevelType w:val="hybridMultilevel"/>
    <w:lvl w:ilvl="0">
      <w:lvlJc w:val="left"/>
      <w:lvlText w:val="(%1)"/>
      <w:numFmt w:val="upperLetter"/>
      <w:start w:val="61"/>
    </w:lvl>
  </w:abstractNum>
  <w:abstractNum w:abstractNumId="171">
    <w:nsid w:val="1C4A08EC"/>
    <w:multiLevelType w:val="hybridMultilevel"/>
    <w:lvl w:ilvl="0">
      <w:lvlJc w:val="left"/>
      <w:lvlText w:val="(%1)"/>
      <w:numFmt w:val="upperLetter"/>
      <w:start w:val="3"/>
    </w:lvl>
  </w:abstractNum>
  <w:abstractNum w:abstractNumId="172">
    <w:nsid w:val="1958BD17"/>
    <w:multiLevelType w:val="hybridMultilevel"/>
    <w:lvl w:ilvl="0">
      <w:lvlJc w:val="left"/>
      <w:lvlText w:val="%1"/>
      <w:numFmt w:val="lowerRoman"/>
      <w:start w:val="1"/>
    </w:lvl>
    <w:lvl w:ilvl="1">
      <w:lvlJc w:val="left"/>
      <w:lvlText w:val="(%2)"/>
      <w:numFmt w:val="upperLetter"/>
      <w:start w:val="4"/>
    </w:lvl>
  </w:abstractNum>
  <w:abstractNum w:abstractNumId="173">
    <w:nsid w:val="4E647FE4"/>
    <w:multiLevelType w:val="hybridMultilevel"/>
    <w:lvl w:ilvl="0">
      <w:lvlJc w:val="left"/>
      <w:lvlText w:val="(%1)"/>
      <w:numFmt w:val="lowerRoman"/>
      <w:start w:val="3"/>
    </w:lvl>
    <w:lvl w:ilvl="1">
      <w:lvlJc w:val="left"/>
      <w:lvlText w:val="%2"/>
      <w:numFmt w:val="upperLetter"/>
      <w:start w:val="1"/>
    </w:lvl>
  </w:abstractNum>
  <w:abstractNum w:abstractNumId="174">
    <w:nsid w:val="E0BB885"/>
    <w:multiLevelType w:val="hybridMultilevel"/>
    <w:lvl w:ilvl="0">
      <w:lvlJc w:val="left"/>
      <w:lvlText w:val="%1"/>
      <w:numFmt w:val="lowerLetter"/>
      <w:start w:val="1"/>
    </w:lvl>
    <w:lvl w:ilvl="1">
      <w:lvlJc w:val="left"/>
      <w:lvlText w:val="(%2)"/>
      <w:numFmt w:val="lowerLetter"/>
      <w:start w:val="22"/>
    </w:lvl>
  </w:abstractNum>
  <w:abstractNum w:abstractNumId="175">
    <w:nsid w:val="565976F1"/>
    <w:multiLevelType w:val="hybridMultilevel"/>
    <w:lvl w:ilvl="0">
      <w:lvlJc w:val="left"/>
      <w:lvlText w:val="(%1)"/>
      <w:numFmt w:val="lowerLetter"/>
      <w:start w:val="6"/>
    </w:lvl>
    <w:lvl w:ilvl="1">
      <w:lvlJc w:val="left"/>
      <w:lvlText w:val="%2"/>
      <w:numFmt w:val="lowerLetter"/>
      <w:start w:val="1"/>
    </w:lvl>
  </w:abstractNum>
  <w:abstractNum w:abstractNumId="176">
    <w:nsid w:val="64212B8C"/>
    <w:multiLevelType w:val="hybridMultilevel"/>
    <w:lvl w:ilvl="0">
      <w:lvlJc w:val="left"/>
      <w:lvlText w:val="(%1)"/>
      <w:numFmt w:val="lowerLetter"/>
      <w:start w:val="1"/>
    </w:lvl>
  </w:abstractNum>
  <w:abstractNum w:abstractNumId="177">
    <w:nsid w:val="5C17530C"/>
    <w:multiLevelType w:val="hybridMultilevel"/>
    <w:lvl w:ilvl="0">
      <w:lvlJc w:val="left"/>
      <w:lvlText w:val="(%1)"/>
      <w:numFmt w:val="lowerLetter"/>
      <w:start w:val="2"/>
    </w:lvl>
  </w:abstractNum>
  <w:abstractNum w:abstractNumId="178">
    <w:nsid w:val="19A52566"/>
    <w:multiLevelType w:val="hybridMultilevel"/>
    <w:lvl w:ilvl="0">
      <w:lvlJc w:val="left"/>
      <w:lvlText w:val="(%1)"/>
      <w:numFmt w:val="lowerRoman"/>
      <w:start w:val="1"/>
    </w:lvl>
  </w:abstractNum>
  <w:abstractNum w:abstractNumId="179">
    <w:nsid w:val="335A1DF1"/>
    <w:multiLevelType w:val="hybridMultilevel"/>
    <w:lvl w:ilvl="0">
      <w:lvlJc w:val="left"/>
      <w:lvlText w:val="(%1)"/>
      <w:numFmt w:val="lowerRoman"/>
      <w:start w:val="2"/>
    </w:lvl>
  </w:abstractNum>
  <w:abstractNum w:abstractNumId="180">
    <w:nsid w:val="28677B7C"/>
    <w:multiLevelType w:val="hybridMultilevel"/>
    <w:lvl w:ilvl="0">
      <w:lvlJc w:val="left"/>
      <w:lvlText w:val="(%1)"/>
      <w:numFmt w:val="lowerLetter"/>
      <w:start w:val="3"/>
    </w:lvl>
  </w:abstractNum>
  <w:abstractNum w:abstractNumId="181">
    <w:nsid w:val="378D97C0"/>
    <w:multiLevelType w:val="hybridMultilevel"/>
    <w:lvl w:ilvl="0">
      <w:lvlJc w:val="left"/>
      <w:lvlText w:val="(%1)"/>
      <w:numFmt w:val="lowerRoman"/>
      <w:start w:val="1"/>
    </w:lvl>
  </w:abstractNum>
  <w:abstractNum w:abstractNumId="182">
    <w:nsid w:val="1D91467C"/>
    <w:multiLevelType w:val="hybridMultilevel"/>
    <w:lvl w:ilvl="0">
      <w:lvlJc w:val="left"/>
      <w:lvlText w:val="(%1)"/>
      <w:numFmt w:val="lowerRoman"/>
      <w:start w:val="2"/>
    </w:lvl>
  </w:abstractNum>
  <w:abstractNum w:abstractNumId="183">
    <w:nsid w:val="316032BB"/>
    <w:multiLevelType w:val="hybridMultilevel"/>
    <w:lvl w:ilvl="0">
      <w:lvlJc w:val="left"/>
      <w:lvlText w:val="(%1)"/>
      <w:numFmt w:val="lowerLetter"/>
      <w:start w:val="25"/>
    </w:lvl>
    <w:lvl w:ilvl="1">
      <w:lvlJc w:val="left"/>
      <w:lvlText w:val="(%2)"/>
      <w:numFmt w:val="lowerRoman"/>
      <w:start w:val="6"/>
    </w:lvl>
  </w:abstractNum>
  <w:abstractNum w:abstractNumId="184">
    <w:nsid w:val="44344C22"/>
    <w:multiLevelType w:val="hybridMultilevel"/>
    <w:lvl w:ilvl="0">
      <w:lvlJc w:val="left"/>
      <w:lvlText w:val="(%1)"/>
      <w:numFmt w:val="lowerLetter"/>
      <w:start w:val="4"/>
    </w:lvl>
    <w:lvl w:ilvl="1">
      <w:lvlJc w:val="left"/>
      <w:lvlText w:val="(%2)"/>
      <w:numFmt w:val="lowerRoman"/>
      <w:start w:val="1"/>
    </w:lvl>
  </w:abstractNum>
  <w:abstractNum w:abstractNumId="185">
    <w:nsid w:val="13CDFCFC"/>
    <w:multiLevelType w:val="hybridMultilevel"/>
    <w:lvl w:ilvl="0">
      <w:lvlJc w:val="left"/>
      <w:lvlText w:val="(%1)"/>
      <w:numFmt w:val="lowerLetter"/>
      <w:start w:val="5"/>
    </w:lvl>
  </w:abstractNum>
  <w:abstractNum w:abstractNumId="186">
    <w:nsid w:val="471745E4"/>
    <w:multiLevelType w:val="hybridMultilevel"/>
    <w:lvl w:ilvl="0">
      <w:lvlJc w:val="left"/>
      <w:lvlText w:val="(%1)"/>
      <w:numFmt w:val="lowerLetter"/>
      <w:start w:val="6"/>
    </w:lvl>
  </w:abstractNum>
  <w:abstractNum w:abstractNumId="187">
    <w:nsid w:val="1DDBC66"/>
    <w:multiLevelType w:val="hybridMultilevel"/>
    <w:lvl w:ilvl="0">
      <w:lvlJc w:val="left"/>
      <w:lvlText w:val="(%1)"/>
      <w:numFmt w:val="lowerLetter"/>
      <w:start w:val="1"/>
    </w:lvl>
  </w:abstractNum>
  <w:abstractNum w:abstractNumId="188">
    <w:nsid w:val="30AADFDA"/>
    <w:multiLevelType w:val="hybridMultilevel"/>
    <w:lvl w:ilvl="0">
      <w:lvlJc w:val="left"/>
      <w:lvlText w:val="(%1)"/>
      <w:numFmt w:val="lowerRoman"/>
      <w:start w:val="1"/>
    </w:lvl>
  </w:abstractNum>
  <w:abstractNum w:abstractNumId="189">
    <w:nsid w:val="30EADA61"/>
    <w:multiLevelType w:val="hybridMultilevel"/>
    <w:lvl w:ilvl="0">
      <w:lvlJc w:val="left"/>
      <w:lvlText w:val="(%1)"/>
      <w:numFmt w:val="decimal"/>
      <w:start w:val="180"/>
    </w:lvl>
  </w:abstractNum>
  <w:abstractNum w:abstractNumId="190">
    <w:nsid w:val="27179C0B"/>
    <w:multiLevelType w:val="hybridMultilevel"/>
    <w:lvl w:ilvl="0">
      <w:lvlJc w:val="left"/>
      <w:lvlText w:val="(%1)"/>
      <w:numFmt w:val="lowerLetter"/>
      <w:start w:val="1"/>
    </w:lvl>
  </w:abstractNum>
  <w:abstractNum w:abstractNumId="191">
    <w:nsid w:val="5E636063"/>
    <w:multiLevelType w:val="hybridMultilevel"/>
    <w:lvl w:ilvl="0">
      <w:lvlJc w:val="left"/>
      <w:lvlText w:val="(%1)"/>
      <w:numFmt w:val="lowerLetter"/>
      <w:start w:val="3"/>
    </w:lvl>
    <w:lvl w:ilvl="1">
      <w:lvlJc w:val="left"/>
      <w:lvlText w:val="(%2)"/>
      <w:numFmt w:val="lowerRoman"/>
      <w:start w:val="1"/>
    </w:lvl>
  </w:abstractNum>
  <w:abstractNum w:abstractNumId="192">
    <w:nsid w:val="215641AF"/>
    <w:multiLevelType w:val="hybridMultilevel"/>
    <w:lvl w:ilvl="0">
      <w:lvlJc w:val="left"/>
      <w:lvlText w:val="(%1)"/>
      <w:numFmt w:val="lowerLetter"/>
      <w:start w:val="4"/>
    </w:lvl>
  </w:abstractNum>
  <w:abstractNum w:abstractNumId="193">
    <w:nsid w:val="53280662"/>
    <w:multiLevelType w:val="hybridMultilevel"/>
    <w:lvl w:ilvl="0">
      <w:lvlJc w:val="left"/>
      <w:lvlText w:val="(%1)"/>
      <w:numFmt w:val="lowerLetter"/>
      <w:start w:val="1"/>
    </w:lvl>
    <w:lvl w:ilvl="1">
      <w:lvlJc w:val="left"/>
      <w:lvlText w:val="(%2)"/>
      <w:numFmt w:val="lowerRoman"/>
      <w:start w:val="1"/>
    </w:lvl>
  </w:abstractNum>
  <w:abstractNum w:abstractNumId="194">
    <w:nsid w:val="46B24DBC"/>
    <w:multiLevelType w:val="hybridMultilevel"/>
    <w:lvl w:ilvl="0">
      <w:lvlJc w:val="left"/>
      <w:lvlText w:val="(%1)"/>
      <w:numFmt w:val="lowerLetter"/>
      <w:start w:val="3"/>
    </w:lvl>
  </w:abstractNum>
  <w:abstractNum w:abstractNumId="195">
    <w:nsid w:val="75B52783"/>
    <w:multiLevelType w:val="hybridMultilevel"/>
    <w:lvl w:ilvl="0">
      <w:lvlJc w:val="left"/>
      <w:lvlText w:val="(%1)"/>
      <w:numFmt w:val="lowerLetter"/>
      <w:start w:val="1"/>
    </w:lvl>
  </w:abstractNum>
  <w:abstractNum w:abstractNumId="196">
    <w:nsid w:val="57CE66B4"/>
    <w:multiLevelType w:val="hybridMultilevel"/>
    <w:lvl w:ilvl="0">
      <w:lvlJc w:val="left"/>
      <w:lvlText w:val="(%1)"/>
      <w:numFmt w:val="lowerLetter"/>
      <w:start w:val="2"/>
    </w:lvl>
  </w:abstractNum>
  <w:abstractNum w:abstractNumId="197">
    <w:nsid w:val="67A70B69"/>
    <w:multiLevelType w:val="hybridMultilevel"/>
    <w:lvl w:ilvl="0">
      <w:lvlJc w:val="left"/>
      <w:lvlText w:val="(%1)"/>
      <w:numFmt w:val="lowerLetter"/>
      <w:start w:val="5"/>
    </w:lvl>
  </w:abstractNum>
  <w:abstractNum w:abstractNumId="198">
    <w:nsid w:val="5953172F"/>
    <w:multiLevelType w:val="hybridMultilevel"/>
    <w:lvl w:ilvl="0">
      <w:lvlJc w:val="left"/>
      <w:lvlText w:val="(%1)"/>
      <w:numFmt w:val="lowerLetter"/>
      <w:start w:val="1"/>
    </w:lvl>
  </w:abstractNum>
  <w:abstractNum w:abstractNumId="199">
    <w:nsid w:val="27EDFE3A"/>
    <w:multiLevelType w:val="hybridMultilevel"/>
    <w:lvl w:ilvl="0">
      <w:lvlJc w:val="left"/>
      <w:lvlText w:val="(%1)"/>
      <w:numFmt w:val="lowerLetter"/>
      <w:start w:val="3"/>
    </w:lvl>
  </w:abstractNum>
  <w:abstractNum w:abstractNumId="200">
    <w:nsid w:val="52AC7DFF"/>
    <w:multiLevelType w:val="hybridMultilevel"/>
    <w:lvl w:ilvl="0">
      <w:lvlJc w:val="left"/>
      <w:lvlText w:val="(%1)"/>
      <w:numFmt w:val="lowerLetter"/>
      <w:start w:val="1"/>
    </w:lvl>
  </w:abstractNum>
  <w:abstractNum w:abstractNumId="201">
    <w:nsid w:val="C4C3AF"/>
    <w:multiLevelType w:val="hybridMultilevel"/>
    <w:lvl w:ilvl="0">
      <w:lvlJc w:val="left"/>
      <w:lvlText w:val="(%1)"/>
      <w:numFmt w:val="lowerLetter"/>
      <w:start w:val="1"/>
    </w:lvl>
  </w:abstractNum>
  <w:abstractNum w:abstractNumId="202">
    <w:nsid w:val="44380727"/>
    <w:multiLevelType w:val="hybridMultilevel"/>
    <w:lvl w:ilvl="0">
      <w:lvlJc w:val="left"/>
      <w:lvlText w:val="(%1)"/>
      <w:numFmt w:val="lowerLetter"/>
      <w:start w:val="6"/>
    </w:lvl>
  </w:abstractNum>
  <w:abstractNum w:abstractNumId="203">
    <w:nsid w:val="6C053B16"/>
    <w:multiLevelType w:val="hybridMultilevel"/>
    <w:lvl w:ilvl="0">
      <w:lvlJc w:val="left"/>
      <w:lvlText w:val="(%1)"/>
      <w:numFmt w:val="lowerLetter"/>
      <w:start w:val="1"/>
    </w:lvl>
  </w:abstractNum>
  <w:abstractNum w:abstractNumId="204">
    <w:nsid w:val="4F294393"/>
    <w:multiLevelType w:val="hybridMultilevel"/>
    <w:lvl w:ilvl="0">
      <w:lvlJc w:val="left"/>
      <w:lvlText w:val="(%1)"/>
      <w:numFmt w:val="lowerLetter"/>
      <w:start w:val="4"/>
    </w:lvl>
  </w:abstractNum>
  <w:abstractNum w:abstractNumId="205">
    <w:nsid w:val="5243BFAC"/>
    <w:multiLevelType w:val="hybridMultilevel"/>
    <w:lvl w:ilvl="0">
      <w:lvlJc w:val="left"/>
      <w:lvlText w:val="(%1)"/>
      <w:numFmt w:val="lowerLetter"/>
      <w:start w:val="1"/>
    </w:lvl>
  </w:abstractNum>
  <w:abstractNum w:abstractNumId="206">
    <w:nsid w:val="425EB207"/>
    <w:multiLevelType w:val="hybridMultilevel"/>
    <w:lvl w:ilvl="0">
      <w:lvlJc w:val="left"/>
      <w:lvlText w:val="(%1)"/>
      <w:numFmt w:val="lowerLetter"/>
      <w:start w:val="35"/>
    </w:lvl>
    <w:lvl w:ilvl="1">
      <w:lvlJc w:val="left"/>
      <w:lvlText w:val="(%2)"/>
      <w:numFmt w:val="lowerLetter"/>
      <w:start w:val="3"/>
    </w:lvl>
  </w:abstractNum>
  <w:abstractNum w:abstractNumId="207">
    <w:nsid w:val="334A6F1F"/>
    <w:multiLevelType w:val="hybridMultilevel"/>
    <w:lvl w:ilvl="0">
      <w:lvlJc w:val="left"/>
      <w:lvlText w:val="(%1)"/>
      <w:numFmt w:val="lowerLetter"/>
      <w:start w:val="6"/>
    </w:lvl>
  </w:abstractNum>
  <w:abstractNum w:abstractNumId="208">
    <w:nsid w:val="2E5B12B8"/>
    <w:multiLevelType w:val="hybridMultilevel"/>
    <w:lvl w:ilvl="0">
      <w:lvlJc w:val="left"/>
      <w:lvlText w:val="(%1)"/>
      <w:numFmt w:val="lowerLetter"/>
      <w:start w:val="1"/>
    </w:lvl>
  </w:abstractNum>
  <w:abstractNum w:abstractNumId="209">
    <w:nsid w:val="5C03D76D"/>
    <w:multiLevelType w:val="hybridMultilevel"/>
    <w:lvl w:ilvl="0">
      <w:lvlJc w:val="left"/>
      <w:lvlText w:val="(%1)"/>
      <w:numFmt w:val="lowerLetter"/>
      <w:start w:val="2"/>
    </w:lvl>
  </w:abstractNum>
  <w:abstractNum w:abstractNumId="210">
    <w:nsid w:val="66A48D11"/>
    <w:multiLevelType w:val="hybridMultilevel"/>
    <w:lvl w:ilvl="0">
      <w:lvlJc w:val="left"/>
      <w:lvlText w:val="(%1)"/>
      <w:numFmt w:val="lowerLetter"/>
      <w:start w:val="1"/>
    </w:lvl>
  </w:abstractNum>
  <w:abstractNum w:abstractNumId="211">
    <w:nsid w:val="56C28E34"/>
    <w:multiLevelType w:val="hybridMultilevel"/>
    <w:lvl w:ilvl="0">
      <w:lvlJc w:val="left"/>
      <w:lvlText w:val="(%1)"/>
      <w:numFmt w:val="lowerLetter"/>
      <w:start w:val="5"/>
    </w:lvl>
  </w:abstractNum>
  <w:abstractNum w:abstractNumId="212">
    <w:nsid w:val="13916F2D"/>
    <w:multiLevelType w:val="hybridMultilevel"/>
    <w:lvl w:ilvl="0">
      <w:lvlJc w:val="left"/>
      <w:lvlText w:val="(%1)"/>
      <w:numFmt w:val="lowerLetter"/>
      <w:start w:val="25"/>
    </w:lvl>
    <w:lvl w:ilvl="1">
      <w:lvlJc w:val="left"/>
      <w:lvlText w:val="(%2)"/>
      <w:numFmt w:val="lowerRoman"/>
      <w:start w:val="1"/>
    </w:lvl>
  </w:abstractNum>
  <w:abstractNum w:abstractNumId="213">
    <w:nsid w:val="435D38D"/>
    <w:multiLevelType w:val="hybridMultilevel"/>
    <w:lvl w:ilvl="0">
      <w:lvlJc w:val="left"/>
      <w:lvlText w:val="(%1)"/>
      <w:numFmt w:val="lowerRoman"/>
      <w:start w:val="6"/>
    </w:lvl>
  </w:abstractNum>
  <w:abstractNum w:abstractNumId="214">
    <w:nsid w:val="822C0EF"/>
    <w:multiLevelType w:val="hybridMultilevel"/>
    <w:lvl w:ilvl="0">
      <w:lvlJc w:val="left"/>
      <w:lvlText w:val="(%1)"/>
      <w:numFmt w:val="lowerLetter"/>
      <w:start w:val="1"/>
    </w:lvl>
  </w:abstractNum>
  <w:abstractNum w:abstractNumId="215">
    <w:nsid w:val="57C5BB4F"/>
    <w:multiLevelType w:val="hybridMultilevel"/>
    <w:lvl w:ilvl="0">
      <w:lvlJc w:val="left"/>
      <w:lvlText w:val="(%1)"/>
      <w:numFmt w:val="lowerLetter"/>
      <w:start w:val="8"/>
    </w:lvl>
  </w:abstractNum>
  <w:abstractNum w:abstractNumId="216">
    <w:nsid w:val="1803D089"/>
    <w:multiLevelType w:val="hybridMultilevel"/>
    <w:lvl w:ilvl="0">
      <w:lvlJc w:val="left"/>
      <w:lvlText w:val="(%1)"/>
      <w:numFmt w:val="lowerLetter"/>
      <w:start w:val="1"/>
    </w:lvl>
  </w:abstractNum>
  <w:abstractNum w:abstractNumId="217">
    <w:nsid w:val="4F3A06D4"/>
    <w:multiLevelType w:val="hybridMultilevel"/>
    <w:lvl w:ilvl="0">
      <w:lvlJc w:val="left"/>
      <w:lvlText w:val="(%1)"/>
      <w:numFmt w:val="lowerLetter"/>
      <w:start w:val="1"/>
    </w:lvl>
  </w:abstractNum>
  <w:abstractNum w:abstractNumId="218">
    <w:nsid w:val="59A377B6"/>
    <w:multiLevelType w:val="hybridMultilevel"/>
    <w:lvl w:ilvl="0">
      <w:lvlJc w:val="left"/>
      <w:lvlText w:val="(%1)"/>
      <w:numFmt w:val="lowerLetter"/>
      <w:start w:val="1"/>
    </w:lvl>
  </w:abstractNum>
  <w:abstractNum w:abstractNumId="219">
    <w:nsid w:val="48AEB06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0">
    <w:nsid w:val="24E135"/>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221">
    <w:nsid w:val="BB13C1"/>
    <w:multiLevelType w:val="hybridMultilevel"/>
    <w:lvl w:ilvl="0">
      <w:lvlJc w:val="left"/>
      <w:lvlText w:val="(%1)"/>
      <w:numFmt w:val="lowerLetter"/>
      <w:start w:val="5"/>
    </w:lvl>
  </w:abstractNum>
  <w:abstractNum w:abstractNumId="222">
    <w:nsid w:val="271210C7"/>
    <w:multiLevelType w:val="hybridMultilevel"/>
    <w:lvl w:ilvl="0">
      <w:lvlJc w:val="left"/>
      <w:lvlText w:val="(%1)"/>
      <w:numFmt w:val="lowerLetter"/>
      <w:start w:val="8"/>
    </w:lvl>
  </w:abstractNum>
  <w:abstractNum w:abstractNumId="223">
    <w:nsid w:val="217B22E4"/>
    <w:multiLevelType w:val="hybridMultilevel"/>
    <w:lvl w:ilvl="0">
      <w:lvlJc w:val="left"/>
      <w:lvlText w:val="(%1)"/>
      <w:numFmt w:val="lowerLetter"/>
      <w:start w:val="1"/>
    </w:lvl>
  </w:abstractNum>
  <w:abstractNum w:abstractNumId="224">
    <w:nsid w:val="53E31A24"/>
    <w:multiLevelType w:val="hybridMultilevel"/>
    <w:lvl w:ilvl="0">
      <w:lvlJc w:val="left"/>
      <w:lvlText w:val="(%1)"/>
      <w:numFmt w:val="lowerLetter"/>
      <w:start w:val="1"/>
    </w:lvl>
  </w:abstractNum>
  <w:abstractNum w:abstractNumId="225">
    <w:nsid w:val="6DC45E83"/>
    <w:multiLevelType w:val="hybridMultilevel"/>
    <w:lvl w:ilvl="0">
      <w:lvlJc w:val="left"/>
      <w:lvlText w:val="(%1)"/>
      <w:numFmt w:val="lowerLetter"/>
      <w:start w:val="5"/>
    </w:lvl>
  </w:abstractNum>
  <w:abstractNum w:abstractNumId="226">
    <w:nsid w:val="17304A67"/>
    <w:multiLevelType w:val="hybridMultilevel"/>
    <w:lvl w:ilvl="0">
      <w:lvlJc w:val="left"/>
      <w:lvlText w:val="(%1)"/>
      <w:numFmt w:val="lowerLetter"/>
      <w:start w:val="1"/>
    </w:lvl>
  </w:abstractNum>
  <w:abstractNum w:abstractNumId="227">
    <w:nsid w:val="2BB180D8"/>
    <w:multiLevelType w:val="hybridMultilevel"/>
    <w:lvl w:ilvl="0">
      <w:lvlJc w:val="left"/>
      <w:lvlText w:val="(%1)"/>
      <w:numFmt w:val="decimal"/>
      <w:start w:val="30"/>
    </w:lvl>
    <w:lvl w:ilvl="1">
      <w:lvlJc w:val="left"/>
      <w:lvlText w:val="(%2)"/>
      <w:numFmt w:val="lowerLetter"/>
      <w:start w:val="2"/>
    </w:lvl>
  </w:abstractNum>
  <w:abstractNum w:abstractNumId="228">
    <w:nsid w:val="556B69ED"/>
    <w:multiLevelType w:val="hybridMultilevel"/>
    <w:lvl w:ilvl="0">
      <w:lvlJc w:val="left"/>
      <w:lvlText w:val="(%1)"/>
      <w:numFmt w:val="lowerLetter"/>
      <w:start w:val="4"/>
    </w:lvl>
  </w:abstractNum>
  <w:abstractNum w:abstractNumId="229">
    <w:nsid w:val="70836196"/>
    <w:multiLevelType w:val="hybridMultilevel"/>
    <w:lvl w:ilvl="0">
      <w:lvlJc w:val="left"/>
      <w:lvlText w:val="(%1)"/>
      <w:numFmt w:val="lowerLetter"/>
      <w:start w:val="1"/>
    </w:lvl>
    <w:lvl w:ilvl="1">
      <w:lvlJc w:val="left"/>
      <w:lvlText w:val="(%2)"/>
      <w:numFmt w:val="lowerRoman"/>
      <w:start w:val="1"/>
    </w:lvl>
  </w:abstractNum>
  <w:abstractNum w:abstractNumId="230">
    <w:nsid w:val="539F7F12"/>
    <w:multiLevelType w:val="hybridMultilevel"/>
    <w:lvl w:ilvl="0">
      <w:lvlJc w:val="left"/>
      <w:lvlText w:val="(%1)"/>
      <w:numFmt w:val="lowerLetter"/>
      <w:start w:val="1"/>
    </w:lvl>
  </w:abstractNum>
  <w:abstractNum w:abstractNumId="231">
    <w:nsid w:val="2817E7EC"/>
    <w:multiLevelType w:val="hybridMultilevel"/>
    <w:lvl w:ilvl="0">
      <w:lvlJc w:val="left"/>
      <w:lvlText w:val="(%1)"/>
      <w:numFmt w:val="lowerLetter"/>
      <w:start w:val="1"/>
    </w:lvl>
  </w:abstractNum>
  <w:abstractNum w:abstractNumId="232">
    <w:nsid w:val="71482545"/>
    <w:multiLevelType w:val="hybridMultilevel"/>
    <w:lvl w:ilvl="0">
      <w:lvlJc w:val="left"/>
      <w:lvlText w:val="(%1)"/>
      <w:numFmt w:val="lowerLetter"/>
      <w:start w:val="2"/>
    </w:lvl>
  </w:abstractNum>
  <w:abstractNum w:abstractNumId="233">
    <w:nsid w:val="17D78639"/>
    <w:multiLevelType w:val="hybridMultilevel"/>
    <w:lvl w:ilvl="0">
      <w:lvlJc w:val="left"/>
      <w:lvlText w:val="%1"/>
      <w:numFmt w:val="lowerLetter"/>
      <w:start w:val="1"/>
    </w:lvl>
    <w:lvl w:ilvl="1">
      <w:lvlJc w:val="left"/>
      <w:lvlText w:val="(%2)"/>
      <w:numFmt w:val="lowerLetter"/>
      <w:start w:val="3"/>
    </w:lvl>
  </w:abstractNum>
  <w:abstractNum w:abstractNumId="234">
    <w:nsid w:val="141D2302"/>
    <w:multiLevelType w:val="hybridMultilevel"/>
    <w:lvl w:ilvl="0">
      <w:lvlJc w:val="left"/>
      <w:lvlText w:val="(%1)"/>
      <w:numFmt w:val="lowerLetter"/>
      <w:start w:val="3"/>
    </w:lvl>
    <w:lvl w:ilvl="1">
      <w:lvlJc w:val="left"/>
      <w:lvlText w:val="(%2)"/>
      <w:numFmt w:val="lowerLetter"/>
      <w:start w:val="4"/>
    </w:lvl>
  </w:abstractNum>
  <w:abstractNum w:abstractNumId="235">
    <w:nsid w:val="407168D8"/>
    <w:multiLevelType w:val="hybridMultilevel"/>
    <w:lvl w:ilvl="0">
      <w:lvlJc w:val="left"/>
      <w:lvlText w:val="(%1)"/>
      <w:numFmt w:val="lowerLetter"/>
      <w:start w:val="1"/>
    </w:lvl>
  </w:abstractNum>
  <w:abstractNum w:abstractNumId="236">
    <w:nsid w:val="6A1B45E5"/>
    <w:multiLevelType w:val="hybridMultilevel"/>
    <w:lvl w:ilvl="0">
      <w:lvlJc w:val="left"/>
      <w:lvlText w:val="(%1)"/>
      <w:numFmt w:val="decimal"/>
      <w:start w:val="7"/>
    </w:lvl>
    <w:lvl w:ilvl="1">
      <w:lvlJc w:val="left"/>
      <w:lvlText w:val="(%2)"/>
      <w:numFmt w:val="lowerLetter"/>
      <w:start w:val="2"/>
    </w:lvl>
  </w:abstractNum>
  <w:abstractNum w:abstractNumId="237">
    <w:nsid w:val="567BD50A"/>
    <w:multiLevelType w:val="hybridMultilevel"/>
    <w:lvl w:ilvl="0">
      <w:lvlJc w:val="left"/>
      <w:lvlText w:val="(%1)"/>
      <w:numFmt w:val="lowerLetter"/>
      <w:start w:val="3"/>
    </w:lvl>
  </w:abstractNum>
  <w:abstractNum w:abstractNumId="238">
    <w:nsid w:val="73BBD7F8"/>
    <w:multiLevelType w:val="hybridMultilevel"/>
    <w:lvl w:ilvl="0">
      <w:lvlJc w:val="left"/>
      <w:lvlText w:val="(%1)"/>
      <w:numFmt w:val="lowerLetter"/>
      <w:start w:val="1"/>
    </w:lvl>
  </w:abstractNum>
  <w:abstractNum w:abstractNumId="239">
    <w:nsid w:val="1876589D"/>
    <w:multiLevelType w:val="hybridMultilevel"/>
    <w:lvl w:ilvl="0">
      <w:lvlJc w:val="left"/>
      <w:lvlText w:val="(%1)"/>
      <w:numFmt w:val="lowerLetter"/>
      <w:start w:val="1"/>
    </w:lvl>
  </w:abstractNum>
  <w:abstractNum w:abstractNumId="240">
    <w:nsid w:val="327FAC77"/>
    <w:multiLevelType w:val="hybridMultilevel"/>
    <w:lvl w:ilvl="0">
      <w:lvlJc w:val="left"/>
      <w:lvlText w:val="(%1)"/>
      <w:numFmt w:val="lowerLetter"/>
      <w:start w:val="2"/>
    </w:lvl>
  </w:abstractNum>
  <w:abstractNum w:abstractNumId="241">
    <w:nsid w:val="5A606509"/>
    <w:multiLevelType w:val="hybridMultilevel"/>
    <w:lvl w:ilvl="0">
      <w:lvlJc w:val="left"/>
      <w:lvlText w:val="(%1)"/>
      <w:numFmt w:val="lowerLetter"/>
      <w:start w:val="1"/>
    </w:lvl>
  </w:abstractNum>
  <w:abstractNum w:abstractNumId="242">
    <w:nsid w:val="6F38E6D1"/>
    <w:multiLevelType w:val="hybridMultilevel"/>
    <w:lvl w:ilvl="0">
      <w:lvlJc w:val="left"/>
      <w:lvlText w:val="(%1)"/>
      <w:numFmt w:val="lowerRoman"/>
      <w:start w:val="1"/>
    </w:lvl>
  </w:abstractNum>
  <w:abstractNum w:abstractNumId="243">
    <w:nsid w:val="46111BA5"/>
    <w:multiLevelType w:val="hybridMultilevel"/>
    <w:lvl w:ilvl="0">
      <w:lvlJc w:val="left"/>
      <w:lvlText w:val="(%1)"/>
      <w:numFmt w:val="lowerLetter"/>
      <w:start w:val="2"/>
    </w:lvl>
  </w:abstractNum>
  <w:abstractNum w:abstractNumId="244">
    <w:nsid w:val="5E963896"/>
    <w:multiLevelType w:val="hybridMultilevel"/>
    <w:lvl w:ilvl="0">
      <w:lvlJc w:val="left"/>
      <w:lvlText w:val="(%1)"/>
      <w:numFmt w:val="lowerLetter"/>
      <w:start w:val="3"/>
    </w:lvl>
  </w:abstractNum>
  <w:abstractNum w:abstractNumId="245">
    <w:nsid w:val="775BA7C1"/>
    <w:multiLevelType w:val="hybridMultilevel"/>
    <w:lvl w:ilvl="0">
      <w:lvlJc w:val="left"/>
      <w:lvlText w:val="(%1)"/>
      <w:numFmt w:val="lowerLetter"/>
      <w:start w:val="1"/>
    </w:lvl>
  </w:abstractNum>
  <w:abstractNum w:abstractNumId="246">
    <w:nsid w:val="1DD6D6F4"/>
    <w:multiLevelType w:val="hybridMultilevel"/>
    <w:lvl w:ilvl="0">
      <w:lvlJc w:val="left"/>
      <w:lvlText w:val="(%1)"/>
      <w:numFmt w:val="lowerLetter"/>
      <w:start w:val="8"/>
    </w:lvl>
  </w:abstractNum>
  <w:abstractNum w:abstractNumId="247">
    <w:nsid w:val="769A091F"/>
    <w:multiLevelType w:val="hybridMultilevel"/>
    <w:lvl w:ilvl="0">
      <w:lvlJc w:val="left"/>
      <w:lvlText w:val="(%1)"/>
      <w:numFmt w:val="lowerLetter"/>
      <w:start w:val="1"/>
    </w:lvl>
  </w:abstractNum>
  <w:abstractNum w:abstractNumId="248">
    <w:nsid w:val="4695AE95"/>
    <w:multiLevelType w:val="hybridMultilevel"/>
    <w:lvl w:ilvl="0">
      <w:lvlJc w:val="left"/>
      <w:lvlText w:val="(%1)"/>
      <w:numFmt w:val="lowerLetter"/>
      <w:start w:val="2"/>
    </w:lvl>
  </w:abstractNum>
  <w:abstractNum w:abstractNumId="249">
    <w:nsid w:val="777A4EAA"/>
    <w:multiLevelType w:val="hybridMultilevel"/>
    <w:lvl w:ilvl="0">
      <w:lvlJc w:val="left"/>
      <w:lvlText w:val="(%1)"/>
      <w:numFmt w:val="lowerLetter"/>
      <w:start w:val="1"/>
    </w:lvl>
    <w:lvl w:ilvl="1">
      <w:lvlJc w:val="left"/>
      <w:lvlText w:val="(%2)"/>
      <w:numFmt w:val="lowerRoman"/>
      <w:start w:val="1"/>
    </w:lvl>
  </w:abstractNum>
  <w:abstractNum w:abstractNumId="250">
    <w:nsid w:val="3F48B982"/>
    <w:multiLevelType w:val="hybridMultilevel"/>
    <w:lvl w:ilvl="0">
      <w:lvlJc w:val="left"/>
      <w:lvlText w:val="(%1)"/>
      <w:numFmt w:val="lowerLetter"/>
      <w:start w:val="1"/>
    </w:lvl>
  </w:abstractNum>
  <w:abstractNum w:abstractNumId="251">
    <w:nsid w:val="46BA8FCA"/>
    <w:multiLevelType w:val="hybridMultilevel"/>
    <w:lvl w:ilvl="0">
      <w:lvlJc w:val="left"/>
      <w:lvlText w:val="(%1)"/>
      <w:numFmt w:val="lowerLetter"/>
      <w:start w:val="2"/>
    </w:lvl>
  </w:abstractNum>
  <w:abstractNum w:abstractNumId="252">
    <w:nsid w:val="7835626C"/>
    <w:multiLevelType w:val="hybridMultilevel"/>
    <w:lvl w:ilvl="0">
      <w:lvlJc w:val="left"/>
      <w:lvlText w:val="(%1)"/>
      <w:numFmt w:val="lowerLetter"/>
      <w:start w:val="1"/>
    </w:lvl>
  </w:abstractNum>
  <w:abstractNum w:abstractNumId="253">
    <w:nsid w:val="665ACA49"/>
    <w:multiLevelType w:val="hybridMultilevel"/>
    <w:lvl w:ilvl="0">
      <w:lvlJc w:val="left"/>
      <w:lvlText w:val="(%1)"/>
      <w:numFmt w:val="lowerLetter"/>
      <w:start w:val="1"/>
    </w:lvl>
    <w:lvl w:ilvl="1">
      <w:lvlJc w:val="left"/>
      <w:lvlText w:val="(%2)"/>
      <w:numFmt w:val="lowerRoman"/>
      <w:start w:val="1"/>
    </w:lvl>
  </w:abstractNum>
  <w:abstractNum w:abstractNumId="254">
    <w:nsid w:val="6835B2AE"/>
    <w:multiLevelType w:val="hybridMultilevel"/>
    <w:lvl w:ilvl="0">
      <w:lvlJc w:val="left"/>
      <w:lvlText w:val="(%1)"/>
      <w:numFmt w:val="lowerLetter"/>
      <w:start w:val="1"/>
    </w:lvl>
  </w:abstractNum>
  <w:abstractNum w:abstractNumId="255">
    <w:nsid w:val="4C187C90"/>
    <w:multiLevelType w:val="hybridMultilevel"/>
    <w:lvl w:ilvl="0">
      <w:lvlJc w:val="left"/>
      <w:lvlText w:val="(%1)"/>
      <w:numFmt w:val="lowerLetter"/>
      <w:start w:val="1"/>
    </w:lvl>
  </w:abstractNum>
  <w:abstractNum w:abstractNumId="256">
    <w:nsid w:val="541F28CD"/>
    <w:multiLevelType w:val="hybridMultilevel"/>
    <w:lvl w:ilvl="0">
      <w:lvlJc w:val="left"/>
      <w:lvlText w:val="(%1)"/>
      <w:numFmt w:val="lowerLetter"/>
      <w:start w:val="1"/>
    </w:lvl>
  </w:abstractNum>
  <w:abstractNum w:abstractNumId="257">
    <w:nsid w:val="7F65FD16"/>
    <w:multiLevelType w:val="hybridMultilevel"/>
    <w:lvl w:ilvl="0">
      <w:lvlJc w:val="left"/>
      <w:lvlText w:val="(%1)"/>
      <w:numFmt w:val="lowerLetter"/>
      <w:start w:val="1"/>
    </w:lvl>
    <w:lvl w:ilvl="1">
      <w:lvlJc w:val="left"/>
      <w:lvlText w:val="(%2)"/>
      <w:numFmt w:val="lowerRoman"/>
      <w:start w:val="1"/>
    </w:lvl>
  </w:abstractNum>
  <w:abstractNum w:abstractNumId="258">
    <w:nsid w:val="77C9FD68"/>
    <w:multiLevelType w:val="hybridMultilevel"/>
    <w:lvl w:ilvl="0">
      <w:lvlJc w:val="left"/>
      <w:lvlText w:val="(%1)"/>
      <w:numFmt w:val="lowerLetter"/>
      <w:start w:val="1"/>
    </w:lvl>
  </w:abstractNum>
  <w:abstractNum w:abstractNumId="259">
    <w:nsid w:val="298A92BA"/>
    <w:multiLevelType w:val="hybridMultilevel"/>
    <w:lvl w:ilvl="0">
      <w:lvlJc w:val="left"/>
      <w:lvlText w:val="(%1)"/>
      <w:numFmt w:val="lowerLetter"/>
      <w:start w:val="1"/>
    </w:lvl>
  </w:abstractNum>
  <w:abstractNum w:abstractNumId="260">
    <w:nsid w:val="6FE95EAC"/>
    <w:multiLevelType w:val="hybridMultilevel"/>
    <w:lvl w:ilvl="0">
      <w:lvlJc w:val="left"/>
      <w:lvlText w:val="%1."/>
      <w:numFmt w:val="decimal"/>
      <w:start w:val="1"/>
    </w:lvl>
    <w:lvl w:ilvl="1">
      <w:lvlJc w:val="left"/>
      <w:lvlText w:val="(%2)"/>
      <w:numFmt w:val="lowerLetter"/>
      <w:start w:val="1"/>
    </w:lvl>
  </w:abstractNum>
  <w:abstractNum w:abstractNumId="261">
    <w:nsid w:val="4B697C7A"/>
    <w:multiLevelType w:val="hybridMultilevel"/>
    <w:lvl w:ilvl="0">
      <w:lvlJc w:val="left"/>
      <w:lvlText w:val="%1."/>
      <w:numFmt w:val="decimal"/>
      <w:start w:val="1"/>
    </w:lvl>
    <w:lvl w:ilvl="1">
      <w:lvlJc w:val="left"/>
      <w:lvlText w:val="(%2)"/>
      <w:numFmt w:val="lowerLetter"/>
      <w:start w:val="1"/>
    </w:lvl>
  </w:abstractNum>
  <w:abstractNum w:abstractNumId="262">
    <w:nsid w:val="51A27AA6"/>
    <w:multiLevelType w:val="hybridMultilevel"/>
    <w:lvl w:ilvl="0">
      <w:lvlJc w:val="left"/>
      <w:lvlText w:val="%1."/>
      <w:numFmt w:val="decimal"/>
      <w:start w:val="1"/>
    </w:lvl>
    <w:lvl w:ilvl="1">
      <w:lvlJc w:val="left"/>
      <w:lvlText w:val="(%2)"/>
      <w:numFmt w:val="lowerLetter"/>
      <w:start w:val="1"/>
    </w:lvl>
  </w:abstractNum>
  <w:abstractNum w:abstractNumId="263">
    <w:nsid w:val="613183F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154" Type="http://schemas.openxmlformats.org/officeDocument/2006/relationships/hyperlink" Target="https://www.sec.gov/Archives/edgar/data/1037540/000165642324000040/arby-laws72024clean.htm" TargetMode="External"/><Relationship Id="rId155" Type="http://schemas.openxmlformats.org/officeDocument/2006/relationships/hyperlink" Target="https://www.sec.gov/Archives/edgar/data/1037540/000165642324000049/exhibit41supplementalind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2024-11-05T12:35:41Z</dcterms:created>
  <dcterms:modified xsi:type="dcterms:W3CDTF">2024-11-05T12:35:41Z</dcterms:modified>
</cp:coreProperties>
</file>