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jc w:val="center"/>
        <w:ind w:right="4039"/>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jc w:val="center"/>
        <w:ind w:right="4039"/>
        <w:spacing w:after="0"/>
        <w:rPr>
          <w:sz w:val="20"/>
          <w:szCs w:val="20"/>
          <w:color w:val="auto"/>
        </w:rPr>
      </w:pPr>
      <w:r>
        <w:rPr>
          <w:rFonts w:ascii="Courier New" w:cs="Courier New" w:eastAsia="Courier New" w:hAnsi="Courier New"/>
          <w:sz w:val="15"/>
          <w:szCs w:val="15"/>
          <w:color w:val="auto"/>
        </w:rPr>
        <w:t>FORM 8-K</w:t>
      </w:r>
    </w:p>
    <w:p>
      <w:pPr>
        <w:spacing w:after="0" w:line="166" w:lineRule="exact"/>
        <w:rPr>
          <w:sz w:val="24"/>
          <w:szCs w:val="24"/>
          <w:color w:val="auto"/>
        </w:rPr>
      </w:pPr>
    </w:p>
    <w:p>
      <w:pPr>
        <w:jc w:val="center"/>
        <w:ind w:right="4039"/>
        <w:spacing w:after="0"/>
        <w:rPr>
          <w:sz w:val="20"/>
          <w:szCs w:val="20"/>
          <w:color w:val="auto"/>
        </w:rPr>
      </w:pPr>
      <w:r>
        <w:rPr>
          <w:rFonts w:ascii="Courier New" w:cs="Courier New" w:eastAsia="Courier New" w:hAnsi="Courier New"/>
          <w:sz w:val="15"/>
          <w:szCs w:val="15"/>
          <w:color w:val="auto"/>
        </w:rPr>
        <w:t>CURRENT REPORT</w:t>
      </w:r>
    </w:p>
    <w:p>
      <w:pPr>
        <w:spacing w:after="0" w:line="166"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Pursuant to Section 13 or 15(d) of the</w:t>
      </w:r>
    </w:p>
    <w:p>
      <w:pPr>
        <w:ind w:left="1400"/>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spacing w:after="0" w:line="167" w:lineRule="exact"/>
        <w:rPr>
          <w:sz w:val="24"/>
          <w:szCs w:val="24"/>
          <w:color w:val="auto"/>
        </w:rPr>
      </w:pPr>
    </w:p>
    <w:p>
      <w:pPr>
        <w:jc w:val="center"/>
        <w:ind w:right="3939"/>
        <w:spacing w:after="0"/>
        <w:rPr>
          <w:sz w:val="20"/>
          <w:szCs w:val="20"/>
          <w:color w:val="auto"/>
        </w:rPr>
      </w:pPr>
      <w:r>
        <w:rPr>
          <w:rFonts w:ascii="Courier New" w:cs="Courier New" w:eastAsia="Courier New" w:hAnsi="Courier New"/>
          <w:sz w:val="15"/>
          <w:szCs w:val="15"/>
          <w:color w:val="auto"/>
        </w:rPr>
        <w:t>Date of Report (Date of earliest event reported):</w:t>
      </w:r>
    </w:p>
    <w:p>
      <w:pPr>
        <w:ind w:left="2100"/>
        <w:spacing w:after="0" w:line="237" w:lineRule="auto"/>
        <w:rPr>
          <w:sz w:val="20"/>
          <w:szCs w:val="20"/>
          <w:color w:val="auto"/>
        </w:rPr>
      </w:pPr>
      <w:r>
        <w:rPr>
          <w:rFonts w:ascii="Courier New" w:cs="Courier New" w:eastAsia="Courier New" w:hAnsi="Courier New"/>
          <w:sz w:val="15"/>
          <w:szCs w:val="15"/>
          <w:color w:val="auto"/>
        </w:rPr>
        <w:t>APRIL 25, 2000</w:t>
      </w:r>
    </w:p>
    <w:p>
      <w:pPr>
        <w:spacing w:after="0" w:line="167" w:lineRule="exact"/>
        <w:rPr>
          <w:sz w:val="24"/>
          <w:szCs w:val="24"/>
          <w:color w:val="auto"/>
        </w:rPr>
      </w:pPr>
    </w:p>
    <w:p>
      <w:pPr>
        <w:jc w:val="center"/>
        <w:ind w:right="3939"/>
        <w:spacing w:after="0"/>
        <w:rPr>
          <w:sz w:val="20"/>
          <w:szCs w:val="20"/>
          <w:color w:val="auto"/>
        </w:rPr>
      </w:pPr>
      <w:r>
        <w:rPr>
          <w:rFonts w:ascii="Courier New" w:cs="Courier New" w:eastAsia="Courier New" w:hAnsi="Courier New"/>
          <w:sz w:val="15"/>
          <w:szCs w:val="15"/>
          <w:color w:val="auto"/>
        </w:rPr>
        <w:t>BOSTON PROPERTIES, INC.</w:t>
      </w:r>
    </w:p>
    <w:p>
      <w:pPr>
        <w:spacing w:after="0" w:line="5" w:lineRule="exact"/>
        <w:rPr>
          <w:sz w:val="24"/>
          <w:szCs w:val="24"/>
          <w:color w:val="auto"/>
        </w:rPr>
      </w:pPr>
    </w:p>
    <w:p>
      <w:pPr>
        <w:jc w:val="center"/>
        <w:ind w:right="40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9439"/>
          </w:cols>
          <w:pgMar w:left="1020" w:top="561" w:right="1440" w:bottom="1440" w:gutter="0" w:footer="0" w:header="0"/>
        </w:sectPr>
      </w:pPr>
    </w:p>
    <w:p>
      <w:pPr>
        <w:spacing w:after="0" w:line="34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1-13087</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04-2473675</w:t>
      </w:r>
    </w:p>
    <w:p>
      <w:pPr>
        <w:spacing w:after="0" w:line="171" w:lineRule="exact"/>
        <w:rPr>
          <w:sz w:val="24"/>
          <w:szCs w:val="24"/>
          <w:color w:val="auto"/>
        </w:rPr>
      </w:pPr>
    </w:p>
    <w:p>
      <w:pPr>
        <w:sectPr>
          <w:pgSz w:w="11900" w:h="16838" w:orient="portrait"/>
          <w:cols w:equalWidth="0" w:num="3">
            <w:col w:w="2340" w:space="720"/>
            <w:col w:w="1020" w:space="720"/>
            <w:col w:w="4639"/>
          </w:cols>
          <w:pgMar w:left="1020" w:top="561" w:right="1440" w:bottom="1440" w:gutter="0" w:footer="0" w:header="0"/>
          <w:type w:val="continuous"/>
        </w:sectPr>
      </w:pPr>
    </w:p>
    <w:p>
      <w:pPr>
        <w:spacing w:after="0" w:line="7" w:lineRule="exact"/>
        <w:rPr>
          <w:sz w:val="24"/>
          <w:szCs w:val="24"/>
          <w:color w:val="auto"/>
        </w:rPr>
      </w:pPr>
    </w:p>
    <w:p>
      <w:pPr>
        <w:ind w:right="320" w:hanging="786"/>
        <w:spacing w:after="0" w:line="261" w:lineRule="auto"/>
        <w:rPr>
          <w:sz w:val="20"/>
          <w:szCs w:val="20"/>
          <w:color w:val="auto"/>
        </w:rPr>
      </w:pPr>
      <w:r>
        <w:rPr>
          <w:rFonts w:ascii="Courier New" w:cs="Courier New" w:eastAsia="Courier New" w:hAnsi="Courier New"/>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(Commission File</w:t>
      </w:r>
    </w:p>
    <w:p>
      <w:pPr>
        <w:spacing w:after="0" w:line="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18" w:lineRule="exact"/>
        <w:rPr>
          <w:sz w:val="24"/>
          <w:szCs w:val="24"/>
          <w:color w:val="auto"/>
        </w:rPr>
      </w:pPr>
    </w:p>
    <w:p>
      <w:pPr>
        <w:sectPr>
          <w:pgSz w:w="11900" w:h="16838" w:orient="portrait"/>
          <w:cols w:equalWidth="0" w:num="3">
            <w:col w:w="1980" w:space="720"/>
            <w:col w:w="1400" w:space="440"/>
            <w:col w:w="4899"/>
          </w:cols>
          <w:pgMar w:left="1020" w:top="561" w:right="1440" w:bottom="1440" w:gutter="0" w:footer="0" w:header="0"/>
          <w:type w:val="continuous"/>
        </w:sectPr>
      </w:pPr>
    </w:p>
    <w:p>
      <w:pPr>
        <w:spacing w:after="0" w:line="121" w:lineRule="exact"/>
        <w:rPr>
          <w:sz w:val="24"/>
          <w:szCs w:val="24"/>
          <w:color w:val="auto"/>
        </w:rPr>
      </w:pPr>
    </w:p>
    <w:p>
      <w:pPr>
        <w:jc w:val="center"/>
        <w:ind w:right="3939"/>
        <w:spacing w:after="0"/>
        <w:rPr>
          <w:sz w:val="20"/>
          <w:szCs w:val="20"/>
          <w:color w:val="auto"/>
        </w:rPr>
      </w:pPr>
      <w:r>
        <w:rPr>
          <w:rFonts w:ascii="Courier New" w:cs="Courier New" w:eastAsia="Courier New" w:hAnsi="Courier New"/>
          <w:sz w:val="15"/>
          <w:szCs w:val="15"/>
          <w:color w:val="auto"/>
        </w:rPr>
        <w:t>800 BOYLSTON STREET</w:t>
      </w:r>
    </w:p>
    <w:p>
      <w:pPr>
        <w:jc w:val="center"/>
        <w:ind w:right="3939"/>
        <w:spacing w:after="0" w:line="237" w:lineRule="auto"/>
        <w:rPr>
          <w:sz w:val="20"/>
          <w:szCs w:val="20"/>
          <w:color w:val="auto"/>
        </w:rPr>
      </w:pPr>
      <w:r>
        <w:rPr>
          <w:rFonts w:ascii="Courier New" w:cs="Courier New" w:eastAsia="Courier New" w:hAnsi="Courier New"/>
          <w:sz w:val="15"/>
          <w:szCs w:val="15"/>
          <w:color w:val="auto"/>
        </w:rPr>
        <w:t>BOSTON, MASSACHUSETTS 02199</w:t>
      </w:r>
    </w:p>
    <w:p>
      <w:pPr>
        <w:spacing w:after="0" w:line="5" w:lineRule="exact"/>
        <w:rPr>
          <w:sz w:val="24"/>
          <w:szCs w:val="24"/>
          <w:color w:val="auto"/>
        </w:rPr>
      </w:pPr>
    </w:p>
    <w:p>
      <w:pPr>
        <w:jc w:val="center"/>
        <w:ind w:right="3939"/>
        <w:spacing w:after="0"/>
        <w:rPr>
          <w:sz w:val="20"/>
          <w:szCs w:val="20"/>
          <w:color w:val="auto"/>
        </w:rPr>
      </w:pPr>
      <w:r>
        <w:rPr>
          <w:rFonts w:ascii="Courier New" w:cs="Courier New" w:eastAsia="Courier New" w:hAnsi="Courier New"/>
          <w:sz w:val="14"/>
          <w:szCs w:val="14"/>
          <w:color w:val="auto"/>
        </w:rPr>
        <w:t>(Address of principal executive offices and zip code)</w:t>
      </w:r>
    </w:p>
    <w:p>
      <w:pPr>
        <w:spacing w:after="0" w:line="340" w:lineRule="exact"/>
        <w:rPr>
          <w:sz w:val="24"/>
          <w:szCs w:val="24"/>
          <w:color w:val="auto"/>
        </w:rPr>
      </w:pPr>
    </w:p>
    <w:p>
      <w:pPr>
        <w:jc w:val="center"/>
        <w:ind w:right="3939"/>
        <w:spacing w:after="0"/>
        <w:rPr>
          <w:sz w:val="20"/>
          <w:szCs w:val="20"/>
          <w:color w:val="auto"/>
        </w:rPr>
      </w:pPr>
      <w:r>
        <w:rPr>
          <w:rFonts w:ascii="Courier New" w:cs="Courier New" w:eastAsia="Courier New" w:hAnsi="Courier New"/>
          <w:sz w:val="15"/>
          <w:szCs w:val="15"/>
          <w:color w:val="auto"/>
        </w:rPr>
        <w:t>Registrant's telephone number, including area code:</w:t>
      </w:r>
    </w:p>
    <w:p>
      <w:pPr>
        <w:jc w:val="center"/>
        <w:ind w:right="4019"/>
        <w:spacing w:after="0" w:line="237" w:lineRule="auto"/>
        <w:rPr>
          <w:sz w:val="20"/>
          <w:szCs w:val="20"/>
          <w:color w:val="auto"/>
        </w:rPr>
      </w:pPr>
      <w:r>
        <w:rPr>
          <w:rFonts w:ascii="Courier New" w:cs="Courier New" w:eastAsia="Courier New" w:hAnsi="Courier New"/>
          <w:sz w:val="15"/>
          <w:szCs w:val="15"/>
          <w:color w:val="auto"/>
        </w:rPr>
        <w:t>(617) 236-3300</w:t>
      </w:r>
    </w:p>
    <w:p>
      <w:pPr>
        <w:sectPr>
          <w:pgSz w:w="11900" w:h="16838" w:orient="portrait"/>
          <w:cols w:equalWidth="0" w:num="1">
            <w:col w:w="9439"/>
          </w:cols>
          <w:pgMar w:left="1020" w:top="561" w:right="1440" w:bottom="1440" w:gutter="0" w:footer="0" w:header="0"/>
          <w:type w:val="continuous"/>
        </w:sectPr>
      </w:pPr>
    </w:p>
    <w:bookmarkStart w:id="1" w:name="page2"/>
    <w:bookmarkEnd w:id="1"/>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Following the issuance of a press release on April 25, 2000, announcing the Company's results for the first quarter ended March 31, 2000, the Company intends to provide, to certain investors and analysts at their request, supplemental information regarding the Company's operations that is to voluminous for a press release. The Company is attaching this supplementary operating and financial data as Exhibit 99.1 and the press release as Exhibit 99.2 to this Current Report on Form 8-K.</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PRO FORMA FINANCIAL INFORMATION AND EXHIBITS.</w:t>
      </w:r>
    </w:p>
    <w:p>
      <w:pPr>
        <w:spacing w:after="0" w:line="166" w:lineRule="exact"/>
        <w:rPr>
          <w:sz w:val="20"/>
          <w:szCs w:val="20"/>
          <w:color w:val="auto"/>
        </w:rPr>
      </w:pPr>
    </w:p>
    <w:p>
      <w:pPr>
        <w:ind w:left="800" w:hanging="790"/>
        <w:spacing w:after="0"/>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EXHIBIT NO.</w:t>
      </w:r>
    </w:p>
    <w:p>
      <w:pPr>
        <w:spacing w:after="0" w:line="173" w:lineRule="exact"/>
        <w:rPr>
          <w:sz w:val="20"/>
          <w:szCs w:val="20"/>
          <w:color w:val="auto"/>
        </w:rPr>
      </w:pPr>
    </w:p>
    <w:p>
      <w:pPr>
        <w:ind w:left="800" w:right="339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The Boston Properties, Inc. Supplemental Operating and Financial Data for the quarter ended March 31, 2000.</w:t>
      </w:r>
    </w:p>
    <w:p>
      <w:pPr>
        <w:spacing w:after="0" w:line="173" w:lineRule="exact"/>
        <w:rPr>
          <w:sz w:val="20"/>
          <w:szCs w:val="20"/>
          <w:color w:val="auto"/>
        </w:rPr>
      </w:pPr>
    </w:p>
    <w:p>
      <w:pPr>
        <w:ind w:left="800" w:right="331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The Boston Properties, Inc. press release dated April 25, 2000 for the quarter ended March 31, 2000.</w:t>
      </w:r>
    </w:p>
    <w:p>
      <w:pPr>
        <w:sectPr>
          <w:pgSz w:w="11900" w:h="16838" w:orient="portrait"/>
          <w:cols w:equalWidth="0" w:num="1">
            <w:col w:w="10239"/>
          </w:cols>
          <w:pgMar w:left="220" w:top="617" w:right="1440" w:bottom="1440" w:gutter="0" w:footer="0" w:header="0"/>
        </w:sectPr>
      </w:pPr>
    </w:p>
    <w:bookmarkStart w:id="2" w:name="page3"/>
    <w:bookmarkEnd w:id="2"/>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39"/>
          </w:cols>
          <w:pgMar w:left="220" w:top="785"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26, 2000</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PROPERTIES, INC.</w:t>
      </w:r>
    </w:p>
    <w:p>
      <w:pPr>
        <w:spacing w:after="0" w:line="171" w:lineRule="exact"/>
        <w:rPr>
          <w:sz w:val="20"/>
          <w:szCs w:val="20"/>
          <w:color w:val="auto"/>
        </w:rPr>
      </w:pPr>
    </w:p>
    <w:p>
      <w:pPr>
        <w:sectPr>
          <w:pgSz w:w="11900" w:h="16838" w:orient="portrait"/>
          <w:cols w:equalWidth="0" w:num="3">
            <w:col w:w="440" w:space="360"/>
            <w:col w:w="2600" w:space="720"/>
            <w:col w:w="6119"/>
          </w:cols>
          <w:pgMar w:left="220" w:top="785" w:right="1440" w:bottom="1440" w:gutter="0" w:footer="0" w:header="0"/>
          <w:type w:val="continuous"/>
        </w:sectPr>
      </w:pPr>
    </w:p>
    <w:p>
      <w:pPr>
        <w:ind w:left="4120"/>
        <w:spacing w:after="0"/>
        <w:tabs>
          <w:tab w:leader="none" w:pos="4540" w:val="left"/>
        </w:tabs>
        <w:rPr>
          <w:sz w:val="20"/>
          <w:szCs w:val="20"/>
          <w:color w:val="auto"/>
        </w:rPr>
      </w:pPr>
      <w:r>
        <w:rPr>
          <w:rFonts w:ascii="Courier New" w:cs="Courier New" w:eastAsia="Courier New" w:hAnsi="Courier New"/>
          <w:sz w:val="15"/>
          <w:szCs w:val="15"/>
          <w:color w:val="auto"/>
        </w:rPr>
        <w:t>/s/</w:t>
        <w:tab/>
        <w:t>David G. Gaw</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120"/>
        <w:spacing w:after="0"/>
        <w:tabs>
          <w:tab w:leader="none" w:pos="4540" w:val="left"/>
        </w:tabs>
        <w:rPr>
          <w:sz w:val="20"/>
          <w:szCs w:val="20"/>
          <w:color w:val="auto"/>
        </w:rPr>
      </w:pPr>
      <w:r>
        <w:rPr>
          <w:rFonts w:ascii="Courier New" w:cs="Courier New" w:eastAsia="Courier New" w:hAnsi="Courier New"/>
          <w:sz w:val="15"/>
          <w:szCs w:val="15"/>
          <w:color w:val="auto"/>
        </w:rPr>
        <w:t>By:</w:t>
        <w:tab/>
        <w:t>David G. Gaw</w:t>
      </w:r>
    </w:p>
    <w:p>
      <w:pPr>
        <w:ind w:left="4120"/>
        <w:spacing w:after="0" w:line="237" w:lineRule="auto"/>
        <w:rPr>
          <w:sz w:val="20"/>
          <w:szCs w:val="20"/>
          <w:color w:val="auto"/>
        </w:rPr>
      </w:pPr>
      <w:r>
        <w:rPr>
          <w:rFonts w:ascii="Courier New" w:cs="Courier New" w:eastAsia="Courier New" w:hAnsi="Courier New"/>
          <w:sz w:val="15"/>
          <w:szCs w:val="15"/>
          <w:color w:val="auto"/>
        </w:rPr>
        <w:t>Chief Financial Officer</w:t>
      </w:r>
    </w:p>
    <w:p>
      <w:pPr>
        <w:sectPr>
          <w:pgSz w:w="11900" w:h="16838" w:orient="portrait"/>
          <w:cols w:equalWidth="0" w:num="1">
            <w:col w:w="10239"/>
          </w:cols>
          <w:pgMar w:left="220" w:top="785" w:right="1440" w:bottom="1440" w:gutter="0" w:footer="0" w:header="0"/>
          <w:type w:val="continuous"/>
        </w:sectPr>
      </w:pPr>
    </w:p>
    <w:bookmarkStart w:id="3" w:name="page4"/>
    <w:bookmarkEnd w:id="3"/>
    <w:p>
      <w:pPr>
        <w:jc w:val="right"/>
        <w:ind w:right="3239"/>
        <w:spacing w:after="0"/>
        <w:rPr>
          <w:sz w:val="20"/>
          <w:szCs w:val="20"/>
          <w:color w:val="auto"/>
        </w:rPr>
      </w:pPr>
      <w:r>
        <w:rPr>
          <w:rFonts w:ascii="Courier New" w:cs="Courier New" w:eastAsia="Courier New" w:hAnsi="Courier New"/>
          <w:sz w:val="15"/>
          <w:szCs w:val="15"/>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BOSTON PROPERTIES, INC.</w:t>
      </w:r>
    </w:p>
    <w:p>
      <w:pPr>
        <w:ind w:left="540"/>
        <w:spacing w:after="0" w:line="237" w:lineRule="auto"/>
        <w:rPr>
          <w:sz w:val="20"/>
          <w:szCs w:val="20"/>
          <w:color w:val="auto"/>
        </w:rPr>
      </w:pPr>
      <w:r>
        <w:rPr>
          <w:rFonts w:ascii="Courier New" w:cs="Courier New" w:eastAsia="Courier New" w:hAnsi="Courier New"/>
          <w:sz w:val="15"/>
          <w:szCs w:val="15"/>
          <w:color w:val="auto"/>
        </w:rPr>
        <w:t>SUPPLEMENTAL OPERATING AND FINANCIAL DATA</w:t>
      </w:r>
    </w:p>
    <w:p>
      <w:pPr>
        <w:ind w:left="720"/>
        <w:spacing w:after="0" w:line="238" w:lineRule="auto"/>
        <w:rPr>
          <w:sz w:val="20"/>
          <w:szCs w:val="20"/>
          <w:color w:val="auto"/>
        </w:rPr>
      </w:pPr>
      <w:r>
        <w:rPr>
          <w:rFonts w:ascii="Courier New" w:cs="Courier New" w:eastAsia="Courier New" w:hAnsi="Courier New"/>
          <w:sz w:val="15"/>
          <w:szCs w:val="15"/>
          <w:color w:val="auto"/>
        </w:rPr>
        <w:t>FOR THE QUARTER ENDED MARCH 31, 2000</w:t>
      </w:r>
    </w:p>
    <w:p>
      <w:pPr>
        <w:sectPr>
          <w:pgSz w:w="11900" w:h="16838" w:orient="portrait"/>
          <w:cols w:equalWidth="0" w:num="1">
            <w:col w:w="9019"/>
          </w:cols>
          <w:pgMar w:left="1440" w:top="47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5080" w:type="dxa"/>
            <w:vAlign w:val="bottom"/>
          </w:tcPr>
          <w:p>
            <w:pPr>
              <w:ind w:left="2540"/>
              <w:spacing w:after="0"/>
              <w:rPr>
                <w:sz w:val="20"/>
                <w:szCs w:val="20"/>
                <w:color w:val="auto"/>
              </w:rPr>
            </w:pPr>
            <w:r>
              <w:rPr>
                <w:rFonts w:ascii="Courier New" w:cs="Courier New" w:eastAsia="Courier New" w:hAnsi="Courier New"/>
                <w:sz w:val="15"/>
                <w:szCs w:val="15"/>
                <w:color w:val="auto"/>
              </w:rPr>
              <w:t>BOSTON PROPERTIES, INC.</w:t>
            </w:r>
          </w:p>
        </w:tc>
        <w:tc>
          <w:tcPr>
            <w:tcW w:w="960" w:type="dxa"/>
            <w:vAlign w:val="bottom"/>
          </w:tcPr>
          <w:p>
            <w:pPr>
              <w:spacing w:after="0"/>
              <w:rPr>
                <w:sz w:val="14"/>
                <w:szCs w:val="14"/>
                <w:color w:val="auto"/>
              </w:rPr>
            </w:pPr>
          </w:p>
        </w:tc>
      </w:tr>
      <w:tr>
        <w:trPr>
          <w:trHeight w:val="168"/>
        </w:trPr>
        <w:tc>
          <w:tcPr>
            <w:tcW w:w="508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FIRST QUARTER 2000</w:t>
            </w:r>
          </w:p>
        </w:tc>
        <w:tc>
          <w:tcPr>
            <w:tcW w:w="960" w:type="dxa"/>
            <w:vAlign w:val="bottom"/>
          </w:tcPr>
          <w:p>
            <w:pPr>
              <w:spacing w:after="0"/>
              <w:rPr>
                <w:sz w:val="14"/>
                <w:szCs w:val="14"/>
                <w:color w:val="auto"/>
              </w:rPr>
            </w:pPr>
          </w:p>
        </w:tc>
      </w:tr>
      <w:tr>
        <w:trPr>
          <w:trHeight w:val="336"/>
        </w:trPr>
        <w:tc>
          <w:tcPr>
            <w:tcW w:w="5080" w:type="dxa"/>
            <w:vAlign w:val="bottom"/>
          </w:tcPr>
          <w:p>
            <w:pPr>
              <w:ind w:left="3340"/>
              <w:spacing w:after="0"/>
              <w:rPr>
                <w:sz w:val="20"/>
                <w:szCs w:val="20"/>
                <w:color w:val="auto"/>
              </w:rPr>
            </w:pPr>
            <w:r>
              <w:rPr>
                <w:rFonts w:ascii="Courier New" w:cs="Courier New" w:eastAsia="Courier New" w:hAnsi="Courier New"/>
                <w:sz w:val="15"/>
                <w:szCs w:val="15"/>
                <w:color w:val="auto"/>
              </w:rPr>
              <w:t>INDEX</w:t>
            </w:r>
          </w:p>
        </w:tc>
        <w:tc>
          <w:tcPr>
            <w:tcW w:w="960" w:type="dxa"/>
            <w:vAlign w:val="bottom"/>
          </w:tcPr>
          <w:p>
            <w:pPr>
              <w:spacing w:after="0"/>
              <w:rPr>
                <w:sz w:val="24"/>
                <w:szCs w:val="24"/>
                <w:color w:val="auto"/>
              </w:rPr>
            </w:pPr>
          </w:p>
        </w:tc>
      </w:tr>
      <w:tr>
        <w:trPr>
          <w:trHeight w:val="673"/>
        </w:trPr>
        <w:tc>
          <w:tcPr>
            <w:tcW w:w="50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COMPANY BACKGROUND</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INVESTOR INFORMATION</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HIGHLIGHTS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BALANCE SHEETS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INCOME STATEMENTS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FUNDS FROM OPERATIONS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RATIOS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STRUCTURE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ANALYSIS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11-13</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JOINT VENTURES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PORTFOLIO OVERVIEW-SQUARE FOOTAGE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TOP 20 TENANTS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PORTFOLIO OVERVIEW-FFO</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OCCUPANCY ANALYSIS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 PROPERTIES-LEASE EXPIRATION ROLL OUT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R&amp;D PROPERTIES-LEASE EXPIRATION ROLL OUT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INDUSTRIAL PROPERTIES-LEASE EXPIRATION ROLL OUT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GRAND TOTAL - OFFICE, R&amp;D AND INDUSTRIAL PROPERTIES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BOSTON AREA LEASE EXPIRATION ROLL OUT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WASHINGTON DC AREA LEASE EXPIRATION ROLL OUT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SAN FRANCISCO AREA LEASE EXPIRATION ROLL OUT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AREA LEASE EXPIRATION ROLL OUT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NEW JERSEY AREA LEASE EXPIRATION ROLL OUT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AREA LEASE EXPIRATION ROLL OUT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HOTEL PERFORMANCE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SAME PROPERTY PERFORMANCE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"IN-SERVICE" PROPERTY PERFORMANCE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 CREATION PIPELINE - ACQUISITIONS/DISPOSITIONS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 CREATION PIPELINE - DEVELOPMENT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 CREATION PIPELINE - LAND PARCELS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 PROPERTY PROFILES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36-37</w:t>
            </w:r>
          </w:p>
        </w:tc>
      </w:tr>
      <w:tr>
        <w:trPr>
          <w:trHeight w:val="673"/>
        </w:trPr>
        <w:tc>
          <w:tcPr>
            <w:tcW w:w="5080" w:type="dxa"/>
            <w:vAlign w:val="bottom"/>
          </w:tcPr>
          <w:p>
            <w:pPr>
              <w:ind w:left="3420"/>
              <w:spacing w:after="0"/>
              <w:rPr>
                <w:sz w:val="20"/>
                <w:szCs w:val="20"/>
                <w:color w:val="auto"/>
              </w:rPr>
            </w:pPr>
            <w:r>
              <w:rPr>
                <w:rFonts w:ascii="Courier New" w:cs="Courier New" w:eastAsia="Courier New" w:hAnsi="Courier New"/>
                <w:sz w:val="15"/>
                <w:szCs w:val="15"/>
                <w:color w:val="auto"/>
              </w:rPr>
              <w:t>1</w:t>
            </w:r>
          </w:p>
        </w:tc>
        <w:tc>
          <w:tcPr>
            <w:tcW w:w="9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5" w:name="page6"/>
    <w:bookmarkEnd w:id="5"/>
    <w:p>
      <w:pPr>
        <w:ind w:left="254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COMPANY BACKGROUND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Boston Properties is a fully integrated, self-administered and self-managed real estate investment trust that develops, redevelops, acquires, manages, operates and owns a diverse portfolio of office, industrial and hotel properties. The Company is one of the largest owners and developers of office properties in the United States, concentrated in the Northeast Corridor from Virginia to Greater Boston and in greater San Francisco.</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On June 23, 1997, Boston Properties successfully completed its initial public offering. The offering and the underwriters over-allotment option closed on the same date resulting in 36,110,000 shares being sold at $25.00 per share for a total offering of $902,750,000. On January 30,1998, the Company closed a follow-on offering of 23,000,000 shares (including the underwriters' over-allotment) at $35.125 per share for a total offering of $807,875,000. On May 20, 1999, the Company raised an additional $141,002,500, net of issuance costs, through the issuance of 4,000,000 shares.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Through its predecessor company founded by Mortimer B. Zuckerman and Edward H. Linde in 1970, the Company grew through the seventies, eighties, and nineties by developing and redeveloping Class A office properties, R&amp;D and industrial properties, and hotels in its primary markets of greater Boston, greater Washington, DC, and midtown Manhattan.</w:t>
      </w:r>
    </w:p>
    <w:p>
      <w:pPr>
        <w:spacing w:after="0" w:line="17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Since the Company's Initial Offering in June 1997, the Company has acquired 47 properties adding approximately 16.0 million square feet to its portfolio, representing an investment of approximately $3.9 billion. In addition, the Company is developing twelve Class A Office Buildings for a total anticipated investment of approximately $1.1 billion. The Company owns or controls land where it can develop an additional 10.5 million square feet.</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85" w:right="1440" w:bottom="1440" w:gutter="0" w:footer="0" w:header="0"/>
        </w:sectPr>
      </w:pPr>
    </w:p>
    <w:bookmarkStart w:id="6" w:name="page7"/>
    <w:bookmarkEnd w:id="6"/>
    <w:p>
      <w:pPr>
        <w:ind w:left="254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INVESTOR INFORMATION</w:t>
      </w:r>
    </w:p>
    <w:p>
      <w:pPr>
        <w:ind w:left="2720"/>
        <w:spacing w:after="0" w:line="237" w:lineRule="auto"/>
        <w:rPr>
          <w:sz w:val="20"/>
          <w:szCs w:val="20"/>
          <w:color w:val="auto"/>
        </w:rPr>
      </w:pPr>
      <w:r>
        <w:rPr>
          <w:rFonts w:ascii="Courier New" w:cs="Courier New" w:eastAsia="Courier New" w:hAnsi="Courier New"/>
          <w:sz w:val="15"/>
          <w:szCs w:val="15"/>
          <w:color w:val="auto"/>
        </w:rPr>
        <w:t>800 Boylston Street</w:t>
      </w:r>
    </w:p>
    <w:p>
      <w:pPr>
        <w:ind w:left="2800"/>
        <w:spacing w:after="0" w:line="238" w:lineRule="auto"/>
        <w:rPr>
          <w:sz w:val="20"/>
          <w:szCs w:val="20"/>
          <w:color w:val="auto"/>
        </w:rPr>
      </w:pPr>
      <w:r>
        <w:rPr>
          <w:rFonts w:ascii="Courier New" w:cs="Courier New" w:eastAsia="Courier New" w:hAnsi="Courier New"/>
          <w:sz w:val="15"/>
          <w:szCs w:val="15"/>
          <w:color w:val="auto"/>
        </w:rPr>
        <w:t>Boston, MA 02199</w:t>
      </w:r>
    </w:p>
    <w:p>
      <w:pPr>
        <w:ind w:left="3420" w:hanging="524"/>
        <w:spacing w:after="0" w:line="237" w:lineRule="auto"/>
        <w:tabs>
          <w:tab w:leader="none" w:pos="34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236-3300</w:t>
      </w:r>
    </w:p>
    <w:p>
      <w:pPr>
        <w:ind w:left="3160" w:hanging="526"/>
        <w:spacing w:after="0" w:line="237" w:lineRule="auto"/>
        <w:tabs>
          <w:tab w:leader="none" w:pos="31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536-5087 (fax)</w:t>
      </w:r>
    </w:p>
    <w:p>
      <w:pPr>
        <w:spacing w:after="0" w:line="200" w:lineRule="exact"/>
        <w:rPr>
          <w:sz w:val="20"/>
          <w:szCs w:val="20"/>
          <w:color w:val="auto"/>
        </w:rPr>
      </w:pPr>
    </w:p>
    <w:p>
      <w:pPr>
        <w:spacing w:after="0" w:line="30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Mortimer B. Zuckerman</w:t>
            </w:r>
          </w:p>
        </w:tc>
        <w:tc>
          <w:tcPr>
            <w:tcW w:w="2140" w:type="dxa"/>
            <w:vAlign w:val="bottom"/>
          </w:tcPr>
          <w:p>
            <w:pPr>
              <w:ind w:left="1140"/>
              <w:spacing w:after="0"/>
              <w:rPr>
                <w:sz w:val="20"/>
                <w:szCs w:val="20"/>
                <w:color w:val="auto"/>
              </w:rPr>
            </w:pPr>
            <w:r>
              <w:rPr>
                <w:rFonts w:ascii="Courier New" w:cs="Courier New" w:eastAsia="Courier New" w:hAnsi="Courier New"/>
                <w:sz w:val="15"/>
                <w:szCs w:val="15"/>
                <w:color w:val="auto"/>
                <w:w w:val="98"/>
              </w:rPr>
              <w:t>Chairman of</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the Board</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Edward H. Linde</w:t>
            </w:r>
          </w:p>
        </w:tc>
        <w:tc>
          <w:tcPr>
            <w:tcW w:w="568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rPr>
              <w:t>President, Chief Executive Officer and Director</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E. Burke</w:t>
            </w:r>
          </w:p>
        </w:tc>
        <w:tc>
          <w:tcPr>
            <w:tcW w:w="568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rPr>
              <w:t>Executive Vice President, Operations</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Douglas T. Linde</w:t>
            </w:r>
          </w:p>
        </w:tc>
        <w:tc>
          <w:tcPr>
            <w:tcW w:w="568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w w:val="96"/>
              </w:rPr>
              <w:t>Senior Vice President, Financial and Capital Markets</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G. Gaw</w:t>
            </w:r>
          </w:p>
        </w:tc>
        <w:tc>
          <w:tcPr>
            <w:tcW w:w="568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rPr>
              <w:t>Senior Vice President, Chief Financial Officer</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Elaine M. Quinlan</w:t>
            </w:r>
          </w:p>
        </w:tc>
        <w:tc>
          <w:tcPr>
            <w:tcW w:w="568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rPr>
              <w:t>Director of Investor Relations</w:t>
            </w:r>
          </w:p>
        </w:tc>
      </w:tr>
    </w:tbl>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TIMING</w:t>
      </w:r>
    </w:p>
    <w:p>
      <w:pPr>
        <w:sectPr>
          <w:pgSz w:w="11900" w:h="16838" w:orient="portrait"/>
          <w:cols w:equalWidth="0" w:num="1">
            <w:col w:w="10239"/>
          </w:cols>
          <w:pgMar w:left="220" w:top="617" w:right="1440" w:bottom="1440" w:gutter="0" w:footer="0" w:header="0"/>
        </w:sectPr>
      </w:pPr>
    </w:p>
    <w:p>
      <w:pPr>
        <w:spacing w:after="0" w:line="173"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QUARTERLY RESULTS FOR 2000 WILL BE ANNOUNCED ACCORDING TO THE FOLLOWING ANTICIPATED SCHEDULE:</w:t>
      </w:r>
    </w:p>
    <w:p>
      <w:pPr>
        <w:spacing w:after="0" w:line="200" w:lineRule="exact"/>
        <w:rPr>
          <w:sz w:val="20"/>
          <w:szCs w:val="20"/>
          <w:color w:val="auto"/>
        </w:rPr>
      </w:pPr>
    </w:p>
    <w:p>
      <w:pPr>
        <w:spacing w:after="0" w:line="30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SECOND QUARTER 2000</w:t>
      </w:r>
    </w:p>
    <w:p>
      <w:pPr>
        <w:ind w:left="1240"/>
        <w:spacing w:after="0" w:line="237" w:lineRule="auto"/>
        <w:rPr>
          <w:sz w:val="20"/>
          <w:szCs w:val="20"/>
          <w:color w:val="auto"/>
        </w:rPr>
      </w:pPr>
      <w:r>
        <w:rPr>
          <w:rFonts w:ascii="Courier New" w:cs="Courier New" w:eastAsia="Courier New" w:hAnsi="Courier New"/>
          <w:sz w:val="15"/>
          <w:szCs w:val="15"/>
          <w:color w:val="auto"/>
        </w:rPr>
        <w:t>THIRD QUARTER 2000</w:t>
      </w:r>
    </w:p>
    <w:p>
      <w:pPr>
        <w:ind w:left="1240"/>
        <w:spacing w:after="0" w:line="238" w:lineRule="auto"/>
        <w:rPr>
          <w:sz w:val="20"/>
          <w:szCs w:val="20"/>
          <w:color w:val="auto"/>
        </w:rPr>
      </w:pPr>
      <w:r>
        <w:rPr>
          <w:rFonts w:ascii="Courier New" w:cs="Courier New" w:eastAsia="Courier New" w:hAnsi="Courier New"/>
          <w:sz w:val="15"/>
          <w:szCs w:val="15"/>
          <w:color w:val="auto"/>
        </w:rPr>
        <w:t>YEAR END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WEEK OF JULY 24-28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WEEK OF OCTOBER 23-27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WEEK OF JANUARY 22-26</w:t>
      </w:r>
    </w:p>
    <w:p>
      <w:pPr>
        <w:spacing w:after="0" w:line="204" w:lineRule="exact"/>
        <w:rPr>
          <w:sz w:val="20"/>
          <w:szCs w:val="20"/>
          <w:color w:val="auto"/>
        </w:rPr>
      </w:pPr>
    </w:p>
    <w:p>
      <w:pPr>
        <w:sectPr>
          <w:pgSz w:w="11900" w:h="16838" w:orient="portrait"/>
          <w:cols w:equalWidth="0" w:num="2">
            <w:col w:w="6220" w:space="80"/>
            <w:col w:w="3939"/>
          </w:cols>
          <w:pgMar w:left="220" w:top="617" w:right="1440" w:bottom="1440" w:gutter="0" w:footer="0" w:header="0"/>
          <w:type w:val="continuous"/>
        </w:sectPr>
      </w:pPr>
    </w:p>
    <w:p>
      <w:pPr>
        <w:spacing w:after="0" w:line="141"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3</w:t>
      </w:r>
    </w:p>
    <w:p>
      <w:pPr>
        <w:sectPr>
          <w:pgSz w:w="11900" w:h="16838" w:orient="portrait"/>
          <w:cols w:equalWidth="0" w:num="1">
            <w:col w:w="10239"/>
          </w:cols>
          <w:pgMar w:left="220" w:top="617" w:right="1440" w:bottom="1440" w:gutter="0" w:footer="0" w:header="0"/>
          <w:type w:val="continuous"/>
        </w:sectPr>
      </w:pPr>
    </w:p>
    <w:bookmarkStart w:id="7" w:name="page8"/>
    <w:bookmarkEnd w:id="7"/>
    <w:p>
      <w:pPr>
        <w:ind w:left="254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COMMON STOCK DATA (NYSE:BXP)</w:t>
      </w:r>
    </w:p>
    <w:p>
      <w:pPr>
        <w:spacing w:after="0" w:line="173" w:lineRule="exact"/>
        <w:rPr>
          <w:sz w:val="20"/>
          <w:szCs w:val="20"/>
          <w:color w:val="auto"/>
        </w:rPr>
      </w:pPr>
    </w:p>
    <w:p>
      <w:pPr>
        <w:ind w:right="4720"/>
        <w:spacing w:after="0" w:line="235" w:lineRule="auto"/>
        <w:rPr>
          <w:sz w:val="20"/>
          <w:szCs w:val="20"/>
          <w:color w:val="auto"/>
        </w:rPr>
      </w:pPr>
      <w:r>
        <w:rPr>
          <w:rFonts w:ascii="Courier New" w:cs="Courier New" w:eastAsia="Courier New" w:hAnsi="Courier New"/>
          <w:sz w:val="15"/>
          <w:szCs w:val="15"/>
          <w:color w:val="auto"/>
        </w:rPr>
        <w:t>BOSTON PROPERTIES' COMMON STOCK IS TRADED PRIMARILY ON THE NEW YORK STOCK EXCHANGE UNDER THE SYMBOL: BXP. BXP'S COMMON STOCK HAS HAD THE FOLLOWING CHARACTERISTICS: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60" w:type="dxa"/>
            <w:vAlign w:val="bottom"/>
          </w:tcPr>
          <w:p>
            <w:pPr>
              <w:spacing w:after="0"/>
              <w:rPr>
                <w:sz w:val="14"/>
                <w:szCs w:val="14"/>
                <w:color w:val="auto"/>
              </w:rPr>
            </w:pPr>
          </w:p>
        </w:tc>
        <w:tc>
          <w:tcPr>
            <w:tcW w:w="1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8"/>
              </w:rPr>
              <w:t>1ST QUARTER 2000</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1ST QUARTER 1999</w:t>
            </w:r>
          </w:p>
        </w:tc>
      </w:tr>
      <w:tr>
        <w:trPr>
          <w:trHeight w:val="168"/>
        </w:trPr>
        <w:tc>
          <w:tcPr>
            <w:tcW w:w="7660" w:type="dxa"/>
            <w:vAlign w:val="bottom"/>
          </w:tcPr>
          <w:p>
            <w:pPr>
              <w:spacing w:after="0"/>
              <w:rPr>
                <w:sz w:val="14"/>
                <w:szCs w:val="14"/>
                <w:color w:val="auto"/>
              </w:rPr>
            </w:pPr>
          </w:p>
        </w:tc>
        <w:tc>
          <w:tcPr>
            <w:tcW w:w="17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60" w:type="dxa"/>
            <w:vAlign w:val="bottom"/>
          </w:tcPr>
          <w:p>
            <w:pPr>
              <w:spacing w:after="0"/>
              <w:rPr>
                <w:sz w:val="20"/>
                <w:szCs w:val="20"/>
                <w:color w:val="auto"/>
              </w:rPr>
            </w:pPr>
            <w:r>
              <w:rPr>
                <w:rFonts w:ascii="Courier New" w:cs="Courier New" w:eastAsia="Courier New" w:hAnsi="Courier New"/>
                <w:sz w:val="15"/>
                <w:szCs w:val="15"/>
                <w:color w:val="auto"/>
              </w:rPr>
              <w:t>HIGH PRICE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32.3750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34.6875</w:t>
            </w:r>
          </w:p>
        </w:tc>
      </w:tr>
      <w:tr>
        <w:trPr>
          <w:trHeight w:val="168"/>
        </w:trPr>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rPr>
              <w:t>LOW PRICE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29.8125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30.3125</w:t>
            </w:r>
          </w:p>
        </w:tc>
      </w:tr>
      <w:tr>
        <w:trPr>
          <w:trHeight w:val="168"/>
        </w:trPr>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rPr>
              <w:t>CLOSING PRICE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31.8125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31.6250</w:t>
            </w:r>
          </w:p>
        </w:tc>
      </w:tr>
      <w:tr>
        <w:trPr>
          <w:trHeight w:val="168"/>
        </w:trPr>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PER SHARE - ANNUALIZED</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rPr>
              <w:t>CLOSING DIVIDEND YIELD - ANNUALIZED</w:t>
            </w:r>
          </w:p>
        </w:tc>
        <w:tc>
          <w:tcPr>
            <w:tcW w:w="6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5.66%</w:t>
            </w:r>
          </w:p>
        </w:tc>
        <w:tc>
          <w:tcPr>
            <w:tcW w:w="7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5.38%</w:t>
            </w:r>
          </w:p>
        </w:tc>
      </w:tr>
      <w:tr>
        <w:trPr>
          <w:trHeight w:val="168"/>
        </w:trPr>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CLOSING SHARES, COMMON UNITS AND PREFERRED UNITS (IF CONVERTED) OUTSTANDING (THOUSANDS)</w:t>
            </w:r>
          </w:p>
        </w:tc>
        <w:tc>
          <w:tcPr>
            <w:tcW w:w="62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105,341</w:t>
            </w:r>
          </w:p>
        </w:tc>
        <w:tc>
          <w:tcPr>
            <w:tcW w:w="78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100,290</w:t>
            </w:r>
          </w:p>
        </w:tc>
      </w:tr>
      <w:tr>
        <w:trPr>
          <w:trHeight w:val="168"/>
        </w:trPr>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rPr>
              <w:t>CLOSING MARKET VALUE OF SHARES AND UNITS OUTSTANDING (THOUSANDS)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3,351,161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3,171,671</w:t>
            </w:r>
          </w:p>
        </w:tc>
      </w:tr>
      <w:tr>
        <w:trPr>
          <w:trHeight w:val="673"/>
        </w:trPr>
        <w:tc>
          <w:tcPr>
            <w:tcW w:w="7660" w:type="dxa"/>
            <w:vAlign w:val="bottom"/>
          </w:tcPr>
          <w:p>
            <w:pPr>
              <w:ind w:left="3420"/>
              <w:spacing w:after="0"/>
              <w:rPr>
                <w:sz w:val="20"/>
                <w:szCs w:val="20"/>
                <w:color w:val="auto"/>
              </w:rPr>
            </w:pPr>
            <w:r>
              <w:rPr>
                <w:rFonts w:ascii="Courier New" w:cs="Courier New" w:eastAsia="Courier New" w:hAnsi="Courier New"/>
                <w:sz w:val="15"/>
                <w:szCs w:val="15"/>
                <w:color w:val="auto"/>
              </w:rPr>
              <w:t>4</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120"/>
          </w:cols>
          <w:pgMar w:left="220" w:top="617" w:right="559" w:bottom="1440" w:gutter="0" w:footer="0" w:header="0"/>
        </w:sectPr>
      </w:pPr>
    </w:p>
    <w:bookmarkStart w:id="8" w:name="page9"/>
    <w:bookmarkEnd w:id="8"/>
    <w:p>
      <w:pPr>
        <w:ind w:left="254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FINANCIAL HIGHLIGHTS</w:t>
      </w:r>
    </w:p>
    <w:p>
      <w:pPr>
        <w:jc w:val="center"/>
        <w:ind w:right="3220"/>
        <w:spacing w:after="0" w:line="237" w:lineRule="auto"/>
        <w:rPr>
          <w:sz w:val="20"/>
          <w:szCs w:val="20"/>
          <w:color w:val="auto"/>
        </w:rPr>
      </w:pPr>
      <w:r>
        <w:rPr>
          <w:rFonts w:ascii="Courier New" w:cs="Courier New" w:eastAsia="Courier New" w:hAnsi="Courier New"/>
          <w:sz w:val="15"/>
          <w:szCs w:val="15"/>
          <w:color w:val="auto"/>
        </w:rPr>
        <w:t>(UNAUDITED AND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THREE MONTHS ENDED</w:t>
            </w:r>
          </w:p>
        </w:tc>
        <w:tc>
          <w:tcPr>
            <w:tcW w:w="118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58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21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MARCH 31, 2000</w:t>
            </w:r>
          </w:p>
        </w:tc>
        <w:tc>
          <w:tcPr>
            <w:tcW w:w="246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MARCH 31, 1999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CHANGE</w:t>
            </w:r>
          </w:p>
        </w:tc>
      </w:tr>
      <w:tr>
        <w:trPr>
          <w:trHeight w:val="168"/>
        </w:trPr>
        <w:tc>
          <w:tcPr>
            <w:tcW w:w="4340" w:type="dxa"/>
            <w:vAlign w:val="bottom"/>
          </w:tcPr>
          <w:p>
            <w:pPr>
              <w:spacing w:after="0"/>
              <w:rPr>
                <w:sz w:val="14"/>
                <w:szCs w:val="14"/>
                <w:color w:val="auto"/>
              </w:rPr>
            </w:pPr>
          </w:p>
        </w:tc>
        <w:tc>
          <w:tcPr>
            <w:tcW w:w="21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ITEMS:</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1"/>
              </w:rPr>
              <w:t>210,254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187,640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12.05%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available to common shareholders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30,977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24,934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24.24%</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Funds from Operations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73,946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62,814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17.72%</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Company's share (73.89% and 72.75%)</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54,641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45,697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19.57%</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Funds from Operations per share - basic</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0.80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0.72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11.81%</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Funds from Operations per share - diluted</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0.78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0.70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11.42%</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per share</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0.45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0.425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5.88%</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RATIOS:</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Interest Coverage Ratio</w:t>
            </w:r>
          </w:p>
        </w:tc>
        <w:tc>
          <w:tcPr>
            <w:tcW w:w="1100" w:type="dxa"/>
            <w:vAlign w:val="bottom"/>
          </w:tcPr>
          <w:p>
            <w:pPr>
              <w:spacing w:after="0"/>
              <w:rPr>
                <w:sz w:val="24"/>
                <w:szCs w:val="24"/>
                <w:color w:val="auto"/>
              </w:rPr>
            </w:pP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2.53</w:t>
            </w:r>
          </w:p>
        </w:tc>
        <w:tc>
          <w:tcPr>
            <w:tcW w:w="1060" w:type="dxa"/>
            <w:vAlign w:val="bottom"/>
          </w:tcPr>
          <w:p>
            <w:pPr>
              <w:spacing w:after="0"/>
              <w:rPr>
                <w:sz w:val="24"/>
                <w:szCs w:val="24"/>
                <w:color w:val="auto"/>
              </w:rPr>
            </w:pPr>
          </w:p>
        </w:tc>
        <w:tc>
          <w:tcPr>
            <w:tcW w:w="14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2.47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Payout Ratio</w:t>
            </w:r>
          </w:p>
        </w:tc>
        <w:tc>
          <w:tcPr>
            <w:tcW w:w="11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57.70%</w:t>
            </w:r>
          </w:p>
        </w:tc>
        <w:tc>
          <w:tcPr>
            <w:tcW w:w="1060" w:type="dxa"/>
            <w:vAlign w:val="bottom"/>
          </w:tcPr>
          <w:p>
            <w:pPr>
              <w:spacing w:after="0"/>
              <w:rPr>
                <w:sz w:val="14"/>
                <w:szCs w:val="14"/>
                <w:color w:val="auto"/>
              </w:rPr>
            </w:pP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60.71%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22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MARCH 31, 2000</w:t>
            </w:r>
          </w:p>
        </w:tc>
        <w:tc>
          <w:tcPr>
            <w:tcW w:w="2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DECEMBER 31, 1999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CHANGE</w:t>
            </w:r>
          </w:p>
        </w:tc>
      </w:tr>
      <w:tr>
        <w:trPr>
          <w:trHeight w:val="168"/>
        </w:trPr>
        <w:tc>
          <w:tcPr>
            <w:tcW w:w="4740" w:type="dxa"/>
            <w:vAlign w:val="bottom"/>
          </w:tcPr>
          <w:p>
            <w:pPr>
              <w:spacing w:after="0"/>
              <w:rPr>
                <w:sz w:val="14"/>
                <w:szCs w:val="14"/>
                <w:color w:val="auto"/>
              </w:rPr>
            </w:pPr>
          </w:p>
        </w:tc>
        <w:tc>
          <w:tcPr>
            <w:tcW w:w="22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8"/>
              </w:rPr>
              <w:t>3,530,399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8"/>
              </w:rPr>
              <w:t>3,321,584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6.29%</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Total Common Shares Outstanding @ Quarter End</w:t>
            </w:r>
          </w:p>
        </w:tc>
        <w:tc>
          <w:tcPr>
            <w:tcW w:w="920" w:type="dxa"/>
            <w:vAlign w:val="bottom"/>
          </w:tcPr>
          <w:p>
            <w:pPr>
              <w:spacing w:after="0"/>
              <w:rPr>
                <w:sz w:val="24"/>
                <w:szCs w:val="24"/>
                <w:color w:val="auto"/>
              </w:rPr>
            </w:pPr>
          </w:p>
        </w:tc>
        <w:tc>
          <w:tcPr>
            <w:tcW w:w="13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67,954</w:t>
            </w:r>
          </w:p>
        </w:tc>
        <w:tc>
          <w:tcPr>
            <w:tcW w:w="1060" w:type="dxa"/>
            <w:vAlign w:val="bottom"/>
          </w:tcPr>
          <w:p>
            <w:pPr>
              <w:spacing w:after="0"/>
              <w:rPr>
                <w:sz w:val="24"/>
                <w:szCs w:val="24"/>
                <w:color w:val="auto"/>
              </w:rPr>
            </w:pP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67,910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0.06%</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Preferred Shares Outstanding @ Quarter End</w:t>
            </w: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(if converted)</w:t>
            </w:r>
          </w:p>
        </w:tc>
        <w:tc>
          <w:tcPr>
            <w:tcW w:w="920" w:type="dxa"/>
            <w:vAlign w:val="bottom"/>
          </w:tcPr>
          <w:p>
            <w:pPr>
              <w:spacing w:after="0"/>
              <w:rPr>
                <w:sz w:val="14"/>
                <w:szCs w:val="14"/>
                <w:color w:val="auto"/>
              </w:rPr>
            </w:pP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2,625</w:t>
            </w:r>
          </w:p>
        </w:tc>
        <w:tc>
          <w:tcPr>
            <w:tcW w:w="10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2,625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Common Units Outstanding @ Quarter End</w:t>
            </w:r>
          </w:p>
        </w:tc>
        <w:tc>
          <w:tcPr>
            <w:tcW w:w="920" w:type="dxa"/>
            <w:vAlign w:val="bottom"/>
          </w:tcPr>
          <w:p>
            <w:pPr>
              <w:spacing w:after="0"/>
              <w:rPr>
                <w:sz w:val="14"/>
                <w:szCs w:val="14"/>
                <w:color w:val="auto"/>
              </w:rPr>
            </w:pP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24,386</w:t>
            </w:r>
          </w:p>
        </w:tc>
        <w:tc>
          <w:tcPr>
            <w:tcW w:w="10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23,810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Preferred Units Outstanding @ Quarter End</w:t>
            </w: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(if converted)</w:t>
            </w:r>
          </w:p>
        </w:tc>
        <w:tc>
          <w:tcPr>
            <w:tcW w:w="920" w:type="dxa"/>
            <w:vAlign w:val="bottom"/>
          </w:tcPr>
          <w:p>
            <w:pPr>
              <w:spacing w:after="0"/>
              <w:rPr>
                <w:sz w:val="14"/>
                <w:szCs w:val="14"/>
                <w:color w:val="auto"/>
              </w:rPr>
            </w:pP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10,376</w:t>
            </w:r>
          </w:p>
        </w:tc>
        <w:tc>
          <w:tcPr>
            <w:tcW w:w="10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10,376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 @ Quarter End</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31.8125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31.1250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Value @ Quarter End</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3,351,161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3,259,441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Market Capitalization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6,881,560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6,581,025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Debt/Total Market Capitalization</w:t>
            </w:r>
          </w:p>
        </w:tc>
        <w:tc>
          <w:tcPr>
            <w:tcW w:w="920" w:type="dxa"/>
            <w:vAlign w:val="bottom"/>
          </w:tcPr>
          <w:p>
            <w:pPr>
              <w:spacing w:after="0"/>
              <w:rPr>
                <w:sz w:val="14"/>
                <w:szCs w:val="14"/>
                <w:color w:val="auto"/>
              </w:rPr>
            </w:pP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51.30%</w:t>
            </w:r>
          </w:p>
        </w:tc>
        <w:tc>
          <w:tcPr>
            <w:tcW w:w="10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50.47%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w:t>
            </w:r>
          </w:p>
        </w:tc>
      </w:tr>
      <w:tr>
        <w:trPr>
          <w:trHeight w:val="673"/>
        </w:trPr>
        <w:tc>
          <w:tcPr>
            <w:tcW w:w="4740" w:type="dxa"/>
            <w:vAlign w:val="bottom"/>
          </w:tcPr>
          <w:p>
            <w:pPr>
              <w:ind w:left="3420"/>
              <w:spacing w:after="0"/>
              <w:rPr>
                <w:sz w:val="20"/>
                <w:szCs w:val="20"/>
                <w:color w:val="auto"/>
              </w:rPr>
            </w:pPr>
            <w:r>
              <w:rPr>
                <w:rFonts w:ascii="Courier New" w:cs="Courier New" w:eastAsia="Courier New" w:hAnsi="Courier New"/>
                <w:sz w:val="15"/>
                <w:szCs w:val="15"/>
                <w:color w:val="auto"/>
              </w:rPr>
              <w:t>5</w:t>
            </w: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40"/>
          </w:cols>
          <w:pgMar w:left="220" w:top="785" w:right="1439" w:bottom="1440" w:gutter="0" w:footer="0" w:header="0"/>
        </w:sectPr>
      </w:pPr>
    </w:p>
    <w:bookmarkStart w:id="9" w:name="page10"/>
    <w:bookmarkEnd w:id="9"/>
    <w:p>
      <w:pPr>
        <w:ind w:left="254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jc w:val="right"/>
              <w:ind w:right="1627"/>
              <w:spacing w:after="0"/>
              <w:rPr>
                <w:sz w:val="20"/>
                <w:szCs w:val="20"/>
                <w:color w:val="auto"/>
              </w:rPr>
            </w:pPr>
            <w:r>
              <w:rPr>
                <w:rFonts w:ascii="Courier New" w:cs="Courier New" w:eastAsia="Courier New" w:hAnsi="Courier New"/>
                <w:sz w:val="15"/>
                <w:szCs w:val="15"/>
                <w:color w:val="auto"/>
              </w:rPr>
              <w:t>CONSOLIDATED BALANCE SHEETS</w:t>
            </w:r>
          </w:p>
        </w:tc>
        <w:tc>
          <w:tcPr>
            <w:tcW w:w="18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644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rPr>
              <w:t>(UNAUDITED AND IN THOUSANDS)</w:t>
            </w:r>
          </w:p>
        </w:tc>
        <w:tc>
          <w:tcPr>
            <w:tcW w:w="18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841"/>
        </w:trPr>
        <w:tc>
          <w:tcPr>
            <w:tcW w:w="6440" w:type="dxa"/>
            <w:vAlign w:val="bottom"/>
          </w:tcPr>
          <w:p>
            <w:pPr>
              <w:spacing w:after="0"/>
              <w:rPr>
                <w:sz w:val="24"/>
                <w:szCs w:val="24"/>
                <w:color w:val="auto"/>
              </w:rPr>
            </w:pPr>
          </w:p>
        </w:tc>
        <w:tc>
          <w:tcPr>
            <w:tcW w:w="1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MARCH 31, 2000</w:t>
            </w:r>
          </w:p>
        </w:tc>
        <w:tc>
          <w:tcPr>
            <w:tcW w:w="1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 1999</w:t>
            </w:r>
          </w:p>
        </w:tc>
      </w:tr>
      <w:tr>
        <w:trPr>
          <w:trHeight w:val="168"/>
        </w:trPr>
        <w:tc>
          <w:tcPr>
            <w:tcW w:w="6440" w:type="dxa"/>
            <w:vAlign w:val="bottom"/>
          </w:tcPr>
          <w:p>
            <w:pPr>
              <w:spacing w:after="0"/>
              <w:rPr>
                <w:sz w:val="14"/>
                <w:szCs w:val="14"/>
                <w:color w:val="auto"/>
              </w:rPr>
            </w:pPr>
          </w:p>
        </w:tc>
        <w:tc>
          <w:tcPr>
            <w:tcW w:w="1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ASSETS</w:t>
            </w:r>
          </w:p>
        </w:tc>
        <w:tc>
          <w:tcPr>
            <w:tcW w:w="18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Real estate and equipment</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$ 5,316,084</w:t>
            </w:r>
          </w:p>
        </w:tc>
        <w:tc>
          <w:tcPr>
            <w:tcW w:w="1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$ 5,150,341</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Development in progress</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417,429</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334,983</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held for future development</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114,628</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126,934</w:t>
            </w:r>
          </w:p>
        </w:tc>
      </w:tr>
      <w:tr>
        <w:trPr>
          <w:trHeight w:val="168"/>
        </w:trPr>
        <w:tc>
          <w:tcPr>
            <w:tcW w:w="6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1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(501,554)</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(470,591)</w:t>
            </w:r>
          </w:p>
        </w:tc>
      </w:tr>
      <w:tr>
        <w:trPr>
          <w:trHeight w:val="168"/>
        </w:trPr>
        <w:tc>
          <w:tcPr>
            <w:tcW w:w="6440" w:type="dxa"/>
            <w:vAlign w:val="bottom"/>
          </w:tcPr>
          <w:p>
            <w:pPr>
              <w:spacing w:after="0"/>
              <w:rPr>
                <w:sz w:val="14"/>
                <w:szCs w:val="14"/>
                <w:color w:val="auto"/>
              </w:rPr>
            </w:pP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real estate and equipment</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5,346,587</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5,141,667</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18,335</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12,035</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Escrows</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30,085</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40,254</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securities</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73,023</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14,460</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Tenant and other receivables</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34,539</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28,362</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rental income</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85,089</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82,228</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charges, net</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67,711</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50,899</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 and other assets</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24,407</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28,452</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joint ventures</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36,541</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36,415</w:t>
            </w:r>
          </w:p>
        </w:tc>
      </w:tr>
      <w:tr>
        <w:trPr>
          <w:trHeight w:val="168"/>
        </w:trPr>
        <w:tc>
          <w:tcPr>
            <w:tcW w:w="6440" w:type="dxa"/>
            <w:vAlign w:val="bottom"/>
          </w:tcPr>
          <w:p>
            <w:pPr>
              <w:spacing w:after="0"/>
              <w:rPr>
                <w:sz w:val="14"/>
                <w:szCs w:val="14"/>
                <w:color w:val="auto"/>
              </w:rPr>
            </w:pP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ASSETS</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$ 5,716,317</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$ 5,434,772</w:t>
            </w:r>
          </w:p>
        </w:tc>
      </w:tr>
      <w:tr>
        <w:trPr>
          <w:trHeight w:val="168"/>
        </w:trPr>
        <w:tc>
          <w:tcPr>
            <w:tcW w:w="6440" w:type="dxa"/>
            <w:vAlign w:val="bottom"/>
          </w:tcPr>
          <w:p>
            <w:pPr>
              <w:spacing w:after="0"/>
              <w:rPr>
                <w:sz w:val="14"/>
                <w:szCs w:val="14"/>
                <w:color w:val="auto"/>
              </w:rPr>
            </w:pP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ind w:left="360"/>
              <w:spacing w:after="0"/>
              <w:rPr>
                <w:sz w:val="20"/>
                <w:szCs w:val="20"/>
                <w:color w:val="auto"/>
              </w:rPr>
            </w:pPr>
            <w:r>
              <w:rPr>
                <w:rFonts w:ascii="Courier New" w:cs="Courier New" w:eastAsia="Courier New" w:hAnsi="Courier New"/>
                <w:sz w:val="15"/>
                <w:szCs w:val="15"/>
                <w:color w:val="auto"/>
              </w:rPr>
              <w:t>LIABILITIES AND STOCKHOLDERS' EQUITY</w:t>
            </w:r>
          </w:p>
        </w:tc>
        <w:tc>
          <w:tcPr>
            <w:tcW w:w="18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18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Mortgage notes payable</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$ 3,186,399</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$ 2,955,584</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Unsecured line of credit</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344,000</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366,000</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57,098</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66,780</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Dividends payable</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51,205</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50,114</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interest payable</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5,154</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8,486</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55,553</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48,282</w:t>
            </w:r>
          </w:p>
        </w:tc>
      </w:tr>
      <w:tr>
        <w:trPr>
          <w:trHeight w:val="168"/>
        </w:trPr>
        <w:tc>
          <w:tcPr>
            <w:tcW w:w="6440" w:type="dxa"/>
            <w:vAlign w:val="bottom"/>
          </w:tcPr>
          <w:p>
            <w:pPr>
              <w:spacing w:after="0"/>
              <w:rPr>
                <w:sz w:val="14"/>
                <w:szCs w:val="14"/>
                <w:color w:val="auto"/>
              </w:rPr>
            </w:pP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3,699,409</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3,495,246</w:t>
            </w:r>
          </w:p>
        </w:tc>
      </w:tr>
      <w:tr>
        <w:trPr>
          <w:trHeight w:val="168"/>
        </w:trPr>
        <w:tc>
          <w:tcPr>
            <w:tcW w:w="6440" w:type="dxa"/>
            <w:vAlign w:val="bottom"/>
          </w:tcPr>
          <w:p>
            <w:pPr>
              <w:spacing w:after="0"/>
              <w:rPr>
                <w:sz w:val="14"/>
                <w:szCs w:val="14"/>
                <w:color w:val="auto"/>
              </w:rPr>
            </w:pP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Minority interests</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808,826</w:t>
            </w:r>
          </w:p>
        </w:tc>
        <w:tc>
          <w:tcPr>
            <w:tcW w:w="1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781,962</w:t>
            </w:r>
          </w:p>
        </w:tc>
      </w:tr>
      <w:tr>
        <w:trPr>
          <w:trHeight w:val="168"/>
        </w:trPr>
        <w:tc>
          <w:tcPr>
            <w:tcW w:w="6440" w:type="dxa"/>
            <w:vAlign w:val="bottom"/>
          </w:tcPr>
          <w:p>
            <w:pPr>
              <w:spacing w:after="0"/>
              <w:rPr>
                <w:sz w:val="14"/>
                <w:szCs w:val="14"/>
                <w:color w:val="auto"/>
              </w:rPr>
            </w:pP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Series A Convertible Redeemable Preferred Stock, liquidation preference</w:t>
            </w:r>
          </w:p>
        </w:tc>
        <w:tc>
          <w:tcPr>
            <w:tcW w:w="18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$50.00 per share, 2,000,000 shares issued and outstanding</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100,000</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6440" w:type="dxa"/>
            <w:vAlign w:val="bottom"/>
          </w:tcPr>
          <w:p>
            <w:pPr>
              <w:spacing w:after="0"/>
              <w:rPr>
                <w:sz w:val="14"/>
                <w:szCs w:val="14"/>
                <w:color w:val="auto"/>
              </w:rPr>
            </w:pP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Excess stock, $.01 par value, 150,000,000 shares</w:t>
            </w:r>
          </w:p>
        </w:tc>
        <w:tc>
          <w:tcPr>
            <w:tcW w:w="18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6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authorized, none issued or outstanding</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 $.01 par value, 250,000,000 shares authorized,</w:t>
            </w:r>
          </w:p>
        </w:tc>
        <w:tc>
          <w:tcPr>
            <w:tcW w:w="18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64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67,954,225 and 67,910,434 issued and outstanding, respectively</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680</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679</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1,060,341</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1,067,778</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Dividend in excess of earnings</w:t>
            </w:r>
          </w:p>
        </w:tc>
        <w:tc>
          <w:tcPr>
            <w:tcW w:w="1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(10,495)</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(10,893)</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(1,007)</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58,563</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1,108,082</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1,057,564</w:t>
            </w:r>
          </w:p>
        </w:tc>
      </w:tr>
      <w:tr>
        <w:trPr>
          <w:trHeight w:val="168"/>
        </w:trPr>
        <w:tc>
          <w:tcPr>
            <w:tcW w:w="6440" w:type="dxa"/>
            <w:vAlign w:val="bottom"/>
          </w:tcPr>
          <w:p>
            <w:pPr>
              <w:spacing w:after="0"/>
              <w:rPr>
                <w:sz w:val="14"/>
                <w:szCs w:val="14"/>
                <w:color w:val="auto"/>
              </w:rPr>
            </w:pP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$ 5,716,317</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$ 5,434,772</w:t>
            </w:r>
          </w:p>
        </w:tc>
      </w:tr>
      <w:tr>
        <w:trPr>
          <w:trHeight w:val="168"/>
        </w:trPr>
        <w:tc>
          <w:tcPr>
            <w:tcW w:w="6440" w:type="dxa"/>
            <w:vAlign w:val="bottom"/>
          </w:tcPr>
          <w:p>
            <w:pPr>
              <w:spacing w:after="0"/>
              <w:rPr>
                <w:sz w:val="14"/>
                <w:szCs w:val="14"/>
                <w:color w:val="auto"/>
              </w:rPr>
            </w:pP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6440" w:type="dxa"/>
            <w:vAlign w:val="bottom"/>
          </w:tcPr>
          <w:p>
            <w:pPr>
              <w:ind w:left="3420"/>
              <w:spacing w:after="0"/>
              <w:rPr>
                <w:sz w:val="20"/>
                <w:szCs w:val="20"/>
                <w:color w:val="auto"/>
              </w:rPr>
            </w:pPr>
            <w:r>
              <w:rPr>
                <w:rFonts w:ascii="Courier New" w:cs="Courier New" w:eastAsia="Courier New" w:hAnsi="Courier New"/>
                <w:sz w:val="15"/>
                <w:szCs w:val="15"/>
                <w:color w:val="auto"/>
              </w:rPr>
              <w:t>6</w:t>
            </w:r>
          </w:p>
        </w:tc>
        <w:tc>
          <w:tcPr>
            <w:tcW w:w="184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0240"/>
          </w:cols>
          <w:pgMar w:left="220" w:top="785" w:right="1439" w:bottom="1440" w:gutter="0" w:footer="0" w:header="0"/>
        </w:sectPr>
      </w:pPr>
    </w:p>
    <w:bookmarkStart w:id="10" w:name="page11"/>
    <w:bookmarkEnd w:id="10"/>
    <w:p>
      <w:pPr>
        <w:ind w:left="254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5"/>
          <w:szCs w:val="15"/>
          <w:color w:val="auto"/>
        </w:rPr>
        <w:t>CONSOLIDATED INCOME STATEMENTS</w:t>
      </w:r>
    </w:p>
    <w:p>
      <w:pPr>
        <w:jc w:val="center"/>
        <w:ind w:right="3740"/>
        <w:spacing w:after="0" w:line="237" w:lineRule="auto"/>
        <w:rPr>
          <w:sz w:val="20"/>
          <w:szCs w:val="20"/>
          <w:color w:val="auto"/>
        </w:rPr>
      </w:pPr>
      <w:r>
        <w:rPr>
          <w:rFonts w:ascii="Courier New" w:cs="Courier New" w:eastAsia="Courier New" w:hAnsi="Courier New"/>
          <w:sz w:val="15"/>
          <w:szCs w:val="15"/>
          <w:color w:val="auto"/>
        </w:rPr>
        <w:t>(UNAUDITED AND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400"/>
        <w:spacing w:after="0"/>
        <w:rPr>
          <w:sz w:val="20"/>
          <w:szCs w:val="20"/>
          <w:color w:val="auto"/>
        </w:rPr>
      </w:pPr>
      <w:r>
        <w:rPr>
          <w:rFonts w:ascii="Courier New" w:cs="Courier New" w:eastAsia="Courier New" w:hAnsi="Courier New"/>
          <w:sz w:val="15"/>
          <w:szCs w:val="15"/>
          <w:color w:val="auto"/>
        </w:rPr>
        <w:t>THREE MONTHS ENDED</w:t>
      </w:r>
    </w:p>
    <w:tbl>
      <w:tblPr>
        <w:tblLayout w:type="fixed"/>
        <w:tblInd w:w="0" w:type="dxa"/>
        <w:tblCellMar>
          <w:top w:w="0" w:type="dxa"/>
          <w:left w:w="0" w:type="dxa"/>
          <w:bottom w:w="0" w:type="dxa"/>
          <w:right w:w="0" w:type="dxa"/>
        </w:tblCellMar>
      </w:tblPr>
      <w:tr>
        <w:trPr>
          <w:trHeight w:val="168"/>
        </w:trPr>
        <w:tc>
          <w:tcPr>
            <w:tcW w:w="360" w:type="dxa"/>
            <w:vAlign w:val="bottom"/>
          </w:tcPr>
          <w:p>
            <w:pPr>
              <w:spacing w:after="0"/>
              <w:rPr>
                <w:sz w:val="14"/>
                <w:szCs w:val="14"/>
                <w:color w:val="auto"/>
              </w:rPr>
            </w:pPr>
          </w:p>
        </w:tc>
        <w:tc>
          <w:tcPr>
            <w:tcW w:w="104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8180" w:type="dxa"/>
            <w:vAlign w:val="bottom"/>
            <w:gridSpan w:val="3"/>
          </w:tcPr>
          <w:p>
            <w:pPr>
              <w:jc w:val="right"/>
              <w:ind w:right="327"/>
              <w:spacing w:after="0" w:line="168" w:lineRule="exact"/>
              <w:rPr>
                <w:sz w:val="20"/>
                <w:szCs w:val="20"/>
                <w:color w:val="auto"/>
              </w:rPr>
            </w:pPr>
            <w:r>
              <w:rPr>
                <w:rFonts w:ascii="Courier New" w:cs="Courier New" w:eastAsia="Courier New" w:hAnsi="Courier New"/>
                <w:sz w:val="15"/>
                <w:szCs w:val="15"/>
                <w:color w:val="auto"/>
              </w:rPr>
              <w:t>31-MAR-00</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31-MAR-99</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CHANGE</w:t>
            </w:r>
          </w:p>
        </w:tc>
      </w:tr>
      <w:tr>
        <w:trPr>
          <w:trHeight w:val="168"/>
        </w:trPr>
        <w:tc>
          <w:tcPr>
            <w:tcW w:w="360" w:type="dxa"/>
            <w:vAlign w:val="bottom"/>
          </w:tcPr>
          <w:p>
            <w:pPr>
              <w:spacing w:after="0"/>
              <w:rPr>
                <w:sz w:val="14"/>
                <w:szCs w:val="14"/>
                <w:color w:val="auto"/>
              </w:rPr>
            </w:pPr>
          </w:p>
        </w:tc>
        <w:tc>
          <w:tcPr>
            <w:tcW w:w="8180" w:type="dxa"/>
            <w:vAlign w:val="bottom"/>
            <w:gridSpan w:val="3"/>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80" w:type="dxa"/>
            <w:vAlign w:val="bottom"/>
            <w:gridSpan w:val="2"/>
          </w:tcPr>
          <w:p>
            <w:pPr>
              <w:spacing w:after="0"/>
              <w:rPr>
                <w:sz w:val="20"/>
                <w:szCs w:val="20"/>
                <w:color w:val="auto"/>
              </w:rPr>
            </w:pPr>
            <w:r>
              <w:rPr>
                <w:rFonts w:ascii="Courier New" w:cs="Courier New" w:eastAsia="Courier New" w:hAnsi="Courier New"/>
                <w:sz w:val="15"/>
                <w:szCs w:val="15"/>
                <w:color w:val="auto"/>
              </w:rPr>
              <w:t>Revenue: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7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Rental</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Base Rent (1)</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$ 170,337</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$151,609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12.35%</w:t>
            </w:r>
          </w:p>
        </w:tc>
      </w:tr>
      <w:tr>
        <w:trPr>
          <w:trHeight w:val="168"/>
        </w:trPr>
        <w:tc>
          <w:tcPr>
            <w:tcW w:w="360" w:type="dxa"/>
            <w:vAlign w:val="bottom"/>
          </w:tcPr>
          <w:p>
            <w:pPr>
              <w:spacing w:after="0"/>
              <w:rPr>
                <w:sz w:val="14"/>
                <w:szCs w:val="14"/>
                <w:color w:val="auto"/>
              </w:rPr>
            </w:pPr>
          </w:p>
        </w:tc>
        <w:tc>
          <w:tcPr>
            <w:tcW w:w="7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Recoveries from tenants</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23,336</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17,414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34.01%</w:t>
            </w:r>
          </w:p>
        </w:tc>
      </w:tr>
      <w:tr>
        <w:trPr>
          <w:trHeight w:val="168"/>
        </w:trPr>
        <w:tc>
          <w:tcPr>
            <w:tcW w:w="360" w:type="dxa"/>
            <w:vAlign w:val="bottom"/>
          </w:tcPr>
          <w:p>
            <w:pPr>
              <w:spacing w:after="0"/>
              <w:rPr>
                <w:sz w:val="14"/>
                <w:szCs w:val="14"/>
                <w:color w:val="auto"/>
              </w:rPr>
            </w:pPr>
          </w:p>
        </w:tc>
        <w:tc>
          <w:tcPr>
            <w:tcW w:w="7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Parking and other</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13,008</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10,924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19.08%</w:t>
            </w:r>
          </w:p>
        </w:tc>
      </w:tr>
      <w:tr>
        <w:trPr>
          <w:trHeight w:val="168"/>
        </w:trPr>
        <w:tc>
          <w:tcPr>
            <w:tcW w:w="3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71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Total rental revenue</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206,681</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179,947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14.86%</w:t>
            </w:r>
          </w:p>
        </w:tc>
      </w:tr>
      <w:tr>
        <w:trPr>
          <w:trHeight w:val="168"/>
        </w:trPr>
        <w:tc>
          <w:tcPr>
            <w:tcW w:w="7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Development and management services</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2,863</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4,047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-29.26%</w:t>
            </w:r>
          </w:p>
        </w:tc>
      </w:tr>
      <w:tr>
        <w:trPr>
          <w:trHeight w:val="168"/>
        </w:trPr>
        <w:tc>
          <w:tcPr>
            <w:tcW w:w="7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Interest and other</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710</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3,646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-80.53%</w:t>
            </w:r>
          </w:p>
        </w:tc>
      </w:tr>
      <w:tr>
        <w:trPr>
          <w:trHeight w:val="168"/>
        </w:trPr>
        <w:tc>
          <w:tcPr>
            <w:tcW w:w="3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71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Total revenue</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210,254</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187,640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12.05%</w:t>
            </w:r>
          </w:p>
        </w:tc>
      </w:tr>
      <w:tr>
        <w:trPr>
          <w:trHeight w:val="168"/>
        </w:trPr>
        <w:tc>
          <w:tcPr>
            <w:tcW w:w="3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80" w:type="dxa"/>
            <w:vAlign w:val="bottom"/>
            <w:gridSpan w:val="2"/>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7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Rental expenses</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65,177</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57,350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13.65%</w:t>
            </w:r>
          </w:p>
        </w:tc>
      </w:tr>
      <w:tr>
        <w:trPr>
          <w:trHeight w:val="168"/>
        </w:trPr>
        <w:tc>
          <w:tcPr>
            <w:tcW w:w="7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7,408</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6,610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12.07%</w:t>
            </w:r>
          </w:p>
        </w:tc>
      </w:tr>
      <w:tr>
        <w:trPr>
          <w:trHeight w:val="168"/>
        </w:trPr>
        <w:tc>
          <w:tcPr>
            <w:tcW w:w="7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Interest (2)</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55,215</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50,459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9.43%</w:t>
            </w:r>
          </w:p>
        </w:tc>
      </w:tr>
      <w:tr>
        <w:trPr>
          <w:trHeight w:val="168"/>
        </w:trPr>
        <w:tc>
          <w:tcPr>
            <w:tcW w:w="7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32,231</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27,794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15.96%</w:t>
            </w:r>
          </w:p>
        </w:tc>
      </w:tr>
      <w:tr>
        <w:trPr>
          <w:trHeight w:val="168"/>
        </w:trPr>
        <w:tc>
          <w:tcPr>
            <w:tcW w:w="3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7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160,031</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142,213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12.53%</w:t>
            </w:r>
          </w:p>
        </w:tc>
      </w:tr>
      <w:tr>
        <w:trPr>
          <w:trHeight w:val="168"/>
        </w:trPr>
        <w:tc>
          <w:tcPr>
            <w:tcW w:w="3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Income before minority interests and before income from unconsolidated joint ventures</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50,223</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45,427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10.56%</w:t>
            </w:r>
          </w:p>
        </w:tc>
      </w:tr>
      <w:tr>
        <w:trPr>
          <w:trHeight w:val="168"/>
        </w:trPr>
        <w:tc>
          <w:tcPr>
            <w:tcW w:w="7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Minority interest in property partnerships</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(196)</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(4,155)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-95.28%</w:t>
            </w:r>
          </w:p>
        </w:tc>
      </w:tr>
      <w:tr>
        <w:trPr>
          <w:trHeight w:val="168"/>
        </w:trPr>
        <w:tc>
          <w:tcPr>
            <w:tcW w:w="7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from unconsolidated joint ventures</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-31.92%</w:t>
            </w:r>
          </w:p>
        </w:tc>
      </w:tr>
      <w:tr>
        <w:trPr>
          <w:trHeight w:val="168"/>
        </w:trPr>
        <w:tc>
          <w:tcPr>
            <w:tcW w:w="3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Income before preferred distribution and minority interest in Operating Partnership</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50,172</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41,485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20.94%</w:t>
            </w:r>
          </w:p>
        </w:tc>
      </w:tr>
      <w:tr>
        <w:trPr>
          <w:trHeight w:val="168"/>
        </w:trPr>
        <w:tc>
          <w:tcPr>
            <w:tcW w:w="7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Preferred distribution</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(6,607)</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(6,373)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w:t>
            </w:r>
          </w:p>
        </w:tc>
      </w:tr>
      <w:tr>
        <w:trPr>
          <w:trHeight w:val="168"/>
        </w:trPr>
        <w:tc>
          <w:tcPr>
            <w:tcW w:w="7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Minority interest in Operating Partnership (3)</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(10,945)</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(9,339)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17.20%</w:t>
            </w:r>
          </w:p>
        </w:tc>
      </w:tr>
      <w:tr>
        <w:trPr>
          <w:trHeight w:val="168"/>
        </w:trPr>
        <w:tc>
          <w:tcPr>
            <w:tcW w:w="3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income before preferred dividend</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32,620</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25,773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26.57%</w:t>
            </w:r>
          </w:p>
        </w:tc>
      </w:tr>
      <w:tr>
        <w:trPr>
          <w:trHeight w:val="168"/>
        </w:trPr>
        <w:tc>
          <w:tcPr>
            <w:tcW w:w="7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Preferred dividend</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(1,643)</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95.83%</w:t>
            </w:r>
          </w:p>
        </w:tc>
      </w:tr>
      <w:tr>
        <w:trPr>
          <w:trHeight w:val="168"/>
        </w:trPr>
        <w:tc>
          <w:tcPr>
            <w:tcW w:w="3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income available to common shareholders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30,977</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$ 24,934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24.24%</w:t>
            </w:r>
          </w:p>
        </w:tc>
      </w:tr>
      <w:tr>
        <w:trPr>
          <w:trHeight w:val="168"/>
        </w:trPr>
        <w:tc>
          <w:tcPr>
            <w:tcW w:w="3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PER SHARE OF COMMON STOCK</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7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income available to common shareholders per share - basic</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17.95%</w:t>
            </w:r>
          </w:p>
        </w:tc>
      </w:tr>
      <w:tr>
        <w:trPr>
          <w:trHeight w:val="168"/>
        </w:trPr>
        <w:tc>
          <w:tcPr>
            <w:tcW w:w="3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income available to common shareholders per share - diluted</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15.38%</w:t>
            </w:r>
          </w:p>
        </w:tc>
      </w:tr>
      <w:tr>
        <w:trPr>
          <w:trHeight w:val="168"/>
        </w:trPr>
        <w:tc>
          <w:tcPr>
            <w:tcW w:w="3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7120" w:type="dxa"/>
            <w:vAlign w:val="bottom"/>
          </w:tcPr>
          <w:p>
            <w:pPr>
              <w:ind w:left="80"/>
              <w:spacing w:after="0"/>
              <w:rPr>
                <w:sz w:val="20"/>
                <w:szCs w:val="20"/>
                <w:color w:val="auto"/>
              </w:rPr>
            </w:pPr>
            <w:r>
              <w:rPr>
                <w:rFonts w:ascii="Courier New" w:cs="Courier New" w:eastAsia="Courier New" w:hAnsi="Courier New"/>
                <w:sz w:val="15"/>
                <w:szCs w:val="15"/>
                <w:color w:val="auto"/>
              </w:rPr>
              <w:t>Base Rent is reported on a straight-line basis over the terms of the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60" w:type="dxa"/>
            <w:vAlign w:val="bottom"/>
          </w:tcPr>
          <w:p>
            <w:pPr>
              <w:spacing w:after="0"/>
              <w:rPr>
                <w:sz w:val="14"/>
                <w:szCs w:val="14"/>
                <w:color w:val="auto"/>
              </w:rPr>
            </w:pPr>
          </w:p>
        </w:tc>
        <w:tc>
          <w:tcPr>
            <w:tcW w:w="7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respective leases. The impact of the straight-line rent adjustment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increased revenues by $2,841 and $4,264 for the three months ended March</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31, 2000 and 1999, respectively.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7120" w:type="dxa"/>
            <w:vAlign w:val="bottom"/>
          </w:tcPr>
          <w:p>
            <w:pPr>
              <w:ind w:left="80"/>
              <w:spacing w:after="0"/>
              <w:rPr>
                <w:sz w:val="20"/>
                <w:szCs w:val="20"/>
                <w:color w:val="auto"/>
              </w:rPr>
            </w:pPr>
            <w:r>
              <w:rPr>
                <w:rFonts w:ascii="Courier New" w:cs="Courier New" w:eastAsia="Courier New" w:hAnsi="Courier New"/>
                <w:sz w:val="15"/>
                <w:szCs w:val="15"/>
                <w:color w:val="auto"/>
              </w:rPr>
              <w:t>Excludes capitalized interest of $8,464 and $2,985 for the three months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60" w:type="dxa"/>
            <w:vAlign w:val="bottom"/>
          </w:tcPr>
          <w:p>
            <w:pPr>
              <w:spacing w:after="0"/>
              <w:rPr>
                <w:sz w:val="14"/>
                <w:szCs w:val="14"/>
                <w:color w:val="auto"/>
              </w:rPr>
            </w:pPr>
          </w:p>
        </w:tc>
        <w:tc>
          <w:tcPr>
            <w:tcW w:w="7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ended March 31, 2000 and 1999, respectively.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7120" w:type="dxa"/>
            <w:vAlign w:val="bottom"/>
          </w:tcPr>
          <w:p>
            <w:pPr>
              <w:ind w:left="80"/>
              <w:spacing w:after="0"/>
              <w:rPr>
                <w:sz w:val="20"/>
                <w:szCs w:val="20"/>
                <w:color w:val="auto"/>
              </w:rPr>
            </w:pPr>
            <w:r>
              <w:rPr>
                <w:rFonts w:ascii="Courier New" w:cs="Courier New" w:eastAsia="Courier New" w:hAnsi="Courier New"/>
                <w:sz w:val="15"/>
                <w:szCs w:val="15"/>
                <w:color w:val="auto"/>
              </w:rPr>
              <w:t>Equals minority interest percent (26.11% and 27.25%, respectively) of</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60" w:type="dxa"/>
            <w:vAlign w:val="bottom"/>
          </w:tcPr>
          <w:p>
            <w:pPr>
              <w:spacing w:after="0"/>
              <w:rPr>
                <w:sz w:val="14"/>
                <w:szCs w:val="14"/>
                <w:color w:val="auto"/>
              </w:rPr>
            </w:pPr>
          </w:p>
        </w:tc>
        <w:tc>
          <w:tcPr>
            <w:tcW w:w="7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income before minority interest in Operating Partnership after deduction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for preferred dividends and distributions.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505"/>
        </w:trPr>
        <w:tc>
          <w:tcPr>
            <w:tcW w:w="360" w:type="dxa"/>
            <w:vAlign w:val="bottom"/>
          </w:tcPr>
          <w:p>
            <w:pPr>
              <w:spacing w:after="0"/>
              <w:rPr>
                <w:sz w:val="24"/>
                <w:szCs w:val="24"/>
                <w:color w:val="auto"/>
              </w:rPr>
            </w:pPr>
          </w:p>
        </w:tc>
        <w:tc>
          <w:tcPr>
            <w:tcW w:w="7120" w:type="dxa"/>
            <w:vAlign w:val="bottom"/>
          </w:tcPr>
          <w:p>
            <w:pPr>
              <w:ind w:left="3060"/>
              <w:spacing w:after="0"/>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760"/>
          </w:cols>
          <w:pgMar w:left="220" w:top="785" w:right="919" w:bottom="1440" w:gutter="0" w:footer="0" w:header="0"/>
        </w:sectPr>
      </w:pPr>
    </w:p>
    <w:bookmarkStart w:id="11" w:name="page12"/>
    <w:bookmarkEnd w:id="11"/>
    <w:p>
      <w:pPr>
        <w:ind w:left="254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FUNDS FROM OPERATIONS</w:t>
      </w:r>
    </w:p>
    <w:p>
      <w:pPr>
        <w:jc w:val="center"/>
        <w:ind w:right="4440"/>
        <w:spacing w:after="0" w:line="237" w:lineRule="auto"/>
        <w:rPr>
          <w:sz w:val="20"/>
          <w:szCs w:val="20"/>
          <w:color w:val="auto"/>
        </w:rPr>
      </w:pPr>
      <w:r>
        <w:rPr>
          <w:rFonts w:ascii="Courier New" w:cs="Courier New" w:eastAsia="Courier New" w:hAnsi="Courier New"/>
          <w:sz w:val="15"/>
          <w:szCs w:val="15"/>
          <w:color w:val="auto"/>
        </w:rPr>
        <w:t>(IN THOUSANDS, EXCEPT FOR PER SHARE AMOUNTS)</w:t>
      </w:r>
    </w:p>
    <w:tbl>
      <w:tblPr>
        <w:tblLayout w:type="fixed"/>
        <w:tblInd w:w="0" w:type="dxa"/>
        <w:tblCellMar>
          <w:top w:w="0" w:type="dxa"/>
          <w:left w:w="0" w:type="dxa"/>
          <w:bottom w:w="0" w:type="dxa"/>
          <w:right w:w="0" w:type="dxa"/>
        </w:tblCellMar>
      </w:tblPr>
      <w:tr>
        <w:trPr>
          <w:trHeight w:val="169"/>
        </w:trPr>
        <w:tc>
          <w:tcPr>
            <w:tcW w:w="6780" w:type="dxa"/>
            <w:vAlign w:val="bottom"/>
          </w:tcPr>
          <w:p>
            <w:pPr>
              <w:ind w:left="2980"/>
              <w:spacing w:after="0" w:line="169" w:lineRule="exact"/>
              <w:rPr>
                <w:sz w:val="20"/>
                <w:szCs w:val="20"/>
                <w:color w:val="auto"/>
              </w:rPr>
            </w:pPr>
            <w:r>
              <w:rPr>
                <w:rFonts w:ascii="Courier New" w:cs="Courier New" w:eastAsia="Courier New" w:hAnsi="Courier New"/>
                <w:sz w:val="15"/>
                <w:szCs w:val="15"/>
                <w:color w:val="auto"/>
              </w:rPr>
              <w:t>(UNAUDITED)</w:t>
            </w:r>
          </w:p>
        </w:tc>
        <w:tc>
          <w:tcPr>
            <w:tcW w:w="1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41"/>
        </w:trPr>
        <w:tc>
          <w:tcPr>
            <w:tcW w:w="6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THREE MONTHS ENDED</w:t>
            </w:r>
          </w:p>
        </w:tc>
        <w:tc>
          <w:tcPr>
            <w:tcW w:w="860" w:type="dxa"/>
            <w:vAlign w:val="bottom"/>
          </w:tcPr>
          <w:p>
            <w:pPr>
              <w:spacing w:after="0"/>
              <w:rPr>
                <w:sz w:val="24"/>
                <w:szCs w:val="24"/>
                <w:color w:val="auto"/>
              </w:rPr>
            </w:pPr>
          </w:p>
        </w:tc>
      </w:tr>
      <w:tr>
        <w:trPr>
          <w:trHeight w:val="168"/>
        </w:trPr>
        <w:tc>
          <w:tcPr>
            <w:tcW w:w="6780" w:type="dxa"/>
            <w:vAlign w:val="bottom"/>
          </w:tcPr>
          <w:p>
            <w:pPr>
              <w:spacing w:after="0"/>
              <w:rPr>
                <w:sz w:val="14"/>
                <w:szCs w:val="14"/>
                <w:color w:val="auto"/>
              </w:rPr>
            </w:pPr>
          </w:p>
        </w:tc>
        <w:tc>
          <w:tcPr>
            <w:tcW w:w="44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31-MAR-00</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31-MAR-99</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CHANGE</w:t>
            </w:r>
          </w:p>
        </w:tc>
      </w:tr>
      <w:tr>
        <w:trPr>
          <w:trHeight w:val="168"/>
        </w:trPr>
        <w:tc>
          <w:tcPr>
            <w:tcW w:w="67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Income from operations before minority interests and before income from</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$ 50,223</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$ 45,427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10.56%</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unconsolidated joint ventures</w:t>
            </w:r>
          </w:p>
        </w:tc>
        <w:tc>
          <w:tcPr>
            <w:tcW w:w="1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w:t>
            </w:r>
          </w:p>
        </w:tc>
        <w:tc>
          <w:tcPr>
            <w:tcW w:w="1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Real estate depreciation and amortization (1)</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32,052</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27,549</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16.35%</w:t>
            </w:r>
          </w:p>
        </w:tc>
      </w:tr>
      <w:tr>
        <w:trPr>
          <w:trHeight w:val="168"/>
        </w:trPr>
        <w:tc>
          <w:tcPr>
            <w:tcW w:w="6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from unconsolidated joint ventures</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213</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-31.92%</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Less:</w:t>
            </w:r>
          </w:p>
        </w:tc>
        <w:tc>
          <w:tcPr>
            <w:tcW w:w="1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Minority property partnerships' share of funds from operations</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3,163</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-92.92%</w:t>
            </w:r>
          </w:p>
        </w:tc>
      </w:tr>
      <w:tr>
        <w:trPr>
          <w:trHeight w:val="168"/>
        </w:trPr>
        <w:tc>
          <w:tcPr>
            <w:tcW w:w="6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Preferred dividends and distributions</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8,250</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7,212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14.39%</w:t>
            </w:r>
          </w:p>
        </w:tc>
      </w:tr>
      <w:tr>
        <w:trPr>
          <w:trHeight w:val="168"/>
        </w:trPr>
        <w:tc>
          <w:tcPr>
            <w:tcW w:w="67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Funds from Operations</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$ 73,946</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$ 62,814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17.72%</w:t>
            </w:r>
          </w:p>
        </w:tc>
      </w:tr>
      <w:tr>
        <w:trPr>
          <w:trHeight w:val="168"/>
        </w:trPr>
        <w:tc>
          <w:tcPr>
            <w:tcW w:w="67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Funds from Operations available to common shareholders (2)</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$ 54,641</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$ 45,697</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19.57%</w:t>
            </w:r>
          </w:p>
        </w:tc>
      </w:tr>
      <w:tr>
        <w:trPr>
          <w:trHeight w:val="168"/>
        </w:trPr>
        <w:tc>
          <w:tcPr>
            <w:tcW w:w="67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Funds from Operations per share - basic</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$ 0.80</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$ 0.72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11.81%</w:t>
            </w:r>
          </w:p>
        </w:tc>
      </w:tr>
      <w:tr>
        <w:trPr>
          <w:trHeight w:val="168"/>
        </w:trPr>
        <w:tc>
          <w:tcPr>
            <w:tcW w:w="67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Weighted average shares outstanding - basic</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67,943</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63,534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6.94%</w:t>
            </w:r>
          </w:p>
        </w:tc>
      </w:tr>
      <w:tr>
        <w:trPr>
          <w:trHeight w:val="168"/>
        </w:trPr>
        <w:tc>
          <w:tcPr>
            <w:tcW w:w="67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Funds from Operations per share - diluted</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$ 0.78</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$ 0.70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11.43%</w:t>
            </w:r>
          </w:p>
        </w:tc>
      </w:tr>
      <w:tr>
        <w:trPr>
          <w:trHeight w:val="168"/>
        </w:trPr>
        <w:tc>
          <w:tcPr>
            <w:tcW w:w="67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Weighted average shares outstanding - diluted</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81,381</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75,862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7.28%</w:t>
            </w:r>
          </w:p>
        </w:tc>
      </w:tr>
      <w:tr>
        <w:trPr>
          <w:trHeight w:val="168"/>
        </w:trPr>
        <w:tc>
          <w:tcPr>
            <w:tcW w:w="67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4460" w:hanging="430"/>
        <w:spacing w:after="0" w:line="235"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depreciation includes the Company's share of joint venture real estate depreciation of $259 and $0, less corporate related depreciation of $438 and $245, for the three months ended March 31, 2000 and 1999, respectively.</w:t>
      </w:r>
    </w:p>
    <w:p>
      <w:pPr>
        <w:spacing w:after="0" w:line="175" w:lineRule="exact"/>
        <w:rPr>
          <w:rFonts w:ascii="Courier New" w:cs="Courier New" w:eastAsia="Courier New" w:hAnsi="Courier New"/>
          <w:sz w:val="15"/>
          <w:szCs w:val="15"/>
          <w:color w:val="auto"/>
        </w:rPr>
      </w:pPr>
    </w:p>
    <w:p>
      <w:pPr>
        <w:ind w:left="440" w:right="4620" w:hanging="430"/>
        <w:spacing w:after="0" w:line="235"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weighted average shares for the quarter. Company's share for the quarter ended March 31, 2000 was 73.89% and 72.75% for the quarter ended March 31, 1999.</w:t>
      </w:r>
    </w:p>
    <w:p>
      <w:pPr>
        <w:spacing w:after="0" w:line="200" w:lineRule="exact"/>
        <w:rPr>
          <w:sz w:val="20"/>
          <w:szCs w:val="20"/>
          <w:color w:val="auto"/>
        </w:rPr>
      </w:pPr>
    </w:p>
    <w:p>
      <w:pPr>
        <w:spacing w:after="0" w:line="304"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RECONCILIATION TO DILUTED FUNDS FROM OPERATIONS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41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For the Three Months Ended March 31, 2000</w:t>
            </w:r>
          </w:p>
        </w:tc>
        <w:tc>
          <w:tcPr>
            <w:tcW w:w="410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For the Three Months Ended March 31, 1999</w:t>
            </w:r>
          </w:p>
        </w:tc>
      </w:tr>
      <w:tr>
        <w:trPr>
          <w:trHeight w:val="168"/>
        </w:trPr>
        <w:tc>
          <w:tcPr>
            <w:tcW w:w="3240" w:type="dxa"/>
            <w:vAlign w:val="bottom"/>
          </w:tcPr>
          <w:p>
            <w:pPr>
              <w:spacing w:after="0"/>
              <w:rPr>
                <w:sz w:val="14"/>
                <w:szCs w:val="14"/>
                <w:color w:val="auto"/>
              </w:rPr>
            </w:pPr>
          </w:p>
        </w:tc>
        <w:tc>
          <w:tcPr>
            <w:tcW w:w="280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73"/>
              </w:rPr>
              <w:t>-----------------------------------------</w:t>
            </w:r>
          </w:p>
        </w:tc>
        <w:tc>
          <w:tcPr>
            <w:tcW w:w="1320" w:type="dxa"/>
            <w:vAlign w:val="bottom"/>
          </w:tcPr>
          <w:p>
            <w:pPr>
              <w:spacing w:after="0"/>
              <w:rPr>
                <w:sz w:val="14"/>
                <w:szCs w:val="14"/>
                <w:color w:val="auto"/>
              </w:rPr>
            </w:pPr>
          </w:p>
        </w:tc>
        <w:tc>
          <w:tcPr>
            <w:tcW w:w="41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240" w:type="dxa"/>
            <w:vAlign w:val="bottom"/>
          </w:tcPr>
          <w:p>
            <w:pPr>
              <w:spacing w:after="0"/>
              <w:rPr>
                <w:sz w:val="14"/>
                <w:szCs w:val="14"/>
                <w:color w:val="auto"/>
              </w:rPr>
            </w:pPr>
          </w:p>
        </w:tc>
        <w:tc>
          <w:tcPr>
            <w:tcW w:w="150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Income</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Shares</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Per Share</w:t>
            </w:r>
          </w:p>
        </w:tc>
        <w:tc>
          <w:tcPr>
            <w:tcW w:w="1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Per Share</w:t>
            </w:r>
          </w:p>
        </w:tc>
      </w:tr>
      <w:tr>
        <w:trPr>
          <w:trHeight w:val="168"/>
        </w:trPr>
        <w:tc>
          <w:tcPr>
            <w:tcW w:w="3240" w:type="dxa"/>
            <w:vAlign w:val="bottom"/>
          </w:tcPr>
          <w:p>
            <w:pPr>
              <w:spacing w:after="0"/>
              <w:rPr>
                <w:sz w:val="14"/>
                <w:szCs w:val="14"/>
                <w:color w:val="auto"/>
              </w:rPr>
            </w:pPr>
          </w:p>
        </w:tc>
        <w:tc>
          <w:tcPr>
            <w:tcW w:w="150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(Numerator)</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(Denominator)</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Amount</w:t>
            </w: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(Numerator)</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(Denominator)</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Amount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Basic Funds from Operations</w:t>
            </w:r>
          </w:p>
        </w:tc>
        <w:tc>
          <w:tcPr>
            <w:tcW w:w="15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$ 73,946</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91,948</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$ 0.80</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$ 62,814</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87,330</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$ 0.72</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Securities</w:t>
            </w: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Convertible Preferred Units</w:t>
            </w:r>
          </w:p>
        </w:tc>
        <w:tc>
          <w:tcPr>
            <w:tcW w:w="150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6,607</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10,376</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(0.01)</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6,373</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10,325</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Convertible Preferred Stock</w:t>
            </w:r>
          </w:p>
        </w:tc>
        <w:tc>
          <w:tcPr>
            <w:tcW w:w="150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1,643</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2,625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839</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1,458</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Options</w:t>
            </w:r>
          </w:p>
        </w:tc>
        <w:tc>
          <w:tcPr>
            <w:tcW w:w="150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438</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(0.01)</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545</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3240" w:type="dxa"/>
            <w:vAlign w:val="bottom"/>
          </w:tcPr>
          <w:p>
            <w:pPr>
              <w:spacing w:after="0"/>
              <w:rPr>
                <w:sz w:val="14"/>
                <w:szCs w:val="14"/>
                <w:color w:val="auto"/>
              </w:rPr>
            </w:pPr>
          </w:p>
        </w:tc>
        <w:tc>
          <w:tcPr>
            <w:tcW w:w="150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Dilutive Funds from Operations (1)</w:t>
            </w:r>
          </w:p>
        </w:tc>
        <w:tc>
          <w:tcPr>
            <w:tcW w:w="150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$ 82,196</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105,387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$ 0.78</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$ 70,026</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99,658</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$ 0.70</w:t>
            </w:r>
          </w:p>
        </w:tc>
      </w:tr>
      <w:tr>
        <w:trPr>
          <w:trHeight w:val="168"/>
        </w:trPr>
        <w:tc>
          <w:tcPr>
            <w:tcW w:w="3240" w:type="dxa"/>
            <w:vAlign w:val="bottom"/>
          </w:tcPr>
          <w:p>
            <w:pPr>
              <w:spacing w:after="0"/>
              <w:rPr>
                <w:sz w:val="14"/>
                <w:szCs w:val="14"/>
                <w:color w:val="auto"/>
              </w:rPr>
            </w:pPr>
          </w:p>
        </w:tc>
        <w:tc>
          <w:tcPr>
            <w:tcW w:w="150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Company's share of Diluted Funds</w:t>
            </w: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from Operations</w:t>
            </w:r>
          </w:p>
        </w:tc>
        <w:tc>
          <w:tcPr>
            <w:tcW w:w="150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$ 63,473</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81,381</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$ 0.78</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$ 53,306</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75,862</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$ 0.70</w:t>
            </w:r>
          </w:p>
        </w:tc>
      </w:tr>
      <w:tr>
        <w:trPr>
          <w:trHeight w:val="168"/>
        </w:trPr>
        <w:tc>
          <w:tcPr>
            <w:tcW w:w="3240" w:type="dxa"/>
            <w:vAlign w:val="bottom"/>
          </w:tcPr>
          <w:p>
            <w:pPr>
              <w:spacing w:after="0"/>
              <w:rPr>
                <w:sz w:val="14"/>
                <w:szCs w:val="14"/>
                <w:color w:val="auto"/>
              </w:rPr>
            </w:pPr>
          </w:p>
        </w:tc>
        <w:tc>
          <w:tcPr>
            <w:tcW w:w="150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4540" w:hanging="430"/>
        <w:spacing w:after="0" w:line="235"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weighted average diluted shares for the quarter. Company's share for the quarter ended March 31, 2000 was 77.22% and 76.12% for the quarter ended March 31, 1999.</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460"/>
          </w:cols>
          <w:pgMar w:left="220" w:top="785" w:right="219" w:bottom="1440" w:gutter="0" w:footer="0" w:header="0"/>
        </w:sectPr>
      </w:pPr>
    </w:p>
    <w:bookmarkStart w:id="12" w:name="page13"/>
    <w:bookmarkEnd w:id="12"/>
    <w:p>
      <w:pPr>
        <w:ind w:left="254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FINANCIAL RATIOS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4640"/>
        <w:spacing w:after="0"/>
        <w:rPr>
          <w:sz w:val="20"/>
          <w:szCs w:val="20"/>
          <w:color w:val="auto"/>
        </w:rPr>
      </w:pPr>
      <w:r>
        <w:rPr>
          <w:rFonts w:ascii="Courier New" w:cs="Courier New" w:eastAsia="Courier New" w:hAnsi="Courier New"/>
          <w:sz w:val="14"/>
          <w:szCs w:val="14"/>
          <w:color w:val="auto"/>
        </w:rPr>
        <w:t>THREE MONTHS ENDED</w:t>
      </w:r>
    </w:p>
    <w:p>
      <w:pPr>
        <w:spacing w:after="0" w:line="3" w:lineRule="exact"/>
        <w:rPr>
          <w:sz w:val="20"/>
          <w:szCs w:val="20"/>
          <w:color w:val="auto"/>
        </w:rPr>
      </w:pPr>
    </w:p>
    <w:p>
      <w:pPr>
        <w:jc w:val="center"/>
        <w:ind w:left="4640"/>
        <w:spacing w:after="0"/>
        <w:rPr>
          <w:sz w:val="20"/>
          <w:szCs w:val="20"/>
          <w:color w:val="auto"/>
        </w:rPr>
      </w:pPr>
      <w:r>
        <w:rPr>
          <w:rFonts w:ascii="Courier New" w:cs="Courier New" w:eastAsia="Courier New" w:hAnsi="Courier New"/>
          <w:sz w:val="15"/>
          <w:szCs w:val="15"/>
          <w:color w:val="auto"/>
        </w:rPr>
        <w:t>MARCH 31, 2000</w:t>
      </w:r>
    </w:p>
    <w:p>
      <w:pPr>
        <w:spacing w:after="0" w:line="5" w:lineRule="exact"/>
        <w:rPr>
          <w:sz w:val="20"/>
          <w:szCs w:val="20"/>
          <w:color w:val="auto"/>
        </w:rPr>
      </w:pPr>
    </w:p>
    <w:p>
      <w:pPr>
        <w:jc w:val="center"/>
        <w:ind w:left="46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RATIOS COMPUTED FOR INDUSTRY COMPARISONS:</w:t>
      </w:r>
    </w:p>
    <w:p>
      <w:pPr>
        <w:sectPr>
          <w:pgSz w:w="11900" w:h="16838" w:orient="portrait"/>
          <w:cols w:equalWidth="0" w:num="1">
            <w:col w:w="10239"/>
          </w:cols>
          <w:pgMar w:left="220" w:top="617"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OPERATIONAL RATIOS (1)(2)</w:t>
      </w:r>
    </w:p>
    <w:p>
      <w:pPr>
        <w:ind w:left="360"/>
        <w:spacing w:after="0" w:line="237" w:lineRule="auto"/>
        <w:rPr>
          <w:sz w:val="20"/>
          <w:szCs w:val="20"/>
          <w:color w:val="auto"/>
        </w:rPr>
      </w:pPr>
      <w:r>
        <w:rPr>
          <w:rFonts w:ascii="Courier New" w:cs="Courier New" w:eastAsia="Courier New" w:hAnsi="Courier New"/>
          <w:sz w:val="15"/>
          <w:szCs w:val="15"/>
          <w:color w:val="auto"/>
        </w:rPr>
        <w:t>Debt Service Coverage Ratio</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(EBITDA + Income from Unconsolidated Joint Ventures)/(Interest+Principal)</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Interest Coverage Ratio</w:t>
      </w:r>
    </w:p>
    <w:p>
      <w:pPr>
        <w:ind w:left="540"/>
        <w:spacing w:after="0" w:line="237" w:lineRule="auto"/>
        <w:rPr>
          <w:sz w:val="20"/>
          <w:szCs w:val="20"/>
          <w:color w:val="auto"/>
        </w:rPr>
      </w:pPr>
      <w:r>
        <w:rPr>
          <w:rFonts w:ascii="Courier New" w:cs="Courier New" w:eastAsia="Courier New" w:hAnsi="Courier New"/>
          <w:sz w:val="15"/>
          <w:szCs w:val="15"/>
          <w:color w:val="auto"/>
        </w:rPr>
        <w:t>(EBITDA + Income from Unconsolidated Joint Venture)/Interest</w:t>
      </w:r>
    </w:p>
    <w:p>
      <w:pPr>
        <w:ind w:left="360"/>
        <w:spacing w:after="0" w:line="238" w:lineRule="auto"/>
        <w:rPr>
          <w:sz w:val="20"/>
          <w:szCs w:val="20"/>
          <w:color w:val="auto"/>
        </w:rPr>
      </w:pPr>
      <w:r>
        <w:rPr>
          <w:rFonts w:ascii="Courier New" w:cs="Courier New" w:eastAsia="Courier New" w:hAnsi="Courier New"/>
          <w:sz w:val="15"/>
          <w:szCs w:val="15"/>
          <w:color w:val="auto"/>
        </w:rPr>
        <w:t>Return on Shareholder's Equity</w:t>
      </w:r>
    </w:p>
    <w:p>
      <w:pPr>
        <w:ind w:left="540"/>
        <w:spacing w:after="0"/>
        <w:tabs>
          <w:tab w:leader="none" w:pos="4800" w:val="left"/>
        </w:tabs>
        <w:rPr>
          <w:sz w:val="20"/>
          <w:szCs w:val="20"/>
          <w:color w:val="auto"/>
        </w:rPr>
      </w:pPr>
      <w:r>
        <w:rPr>
          <w:rFonts w:ascii="Courier New" w:cs="Courier New" w:eastAsia="Courier New" w:hAnsi="Courier New"/>
          <w:sz w:val="15"/>
          <w:szCs w:val="15"/>
          <w:color w:val="auto"/>
        </w:rPr>
        <w:t>(EBITDA - Interest)/Average Equity (book value)</w:t>
      </w:r>
      <w:r>
        <w:rPr>
          <w:sz w:val="20"/>
          <w:szCs w:val="20"/>
          <w:color w:val="auto"/>
        </w:rPr>
        <w:tab/>
      </w:r>
      <w:r>
        <w:rPr>
          <w:rFonts w:ascii="Courier New" w:cs="Courier New" w:eastAsia="Courier New" w:hAnsi="Courier New"/>
          <w:sz w:val="14"/>
          <w:szCs w:val="14"/>
          <w:color w:val="auto"/>
        </w:rPr>
        <w:t>(%)</w:t>
      </w:r>
    </w:p>
    <w:p>
      <w:pPr>
        <w:ind w:left="360"/>
        <w:spacing w:after="0" w:line="238" w:lineRule="auto"/>
        <w:rPr>
          <w:sz w:val="20"/>
          <w:szCs w:val="20"/>
          <w:color w:val="auto"/>
        </w:rPr>
      </w:pPr>
      <w:r>
        <w:rPr>
          <w:rFonts w:ascii="Courier New" w:cs="Courier New" w:eastAsia="Courier New" w:hAnsi="Courier New"/>
          <w:sz w:val="15"/>
          <w:szCs w:val="15"/>
          <w:color w:val="auto"/>
        </w:rPr>
        <w:t>Return on Real Estate Investments</w:t>
      </w:r>
    </w:p>
    <w:p>
      <w:pPr>
        <w:ind w:left="540"/>
        <w:spacing w:after="0" w:line="237" w:lineRule="auto"/>
        <w:rPr>
          <w:sz w:val="20"/>
          <w:szCs w:val="20"/>
          <w:color w:val="auto"/>
        </w:rPr>
      </w:pPr>
      <w:r>
        <w:rPr>
          <w:rFonts w:ascii="Courier New" w:cs="Courier New" w:eastAsia="Courier New" w:hAnsi="Courier New"/>
          <w:sz w:val="15"/>
          <w:szCs w:val="15"/>
          <w:color w:val="auto"/>
        </w:rPr>
        <w:t>(EBITDA/Average Real Estate Investments (book value)) (%)</w:t>
      </w:r>
    </w:p>
    <w:p>
      <w:pPr>
        <w:ind w:left="360"/>
        <w:spacing w:after="0" w:line="238" w:lineRule="auto"/>
        <w:rPr>
          <w:sz w:val="20"/>
          <w:szCs w:val="20"/>
          <w:color w:val="auto"/>
        </w:rPr>
      </w:pPr>
      <w:r>
        <w:rPr>
          <w:rFonts w:ascii="Courier New" w:cs="Courier New" w:eastAsia="Courier New" w:hAnsi="Courier New"/>
          <w:sz w:val="15"/>
          <w:szCs w:val="15"/>
          <w:color w:val="auto"/>
        </w:rPr>
        <w:t>FFO Payout Ratio</w:t>
      </w:r>
    </w:p>
    <w:p>
      <w:pPr>
        <w:ind w:left="540"/>
        <w:spacing w:after="0" w:line="237" w:lineRule="auto"/>
        <w:rPr>
          <w:sz w:val="20"/>
          <w:szCs w:val="20"/>
          <w:color w:val="auto"/>
        </w:rPr>
      </w:pPr>
      <w:r>
        <w:rPr>
          <w:rFonts w:ascii="Courier New" w:cs="Courier New" w:eastAsia="Courier New" w:hAnsi="Courier New"/>
          <w:sz w:val="15"/>
          <w:szCs w:val="15"/>
          <w:color w:val="auto"/>
        </w:rPr>
        <w:t>(Dividends Declared/FFO)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5"/>
          <w:szCs w:val="15"/>
          <w:color w:val="auto"/>
        </w:rPr>
        <w:t>2.25</w:t>
      </w:r>
    </w:p>
    <w:p>
      <w:pPr>
        <w:spacing w:after="0" w:line="166"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5"/>
          <w:szCs w:val="15"/>
          <w:color w:val="auto"/>
        </w:rPr>
        <w:t>2.53</w:t>
      </w:r>
    </w:p>
    <w:p>
      <w:pPr>
        <w:spacing w:after="0" w:line="173"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4"/>
          <w:szCs w:val="14"/>
          <w:color w:val="auto"/>
        </w:rPr>
        <w:t>16.52%</w:t>
      </w:r>
    </w:p>
    <w:p>
      <w:pPr>
        <w:spacing w:after="0" w:line="178"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4"/>
          <w:szCs w:val="14"/>
          <w:color w:val="auto"/>
        </w:rPr>
        <w:t>10.40%</w:t>
      </w:r>
    </w:p>
    <w:p>
      <w:pPr>
        <w:spacing w:after="0" w:line="178"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4"/>
          <w:szCs w:val="14"/>
          <w:color w:val="auto"/>
        </w:rPr>
        <w:t>57.70%</w:t>
      </w:r>
    </w:p>
    <w:p>
      <w:pPr>
        <w:spacing w:after="0" w:line="372" w:lineRule="exact"/>
        <w:rPr>
          <w:sz w:val="20"/>
          <w:szCs w:val="20"/>
          <w:color w:val="auto"/>
        </w:rPr>
      </w:pPr>
    </w:p>
    <w:p>
      <w:pPr>
        <w:sectPr>
          <w:pgSz w:w="11900" w:h="16838" w:orient="portrait"/>
          <w:cols w:equalWidth="0" w:num="2">
            <w:col w:w="7160" w:space="720"/>
            <w:col w:w="2359"/>
          </w:cols>
          <w:pgMar w:left="220" w:top="617" w:right="1440" w:bottom="1440" w:gutter="0" w:footer="0" w:header="0"/>
          <w:type w:val="continuous"/>
        </w:sectPr>
      </w:pPr>
    </w:p>
    <w:p>
      <w:pPr>
        <w:spacing w:after="0" w:line="142" w:lineRule="exact"/>
        <w:rPr>
          <w:sz w:val="20"/>
          <w:szCs w:val="20"/>
          <w:color w:val="auto"/>
        </w:rPr>
      </w:pPr>
    </w:p>
    <w:p>
      <w:pPr>
        <w:ind w:left="440" w:right="3839" w:hanging="430"/>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equal to earnings before interest, taxes, depreciation and amortization.</w:t>
      </w:r>
    </w:p>
    <w:p>
      <w:pPr>
        <w:ind w:left="440" w:hanging="430"/>
        <w:spacing w:after="0" w:line="237"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FFO is calculated based on the NAREIT White Paper.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type w:val="continuous"/>
        </w:sectPr>
      </w:pPr>
    </w:p>
    <w:bookmarkStart w:id="13" w:name="page14"/>
    <w:bookmarkEnd w:id="13"/>
    <w:p>
      <w:pPr>
        <w:ind w:left="254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CAPITAL STRUCTURE</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DEBT</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480"/>
        <w:spacing w:after="0"/>
        <w:rPr>
          <w:sz w:val="20"/>
          <w:szCs w:val="20"/>
          <w:color w:val="auto"/>
        </w:rPr>
      </w:pPr>
      <w:r>
        <w:rPr>
          <w:rFonts w:ascii="Courier New" w:cs="Courier New" w:eastAsia="Courier New" w:hAnsi="Courier New"/>
          <w:sz w:val="14"/>
          <w:szCs w:val="14"/>
          <w:color w:val="auto"/>
        </w:rPr>
        <w:t>AGGREGATE PRINCIPAL</w:t>
      </w:r>
    </w:p>
    <w:p>
      <w:pPr>
        <w:spacing w:after="0" w:line="3" w:lineRule="exact"/>
        <w:rPr>
          <w:sz w:val="20"/>
          <w:szCs w:val="20"/>
          <w:color w:val="auto"/>
        </w:rPr>
      </w:pPr>
    </w:p>
    <w:p>
      <w:pPr>
        <w:ind w:left="6660"/>
        <w:spacing w:after="0"/>
        <w:rPr>
          <w:sz w:val="20"/>
          <w:szCs w:val="20"/>
          <w:color w:val="auto"/>
        </w:rPr>
      </w:pPr>
      <w:r>
        <w:rPr>
          <w:rFonts w:ascii="Courier New" w:cs="Courier New" w:eastAsia="Courier New" w:hAnsi="Courier New"/>
          <w:sz w:val="15"/>
          <w:szCs w:val="15"/>
          <w:color w:val="auto"/>
        </w:rPr>
        <w:t>MARCH 31, 2000</w:t>
      </w:r>
    </w:p>
    <w:p>
      <w:pPr>
        <w:ind w:left="666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7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 Loans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$ 3,186,399</w:t>
      </w:r>
    </w:p>
    <w:p>
      <w:pPr>
        <w:spacing w:after="0" w:line="171" w:lineRule="exact"/>
        <w:rPr>
          <w:sz w:val="20"/>
          <w:szCs w:val="20"/>
          <w:color w:val="auto"/>
        </w:rPr>
      </w:pPr>
    </w:p>
    <w:p>
      <w:pPr>
        <w:sectPr>
          <w:pgSz w:w="11900" w:h="16838" w:orient="portrait"/>
          <w:cols w:equalWidth="0" w:num="2">
            <w:col w:w="6120" w:space="720"/>
            <w:col w:w="3399"/>
          </w:cols>
          <w:pgMar w:left="220" w:top="78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Unsecured Line of Credit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5"/>
          <w:szCs w:val="15"/>
          <w:color w:val="auto"/>
        </w:rPr>
        <w:t>344,000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6120" w:space="720"/>
            <w:col w:w="3399"/>
          </w:cols>
          <w:pgMar w:left="220" w:top="78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$ 3,530,399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6120" w:space="720"/>
            <w:col w:w="3399"/>
          </w:cols>
          <w:pgMar w:left="220" w:top="785" w:right="1440"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EQUITY</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(in thousands)</w:t>
      </w:r>
    </w:p>
    <w:p>
      <w:pPr>
        <w:sectPr>
          <w:pgSz w:w="11900" w:h="16838" w:orient="portrait"/>
          <w:cols w:equalWidth="0" w:num="1">
            <w:col w:w="10239"/>
          </w:cols>
          <w:pgMar w:left="220" w:top="7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SHARES &amp; UNITS</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OUTSTANDING</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w:t>
      </w:r>
    </w:p>
    <w:p>
      <w:pPr>
        <w:ind w:left="260"/>
        <w:spacing w:after="0" w:line="237" w:lineRule="auto"/>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EQUIVALENTS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EQUIVALENT (1)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4640" w:space="360"/>
            <w:col w:w="960" w:space="700"/>
            <w:col w:w="357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Common Stock</w:t>
      </w:r>
    </w:p>
    <w:p>
      <w:pPr>
        <w:spacing w:after="0" w:line="237" w:lineRule="auto"/>
        <w:rPr>
          <w:sz w:val="20"/>
          <w:szCs w:val="20"/>
          <w:color w:val="auto"/>
        </w:rPr>
      </w:pPr>
      <w:r>
        <w:rPr>
          <w:rFonts w:ascii="Courier New" w:cs="Courier New" w:eastAsia="Courier New" w:hAnsi="Courier New"/>
          <w:sz w:val="15"/>
          <w:szCs w:val="15"/>
          <w:color w:val="auto"/>
        </w:rPr>
        <w:t>Preferred Stock</w:t>
      </w:r>
    </w:p>
    <w:p>
      <w:pPr>
        <w:spacing w:after="0" w:line="238" w:lineRule="auto"/>
        <w:rPr>
          <w:sz w:val="20"/>
          <w:szCs w:val="20"/>
          <w:color w:val="auto"/>
        </w:rPr>
      </w:pPr>
      <w:r>
        <w:rPr>
          <w:rFonts w:ascii="Courier New" w:cs="Courier New" w:eastAsia="Courier New" w:hAnsi="Courier New"/>
          <w:sz w:val="15"/>
          <w:szCs w:val="15"/>
          <w:color w:val="auto"/>
        </w:rPr>
        <w:t>Operating Partnership Units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Operating Partnership Units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Equity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Market Capitalization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67,954</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24,386</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8,713</w:t>
      </w:r>
    </w:p>
    <w:p>
      <w:pPr>
        <w:spacing w:after="0" w:line="20" w:lineRule="exact"/>
        <w:rPr>
          <w:sz w:val="20"/>
          <w:szCs w:val="20"/>
          <w:color w:val="auto"/>
        </w:rPr>
      </w:pPr>
      <w:r>
        <w:rPr>
          <w:sz w:val="20"/>
          <w:szCs w:val="20"/>
          <w:color w:val="auto"/>
        </w:rPr>
        <w:br w:type="column"/>
      </w:r>
    </w:p>
    <w:p>
      <w:pPr>
        <w:jc w:val="right"/>
        <w:ind w:right="340"/>
        <w:spacing w:after="0"/>
        <w:rPr>
          <w:sz w:val="20"/>
          <w:szCs w:val="20"/>
          <w:color w:val="auto"/>
        </w:rPr>
      </w:pPr>
      <w:r>
        <w:rPr>
          <w:rFonts w:ascii="Courier New" w:cs="Courier New" w:eastAsia="Courier New" w:hAnsi="Courier New"/>
          <w:sz w:val="15"/>
          <w:szCs w:val="15"/>
          <w:color w:val="auto"/>
        </w:rPr>
        <w:t>67,954</w:t>
      </w:r>
    </w:p>
    <w:p>
      <w:pPr>
        <w:jc w:val="right"/>
        <w:ind w:right="340"/>
        <w:spacing w:after="0" w:line="237" w:lineRule="auto"/>
        <w:rPr>
          <w:sz w:val="20"/>
          <w:szCs w:val="20"/>
          <w:color w:val="auto"/>
        </w:rPr>
      </w:pPr>
      <w:r>
        <w:rPr>
          <w:rFonts w:ascii="Courier New" w:cs="Courier New" w:eastAsia="Courier New" w:hAnsi="Courier New"/>
          <w:sz w:val="15"/>
          <w:szCs w:val="15"/>
          <w:color w:val="auto"/>
        </w:rPr>
        <w:t>2,625</w:t>
      </w:r>
    </w:p>
    <w:p>
      <w:pPr>
        <w:jc w:val="right"/>
        <w:ind w:right="340"/>
        <w:spacing w:after="0" w:line="238" w:lineRule="auto"/>
        <w:rPr>
          <w:sz w:val="20"/>
          <w:szCs w:val="20"/>
          <w:color w:val="auto"/>
        </w:rPr>
      </w:pPr>
      <w:r>
        <w:rPr>
          <w:rFonts w:ascii="Courier New" w:cs="Courier New" w:eastAsia="Courier New" w:hAnsi="Courier New"/>
          <w:sz w:val="15"/>
          <w:szCs w:val="15"/>
          <w:color w:val="auto"/>
        </w:rPr>
        <w:t>24,386</w:t>
      </w:r>
    </w:p>
    <w:p>
      <w:pPr>
        <w:jc w:val="right"/>
        <w:ind w:right="340"/>
        <w:spacing w:after="0" w:line="237" w:lineRule="auto"/>
        <w:rPr>
          <w:sz w:val="20"/>
          <w:szCs w:val="20"/>
          <w:color w:val="auto"/>
        </w:rPr>
      </w:pPr>
      <w:r>
        <w:rPr>
          <w:rFonts w:ascii="Courier New" w:cs="Courier New" w:eastAsia="Courier New" w:hAnsi="Courier New"/>
          <w:sz w:val="15"/>
          <w:szCs w:val="15"/>
          <w:color w:val="auto"/>
        </w:rPr>
        <w:t>10,376</w:t>
      </w:r>
    </w:p>
    <w:p>
      <w:pPr>
        <w:jc w:val="right"/>
        <w:ind w:right="34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4"/>
          <w:szCs w:val="14"/>
          <w:color w:val="auto"/>
        </w:rPr>
        <w:t>105,341</w:t>
      </w:r>
    </w:p>
    <w:p>
      <w:pPr>
        <w:spacing w:after="0" w:line="10"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2439"/>
        <w:spacing w:after="0"/>
        <w:rPr>
          <w:sz w:val="20"/>
          <w:szCs w:val="20"/>
          <w:color w:val="auto"/>
        </w:rPr>
      </w:pPr>
      <w:r>
        <w:rPr>
          <w:rFonts w:ascii="Courier New" w:cs="Courier New" w:eastAsia="Courier New" w:hAnsi="Courier New"/>
          <w:sz w:val="14"/>
          <w:szCs w:val="14"/>
          <w:color w:val="auto"/>
        </w:rPr>
        <w:t>$ 2,161,787</w:t>
      </w:r>
    </w:p>
    <w:p>
      <w:pPr>
        <w:spacing w:after="0" w:line="3" w:lineRule="exact"/>
        <w:rPr>
          <w:sz w:val="20"/>
          <w:szCs w:val="20"/>
          <w:color w:val="auto"/>
        </w:rPr>
      </w:pPr>
    </w:p>
    <w:p>
      <w:pPr>
        <w:jc w:val="right"/>
        <w:ind w:right="2439"/>
        <w:spacing w:after="0"/>
        <w:rPr>
          <w:sz w:val="20"/>
          <w:szCs w:val="20"/>
          <w:color w:val="auto"/>
        </w:rPr>
      </w:pPr>
      <w:r>
        <w:rPr>
          <w:rFonts w:ascii="Courier New" w:cs="Courier New" w:eastAsia="Courier New" w:hAnsi="Courier New"/>
          <w:sz w:val="15"/>
          <w:szCs w:val="15"/>
          <w:color w:val="auto"/>
        </w:rPr>
        <w:t>83,508</w:t>
      </w:r>
    </w:p>
    <w:p>
      <w:pPr>
        <w:jc w:val="right"/>
        <w:ind w:right="2439"/>
        <w:spacing w:after="0" w:line="237" w:lineRule="auto"/>
        <w:rPr>
          <w:sz w:val="20"/>
          <w:szCs w:val="20"/>
          <w:color w:val="auto"/>
        </w:rPr>
      </w:pPr>
      <w:r>
        <w:rPr>
          <w:rFonts w:ascii="Courier New" w:cs="Courier New" w:eastAsia="Courier New" w:hAnsi="Courier New"/>
          <w:sz w:val="15"/>
          <w:szCs w:val="15"/>
          <w:color w:val="auto"/>
        </w:rPr>
        <w:t>775,780</w:t>
      </w:r>
    </w:p>
    <w:p>
      <w:pPr>
        <w:jc w:val="right"/>
        <w:ind w:right="2439"/>
        <w:spacing w:after="0" w:line="238" w:lineRule="auto"/>
        <w:rPr>
          <w:sz w:val="20"/>
          <w:szCs w:val="20"/>
          <w:color w:val="auto"/>
        </w:rPr>
      </w:pPr>
      <w:r>
        <w:rPr>
          <w:rFonts w:ascii="Courier New" w:cs="Courier New" w:eastAsia="Courier New" w:hAnsi="Courier New"/>
          <w:sz w:val="15"/>
          <w:szCs w:val="15"/>
          <w:color w:val="auto"/>
        </w:rPr>
        <w:t>330,087</w:t>
      </w:r>
    </w:p>
    <w:p>
      <w:pPr>
        <w:spacing w:after="0" w:line="5" w:lineRule="exact"/>
        <w:rPr>
          <w:sz w:val="20"/>
          <w:szCs w:val="20"/>
          <w:color w:val="auto"/>
        </w:rPr>
      </w:pPr>
    </w:p>
    <w:p>
      <w:pPr>
        <w:jc w:val="right"/>
        <w:ind w:right="2439"/>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jc w:val="right"/>
        <w:ind w:right="2439"/>
        <w:spacing w:after="0"/>
        <w:rPr>
          <w:sz w:val="20"/>
          <w:szCs w:val="20"/>
          <w:color w:val="auto"/>
        </w:rPr>
      </w:pPr>
      <w:r>
        <w:rPr>
          <w:rFonts w:ascii="Courier New" w:cs="Courier New" w:eastAsia="Courier New" w:hAnsi="Courier New"/>
          <w:sz w:val="14"/>
          <w:szCs w:val="14"/>
          <w:color w:val="auto"/>
        </w:rPr>
        <w:t>$ 3,351,161</w:t>
      </w:r>
    </w:p>
    <w:p>
      <w:pPr>
        <w:spacing w:after="0" w:line="10" w:lineRule="exact"/>
        <w:rPr>
          <w:sz w:val="20"/>
          <w:szCs w:val="20"/>
          <w:color w:val="auto"/>
        </w:rPr>
      </w:pPr>
    </w:p>
    <w:p>
      <w:pPr>
        <w:jc w:val="right"/>
        <w:ind w:right="2439"/>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jc w:val="right"/>
        <w:ind w:right="2439"/>
        <w:spacing w:after="0"/>
        <w:rPr>
          <w:sz w:val="20"/>
          <w:szCs w:val="20"/>
          <w:color w:val="auto"/>
        </w:rPr>
      </w:pPr>
      <w:r>
        <w:rPr>
          <w:rFonts w:ascii="Courier New" w:cs="Courier New" w:eastAsia="Courier New" w:hAnsi="Courier New"/>
          <w:sz w:val="14"/>
          <w:szCs w:val="14"/>
          <w:color w:val="auto"/>
        </w:rPr>
        <w:t>$ 6,881,560</w:t>
      </w:r>
    </w:p>
    <w:p>
      <w:pPr>
        <w:spacing w:after="0" w:line="10" w:lineRule="exact"/>
        <w:rPr>
          <w:sz w:val="20"/>
          <w:szCs w:val="20"/>
          <w:color w:val="auto"/>
        </w:rPr>
      </w:pPr>
    </w:p>
    <w:p>
      <w:pPr>
        <w:jc w:val="right"/>
        <w:ind w:right="243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3240" w:space="540"/>
            <w:col w:w="680" w:space="720"/>
            <w:col w:w="940" w:space="720"/>
            <w:col w:w="3399"/>
          </w:cols>
          <w:pgMar w:left="220" w:top="785" w:right="1440" w:bottom="1440" w:gutter="0" w:footer="0" w:header="0"/>
          <w:type w:val="continuous"/>
        </w:sectPr>
      </w:pPr>
    </w:p>
    <w:p>
      <w:pPr>
        <w:spacing w:after="0" w:line="314" w:lineRule="exact"/>
        <w:rPr>
          <w:sz w:val="20"/>
          <w:szCs w:val="20"/>
          <w:color w:val="auto"/>
        </w:rPr>
      </w:pPr>
    </w:p>
    <w:p>
      <w:pPr>
        <w:ind w:left="3420" w:right="4899" w:hanging="3410"/>
        <w:spacing w:after="0" w:line="703" w:lineRule="auto"/>
        <w:tabs>
          <w:tab w:leader="none" w:pos="44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based on March 31, 2000 closing price of $31.8125. 10</w:t>
      </w:r>
    </w:p>
    <w:p>
      <w:pPr>
        <w:sectPr>
          <w:pgSz w:w="11900" w:h="16838" w:orient="portrait"/>
          <w:cols w:equalWidth="0" w:num="1">
            <w:col w:w="10239"/>
          </w:cols>
          <w:pgMar w:left="220" w:top="785" w:right="1440" w:bottom="1440" w:gutter="0" w:footer="0" w:header="0"/>
          <w:type w:val="continuous"/>
        </w:sectPr>
      </w:pPr>
    </w:p>
    <w:bookmarkStart w:id="14" w:name="page15"/>
    <w:bookmarkEnd w:id="14"/>
    <w:p>
      <w:pPr>
        <w:ind w:left="254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DEBT ANALYSIS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LONG-TERM DEBT MATURITIES AND PRINCIPAL PAYMENTS</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4"/>
              </w:rPr>
              <w:t>YEAR</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2002</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4"/>
              </w:rPr>
              <w:t>2003</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4"/>
              </w:rPr>
              <w:t>2004</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THEREAFTER</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8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9"/>
              </w:rPr>
              <w:t>Amount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$ 259,955</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$ 158,784</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$ 444,983</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7"/>
              </w:rPr>
              <w:t>$696,767</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7"/>
              </w:rPr>
              <w:t>$124,593</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$ 1,845,317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$ 3,530,399</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UNSECURED LINE OF CREDIT - DUE MARCH 31, 2003</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14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OUTSTANDING</w:t>
            </w:r>
          </w:p>
        </w:tc>
        <w:tc>
          <w:tcPr>
            <w:tcW w:w="2500" w:type="dxa"/>
            <w:vAlign w:val="bottom"/>
          </w:tcPr>
          <w:p>
            <w:pPr>
              <w:ind w:left="1240"/>
              <w:spacing w:after="0"/>
              <w:rPr>
                <w:sz w:val="20"/>
                <w:szCs w:val="20"/>
                <w:color w:val="auto"/>
              </w:rPr>
            </w:pPr>
            <w:r>
              <w:rPr>
                <w:rFonts w:ascii="Courier New" w:cs="Courier New" w:eastAsia="Courier New" w:hAnsi="Courier New"/>
                <w:sz w:val="15"/>
                <w:szCs w:val="15"/>
                <w:color w:val="auto"/>
              </w:rPr>
              <w:t>LETTERS OF</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w w:val="93"/>
              </w:rPr>
              <w:t>REMAINING</w:t>
            </w:r>
          </w:p>
        </w:tc>
        <w:tc>
          <w:tcPr>
            <w:tcW w:w="880" w:type="dxa"/>
            <w:vAlign w:val="bottom"/>
          </w:tcPr>
          <w:p>
            <w:pPr>
              <w:spacing w:after="0"/>
              <w:rPr>
                <w:sz w:val="14"/>
                <w:szCs w:val="1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14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 3/31/2000</w:t>
            </w:r>
          </w:p>
        </w:tc>
        <w:tc>
          <w:tcPr>
            <w:tcW w:w="2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CREDIT</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CAPACITY</w:t>
            </w:r>
          </w:p>
        </w:tc>
        <w:tc>
          <w:tcPr>
            <w:tcW w:w="880" w:type="dxa"/>
            <w:vAlign w:val="bottom"/>
          </w:tcPr>
          <w:p>
            <w:pPr>
              <w:spacing w:after="0"/>
              <w:rPr>
                <w:sz w:val="14"/>
                <w:szCs w:val="1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$ 500,000</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0  344,000</w:t>
            </w:r>
          </w:p>
        </w:tc>
        <w:tc>
          <w:tcPr>
            <w:tcW w:w="2500" w:type="dxa"/>
            <w:vAlign w:val="bottom"/>
          </w:tcPr>
          <w:p>
            <w:pPr>
              <w:ind w:left="1320"/>
              <w:spacing w:after="0"/>
              <w:rPr>
                <w:sz w:val="20"/>
                <w:szCs w:val="20"/>
                <w:color w:val="auto"/>
              </w:rPr>
            </w:pPr>
            <w:r>
              <w:rPr>
                <w:rFonts w:ascii="Courier New" w:cs="Courier New" w:eastAsia="Courier New" w:hAnsi="Courier New"/>
                <w:sz w:val="15"/>
                <w:szCs w:val="15"/>
                <w:color w:val="auto"/>
              </w:rPr>
              <w:t>32,542</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$123,458</w:t>
            </w:r>
          </w:p>
        </w:tc>
        <w:tc>
          <w:tcPr>
            <w:tcW w:w="880" w:type="dxa"/>
            <w:vAlign w:val="bottom"/>
          </w:tcPr>
          <w:p>
            <w:pPr>
              <w:spacing w:after="0"/>
              <w:rPr>
                <w:sz w:val="24"/>
                <w:szCs w:val="24"/>
                <w:color w:val="auto"/>
              </w:rPr>
            </w:pPr>
          </w:p>
        </w:tc>
      </w:tr>
      <w:tr>
        <w:trPr>
          <w:trHeight w:val="673"/>
        </w:trPr>
        <w:tc>
          <w:tcPr>
            <w:tcW w:w="1760" w:type="dxa"/>
            <w:vAlign w:val="bottom"/>
          </w:tcPr>
          <w:p>
            <w:pPr>
              <w:spacing w:after="0"/>
              <w:rPr>
                <w:sz w:val="24"/>
                <w:szCs w:val="24"/>
                <w:color w:val="auto"/>
              </w:rPr>
            </w:pPr>
          </w:p>
        </w:tc>
        <w:tc>
          <w:tcPr>
            <w:tcW w:w="39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UNSECURED AND SECURED DEBT ANALYSIS</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841"/>
        </w:trPr>
        <w:tc>
          <w:tcPr>
            <w:tcW w:w="1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WEIGHTED</w:t>
            </w:r>
          </w:p>
        </w:tc>
        <w:tc>
          <w:tcPr>
            <w:tcW w:w="206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5"/>
              </w:rPr>
              <w:t>WEIGHTED AVERAGE</w:t>
            </w:r>
          </w:p>
        </w:tc>
      </w:tr>
      <w:tr>
        <w:trPr>
          <w:trHeight w:val="168"/>
        </w:trPr>
        <w:tc>
          <w:tcPr>
            <w:tcW w:w="176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OF DEBT</w:t>
            </w:r>
          </w:p>
        </w:tc>
        <w:tc>
          <w:tcPr>
            <w:tcW w:w="25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AVERAGE RATE</w:t>
            </w:r>
          </w:p>
        </w:tc>
        <w:tc>
          <w:tcPr>
            <w:tcW w:w="206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rPr>
              <w:t>MATURITY</w:t>
            </w:r>
          </w:p>
        </w:tc>
      </w:tr>
      <w:tr>
        <w:trPr>
          <w:trHeight w:val="168"/>
        </w:trPr>
        <w:tc>
          <w:tcPr>
            <w:tcW w:w="176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Unsecured Debt</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9.74%</w:t>
            </w:r>
          </w:p>
        </w:tc>
        <w:tc>
          <w:tcPr>
            <w:tcW w:w="2500" w:type="dxa"/>
            <w:vAlign w:val="bottom"/>
          </w:tcPr>
          <w:p>
            <w:pPr>
              <w:ind w:left="1320"/>
              <w:spacing w:after="0"/>
              <w:rPr>
                <w:sz w:val="20"/>
                <w:szCs w:val="20"/>
                <w:color w:val="auto"/>
              </w:rPr>
            </w:pPr>
            <w:r>
              <w:rPr>
                <w:rFonts w:ascii="Courier New" w:cs="Courier New" w:eastAsia="Courier New" w:hAnsi="Courier New"/>
                <w:sz w:val="15"/>
                <w:szCs w:val="15"/>
                <w:color w:val="auto"/>
              </w:rPr>
              <w:t>7.64%</w:t>
            </w:r>
          </w:p>
        </w:tc>
        <w:tc>
          <w:tcPr>
            <w:tcW w:w="2060" w:type="dxa"/>
            <w:vAlign w:val="bottom"/>
            <w:gridSpan w:val="2"/>
          </w:tcPr>
          <w:p>
            <w:pPr>
              <w:jc w:val="center"/>
              <w:ind w:left="667"/>
              <w:spacing w:after="0"/>
              <w:rPr>
                <w:sz w:val="20"/>
                <w:szCs w:val="20"/>
                <w:color w:val="auto"/>
              </w:rPr>
            </w:pPr>
            <w:r>
              <w:rPr>
                <w:rFonts w:ascii="Courier New" w:cs="Courier New" w:eastAsia="Courier New" w:hAnsi="Courier New"/>
                <w:sz w:val="15"/>
                <w:szCs w:val="15"/>
                <w:color w:val="auto"/>
                <w:w w:val="98"/>
              </w:rPr>
              <w:t>3.0 years</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Secured Debt</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90.26%</w:t>
            </w:r>
          </w:p>
        </w:tc>
        <w:tc>
          <w:tcPr>
            <w:tcW w:w="25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7.03%</w:t>
            </w:r>
          </w:p>
        </w:tc>
        <w:tc>
          <w:tcPr>
            <w:tcW w:w="2060" w:type="dxa"/>
            <w:vAlign w:val="bottom"/>
            <w:gridSpan w:val="2"/>
          </w:tcPr>
          <w:p>
            <w:pPr>
              <w:jc w:val="center"/>
              <w:ind w:left="667"/>
              <w:spacing w:after="0" w:line="168" w:lineRule="exact"/>
              <w:rPr>
                <w:sz w:val="20"/>
                <w:szCs w:val="20"/>
                <w:color w:val="auto"/>
              </w:rPr>
            </w:pPr>
            <w:r>
              <w:rPr>
                <w:rFonts w:ascii="Courier New" w:cs="Courier New" w:eastAsia="Courier New" w:hAnsi="Courier New"/>
                <w:sz w:val="15"/>
                <w:szCs w:val="15"/>
                <w:color w:val="auto"/>
                <w:w w:val="98"/>
              </w:rPr>
              <w:t>5.7 years</w:t>
            </w:r>
          </w:p>
        </w:tc>
      </w:tr>
      <w:tr>
        <w:trPr>
          <w:trHeight w:val="168"/>
        </w:trPr>
        <w:tc>
          <w:tcPr>
            <w:tcW w:w="176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Debt</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100.00%</w:t>
            </w:r>
          </w:p>
        </w:tc>
        <w:tc>
          <w:tcPr>
            <w:tcW w:w="25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7.09%</w:t>
            </w:r>
          </w:p>
        </w:tc>
        <w:tc>
          <w:tcPr>
            <w:tcW w:w="2060" w:type="dxa"/>
            <w:vAlign w:val="bottom"/>
            <w:gridSpan w:val="2"/>
          </w:tcPr>
          <w:p>
            <w:pPr>
              <w:jc w:val="center"/>
              <w:ind w:left="667"/>
              <w:spacing w:after="0" w:line="168" w:lineRule="exact"/>
              <w:rPr>
                <w:sz w:val="20"/>
                <w:szCs w:val="20"/>
                <w:color w:val="auto"/>
              </w:rPr>
            </w:pPr>
            <w:r>
              <w:rPr>
                <w:rFonts w:ascii="Courier New" w:cs="Courier New" w:eastAsia="Courier New" w:hAnsi="Courier New"/>
                <w:sz w:val="15"/>
                <w:szCs w:val="15"/>
                <w:color w:val="auto"/>
                <w:w w:val="98"/>
              </w:rPr>
              <w:t>5.5 years</w:t>
            </w:r>
          </w:p>
        </w:tc>
      </w:tr>
      <w:tr>
        <w:trPr>
          <w:trHeight w:val="168"/>
        </w:trPr>
        <w:tc>
          <w:tcPr>
            <w:tcW w:w="176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1760" w:type="dxa"/>
            <w:vAlign w:val="bottom"/>
          </w:tcPr>
          <w:p>
            <w:pPr>
              <w:spacing w:after="0"/>
              <w:rPr>
                <w:sz w:val="24"/>
                <w:szCs w:val="24"/>
                <w:color w:val="auto"/>
              </w:rPr>
            </w:pPr>
          </w:p>
        </w:tc>
        <w:tc>
          <w:tcPr>
            <w:tcW w:w="398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FLOATING AND FIXED RATE DEBT ANALYSIS</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73"/>
        </w:trPr>
        <w:tc>
          <w:tcPr>
            <w:tcW w:w="1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00" w:type="dxa"/>
            <w:vAlign w:val="bottom"/>
          </w:tcPr>
          <w:p>
            <w:pPr>
              <w:ind w:left="960"/>
              <w:spacing w:after="0"/>
              <w:rPr>
                <w:sz w:val="20"/>
                <w:szCs w:val="20"/>
                <w:color w:val="auto"/>
              </w:rPr>
            </w:pPr>
            <w:r>
              <w:rPr>
                <w:rFonts w:ascii="Courier New" w:cs="Courier New" w:eastAsia="Courier New" w:hAnsi="Courier New"/>
                <w:sz w:val="15"/>
                <w:szCs w:val="15"/>
                <w:color w:val="auto"/>
              </w:rPr>
              <w:t>WEIGHTED</w:t>
            </w:r>
          </w:p>
        </w:tc>
        <w:tc>
          <w:tcPr>
            <w:tcW w:w="206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WEIGHTED AVERAGE</w:t>
            </w:r>
          </w:p>
        </w:tc>
      </w:tr>
      <w:tr>
        <w:trPr>
          <w:trHeight w:val="168"/>
        </w:trPr>
        <w:tc>
          <w:tcPr>
            <w:tcW w:w="1760" w:type="dxa"/>
            <w:vAlign w:val="bottom"/>
          </w:tcPr>
          <w:p>
            <w:pPr>
              <w:spacing w:after="0"/>
              <w:rPr>
                <w:sz w:val="14"/>
                <w:szCs w:val="14"/>
                <w:color w:val="auto"/>
              </w:rPr>
            </w:pPr>
          </w:p>
        </w:tc>
        <w:tc>
          <w:tcPr>
            <w:tcW w:w="14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 OF DEBT</w:t>
            </w:r>
          </w:p>
        </w:tc>
        <w:tc>
          <w:tcPr>
            <w:tcW w:w="25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AVERAGE RATE</w:t>
            </w:r>
          </w:p>
        </w:tc>
        <w:tc>
          <w:tcPr>
            <w:tcW w:w="2060" w:type="dxa"/>
            <w:vAlign w:val="bottom"/>
            <w:gridSpan w:val="2"/>
          </w:tcPr>
          <w:p>
            <w:pPr>
              <w:ind w:left="820"/>
              <w:spacing w:after="0" w:line="168" w:lineRule="exact"/>
              <w:rPr>
                <w:sz w:val="20"/>
                <w:szCs w:val="20"/>
                <w:color w:val="auto"/>
              </w:rPr>
            </w:pPr>
            <w:r>
              <w:rPr>
                <w:rFonts w:ascii="Courier New" w:cs="Courier New" w:eastAsia="Courier New" w:hAnsi="Courier New"/>
                <w:sz w:val="15"/>
                <w:szCs w:val="15"/>
                <w:color w:val="auto"/>
              </w:rPr>
              <w:t>MATURITY</w:t>
            </w:r>
          </w:p>
        </w:tc>
      </w:tr>
      <w:tr>
        <w:trPr>
          <w:trHeight w:val="168"/>
        </w:trPr>
        <w:tc>
          <w:tcPr>
            <w:tcW w:w="176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Floating Rate Debt</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18.14%</w:t>
            </w:r>
          </w:p>
        </w:tc>
        <w:tc>
          <w:tcPr>
            <w:tcW w:w="2500" w:type="dxa"/>
            <w:vAlign w:val="bottom"/>
          </w:tcPr>
          <w:p>
            <w:pPr>
              <w:ind w:left="1320"/>
              <w:spacing w:after="0"/>
              <w:rPr>
                <w:sz w:val="20"/>
                <w:szCs w:val="20"/>
                <w:color w:val="auto"/>
              </w:rPr>
            </w:pPr>
            <w:r>
              <w:rPr>
                <w:rFonts w:ascii="Courier New" w:cs="Courier New" w:eastAsia="Courier New" w:hAnsi="Courier New"/>
                <w:sz w:val="15"/>
                <w:szCs w:val="15"/>
                <w:color w:val="auto"/>
              </w:rPr>
              <w:t>7.77%</w:t>
            </w:r>
          </w:p>
        </w:tc>
        <w:tc>
          <w:tcPr>
            <w:tcW w:w="1180" w:type="dxa"/>
            <w:vAlign w:val="bottom"/>
          </w:tcPr>
          <w:p>
            <w:pPr>
              <w:ind w:left="820"/>
              <w:spacing w:after="0"/>
              <w:rPr>
                <w:sz w:val="20"/>
                <w:szCs w:val="20"/>
                <w:color w:val="auto"/>
              </w:rPr>
            </w:pPr>
            <w:r>
              <w:rPr>
                <w:rFonts w:ascii="Courier New" w:cs="Courier New" w:eastAsia="Courier New" w:hAnsi="Courier New"/>
                <w:sz w:val="15"/>
                <w:szCs w:val="15"/>
                <w:color w:val="auto"/>
              </w:rPr>
              <w:t>2.4</w:t>
            </w:r>
          </w:p>
        </w:tc>
        <w:tc>
          <w:tcPr>
            <w:tcW w:w="8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years</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Rate Debt</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81.86%</w:t>
            </w:r>
          </w:p>
        </w:tc>
        <w:tc>
          <w:tcPr>
            <w:tcW w:w="25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7.06%</w:t>
            </w:r>
          </w:p>
        </w:tc>
        <w:tc>
          <w:tcPr>
            <w:tcW w:w="118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6.1</w:t>
            </w:r>
          </w:p>
        </w:tc>
        <w:tc>
          <w:tcPr>
            <w:tcW w:w="8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years</w:t>
            </w:r>
          </w:p>
        </w:tc>
      </w:tr>
      <w:tr>
        <w:trPr>
          <w:trHeight w:val="168"/>
        </w:trPr>
        <w:tc>
          <w:tcPr>
            <w:tcW w:w="176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ind w:left="8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Debt</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100.00%</w:t>
            </w:r>
          </w:p>
        </w:tc>
        <w:tc>
          <w:tcPr>
            <w:tcW w:w="25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7.09%</w:t>
            </w:r>
          </w:p>
        </w:tc>
        <w:tc>
          <w:tcPr>
            <w:tcW w:w="118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5.5</w:t>
            </w:r>
          </w:p>
        </w:tc>
        <w:tc>
          <w:tcPr>
            <w:tcW w:w="8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years</w:t>
            </w:r>
          </w:p>
        </w:tc>
      </w:tr>
      <w:tr>
        <w:trPr>
          <w:trHeight w:val="168"/>
        </w:trPr>
        <w:tc>
          <w:tcPr>
            <w:tcW w:w="176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ind w:left="820"/>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11</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15" w:name="page16"/>
    <w:bookmarkEnd w:id="15"/>
    <w:p>
      <w:pPr>
        <w:ind w:left="254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DEBT ANALYSIS</w:t>
      </w:r>
    </w:p>
    <w:p>
      <w:pPr>
        <w:spacing w:after="0" w:line="166"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LONG-TERM DEBT MATURITIES AND PRINCIPAL PAYMENTS</w:t>
      </w:r>
    </w:p>
    <w:p>
      <w:pPr>
        <w:jc w:val="center"/>
        <w:ind w:right="436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ind w:left="980"/>
              <w:spacing w:after="0"/>
              <w:rPr>
                <w:sz w:val="20"/>
                <w:szCs w:val="20"/>
                <w:color w:val="auto"/>
              </w:rPr>
            </w:pPr>
            <w:r>
              <w:rPr>
                <w:rFonts w:ascii="Courier New" w:cs="Courier New" w:eastAsia="Courier New" w:hAnsi="Courier New"/>
                <w:sz w:val="15"/>
                <w:szCs w:val="15"/>
                <w:color w:val="auto"/>
              </w:rPr>
              <w:t>PROPERTY</w:t>
            </w:r>
          </w:p>
        </w:tc>
        <w:tc>
          <w:tcPr>
            <w:tcW w:w="1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2000 (1)</w:t>
            </w:r>
          </w:p>
        </w:tc>
        <w:tc>
          <w:tcPr>
            <w:tcW w:w="26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2004</w:t>
            </w:r>
          </w:p>
        </w:tc>
        <w:tc>
          <w:tcPr>
            <w:tcW w:w="1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THEREAFTER</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The Unsecured Line of Credit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$344,000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$344,000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Prudential Center</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2,590</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3,777</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4,039</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4,319</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4,564</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275,253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294,542</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599 Lexington Avenue</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225,000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225,000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280 Park Avenue</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2,933</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8,800</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208,267</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220,000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Embarcadero Center One</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1,392</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1,968</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2,104</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2,249</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2,404</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147,713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157,830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Embarcadero Center Two</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1,392</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1,968</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2,104</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2,249</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2,404</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147,713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157,830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Embarcadero Center Four</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1,804</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2,894</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3,097</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3,314</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3,546</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141,916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156,571</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875 Third Avenue</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1,938</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2,341</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148,454</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152,733</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Embarcadero Center Three</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1,227</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1,941</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2,069</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2,206</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2,351</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137,903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147,697</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5 Times Square</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137,170</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137,170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Two Independence Square</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1,465</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1,032</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1,500</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113,845</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117,842</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Riverfront Plaza</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1,699</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2,397</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2,560</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2,735</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2,921</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105,034</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117,346</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Democracy Center</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1,119</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1,588</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1,703</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1,828</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1,961</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100,510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108,709</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Metropolitan Square</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104,528</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104,528</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Embarcadero Center West Tower</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803</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1,272</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1,358</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1,449</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1,546</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92,065</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98,493</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100 East Pratt Street</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1,142</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1,615</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1,727</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1,847</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1,975</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84,687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92,993</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Reservoir Place</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1,312</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1,978</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2,669</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2,859</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3,062</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63,345</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75,225</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One Independence Square</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1,003</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74,114</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75,117</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Gateway</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75,000</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75,000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One &amp; Two Reston Overlook</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442</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705</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759</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818</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65,907</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68,631</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2300 N Street</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66,000</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66,000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Gallery</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766</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1,097</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1,191</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1,293</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1,404</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52,176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57,927</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504,506,508 Carnegie Center</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530</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845</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910</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978</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1,054</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44,585</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48,902</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10 and 20 Burlington Mall Road</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37,000</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37,000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1301 New York Avenue</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641</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1,046</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1,129</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1,403</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1,314</w:t>
            </w:r>
          </w:p>
        </w:tc>
        <w:tc>
          <w:tcPr>
            <w:tcW w:w="4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27,823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33,356</w:t>
            </w:r>
          </w:p>
        </w:tc>
      </w:tr>
    </w:tbl>
    <w:p>
      <w:pPr>
        <w:spacing w:after="0" w:line="200" w:lineRule="exact"/>
        <w:rPr>
          <w:sz w:val="20"/>
          <w:szCs w:val="20"/>
          <w:color w:val="auto"/>
        </w:rPr>
      </w:pPr>
    </w:p>
    <w:p>
      <w:pPr>
        <w:spacing w:after="0" w:line="309" w:lineRule="exact"/>
        <w:rPr>
          <w:sz w:val="20"/>
          <w:szCs w:val="20"/>
          <w:color w:val="auto"/>
        </w:rPr>
      </w:pPr>
    </w:p>
    <w:p>
      <w:pPr>
        <w:ind w:left="3420" w:right="5680" w:hanging="3410"/>
        <w:spacing w:after="0" w:line="703" w:lineRule="auto"/>
        <w:tabs>
          <w:tab w:leader="none" w:pos="44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 from April 1, 2000 through December 31, 2000. 12</w:t>
      </w:r>
    </w:p>
    <w:p>
      <w:pPr>
        <w:sectPr>
          <w:pgSz w:w="11900" w:h="16838" w:orient="portrait"/>
          <w:cols w:equalWidth="0" w:num="1">
            <w:col w:w="11380"/>
          </w:cols>
          <w:pgMar w:left="220" w:top="785" w:right="299" w:bottom="1440" w:gutter="0" w:footer="0" w:header="0"/>
        </w:sectPr>
      </w:pPr>
    </w:p>
    <w:bookmarkStart w:id="16" w:name="page17"/>
    <w:bookmarkEnd w:id="16"/>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DEBT ANALYSIS</w:t>
      </w:r>
    </w:p>
    <w:p>
      <w:pPr>
        <w:spacing w:after="0" w:line="166"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LONG-TERM DEBT MATURITIES AND PRINCIPAL PAYMENTS</w:t>
      </w:r>
    </w:p>
    <w:p>
      <w:pPr>
        <w:jc w:val="center"/>
        <w:ind w:right="428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2700" w:type="dxa"/>
            <w:vAlign w:val="bottom"/>
          </w:tcPr>
          <w:p>
            <w:pPr>
              <w:ind w:left="740"/>
              <w:spacing w:after="0"/>
              <w:rPr>
                <w:sz w:val="20"/>
                <w:szCs w:val="20"/>
                <w:color w:val="auto"/>
              </w:rPr>
            </w:pPr>
            <w:r>
              <w:rPr>
                <w:rFonts w:ascii="Courier New" w:cs="Courier New" w:eastAsia="Courier New" w:hAnsi="Courier New"/>
                <w:sz w:val="15"/>
                <w:szCs w:val="15"/>
                <w:color w:val="auto"/>
              </w:rPr>
              <w:t>PROPERTY</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2000 (1)</w:t>
            </w: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2002</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2003</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2004</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THEREAFTER</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Eight Cambridge Center</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292</w:t>
            </w:r>
          </w:p>
        </w:tc>
        <w:tc>
          <w:tcPr>
            <w:tcW w:w="1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477</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567</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26,429</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28,722</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510</w:t>
            </w:r>
          </w:p>
        </w:tc>
        <w:tc>
          <w:tcPr>
            <w:tcW w:w="2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Carnegie Center</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326</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511</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587</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25,536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27,985</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Lockheed Martin Building</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367</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529</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640</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23,956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26,661</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University Place</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404</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659</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706</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22,700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25,657</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Reston Corporate Center</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351</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1,620</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21,571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25,165</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111</w:t>
            </w:r>
          </w:p>
        </w:tc>
        <w:tc>
          <w:tcPr>
            <w:tcW w:w="2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Huntington Avenue</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24,663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24,663</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191</w:t>
            </w:r>
          </w:p>
        </w:tc>
        <w:tc>
          <w:tcPr>
            <w:tcW w:w="2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Spring Street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240</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443</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21,256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23,064</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Bedford Business Park</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372</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539</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639</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695</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19,260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22,092</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NIMA Building</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305</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438</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468</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499</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529</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19,565</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21,804</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Sumner Square</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21,624</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21,624</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212</w:t>
            </w:r>
          </w:p>
        </w:tc>
        <w:tc>
          <w:tcPr>
            <w:tcW w:w="2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Carnegie Center</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20,548</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20,548</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202</w:t>
            </w:r>
          </w:p>
        </w:tc>
        <w:tc>
          <w:tcPr>
            <w:tcW w:w="2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Carnegie Center</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19,106</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19,106</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Orbital Sciences</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15,659</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15,659</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New Dominion Technology Park</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14,197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14,197</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214</w:t>
            </w:r>
          </w:p>
        </w:tc>
        <w:tc>
          <w:tcPr>
            <w:tcW w:w="2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Carnegie Center</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13,269</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13,269</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101</w:t>
            </w:r>
          </w:p>
        </w:tc>
        <w:tc>
          <w:tcPr>
            <w:tcW w:w="2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Carnegie Center</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187</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299</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322</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348</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345</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7,058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8,559</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Montvale Center</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94</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175</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6,937</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7,648</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Newport Office Park</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227</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5,923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6,150</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Hilltop Business Center</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116</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188</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201</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5,009</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5,854</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302</w:t>
            </w:r>
          </w:p>
        </w:tc>
        <w:tc>
          <w:tcPr>
            <w:tcW w:w="2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Carnegie Center</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1,014</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201</w:t>
            </w:r>
          </w:p>
        </w:tc>
        <w:tc>
          <w:tcPr>
            <w:tcW w:w="2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Carnegie Center</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317</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516</w:t>
            </w:r>
          </w:p>
        </w:tc>
      </w:tr>
      <w:tr>
        <w:trPr>
          <w:trHeight w:val="168"/>
        </w:trPr>
        <w:tc>
          <w:tcPr>
            <w:tcW w:w="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$259,955</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$158,784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$444,983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$696,767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$124,593</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$1,845,317</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$3,530,399</w:t>
            </w:r>
          </w:p>
        </w:tc>
      </w:tr>
      <w:tr>
        <w:trPr>
          <w:trHeight w:val="168"/>
        </w:trPr>
        <w:tc>
          <w:tcPr>
            <w:tcW w:w="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For the period from April 1, 2000 through December 31, 2000.</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300"/>
          </w:cols>
          <w:pgMar w:left="220" w:top="617" w:right="379" w:bottom="1440" w:gutter="0" w:footer="0" w:header="0"/>
        </w:sectPr>
      </w:pPr>
    </w:p>
    <w:bookmarkStart w:id="17" w:name="page18"/>
    <w:bookmarkEnd w:id="17"/>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JOINT VENTURES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(UNAUDITED AND IN THOUSANDS)</w:t>
      </w:r>
    </w:p>
    <w:p>
      <w:pPr>
        <w:jc w:val="center"/>
        <w:ind w:right="3219"/>
        <w:spacing w:after="0" w:line="238" w:lineRule="auto"/>
        <w:rPr>
          <w:sz w:val="20"/>
          <w:szCs w:val="20"/>
          <w:color w:val="auto"/>
        </w:rPr>
      </w:pPr>
      <w:r>
        <w:rPr>
          <w:rFonts w:ascii="Courier New" w:cs="Courier New" w:eastAsia="Courier New" w:hAnsi="Courier New"/>
          <w:sz w:val="15"/>
          <w:szCs w:val="15"/>
          <w:color w:val="auto"/>
        </w:rPr>
        <w:t>AS OF MARCH 31, 2000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ONE</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MARKET</w:t>
            </w:r>
          </w:p>
        </w:tc>
        <w:tc>
          <w:tcPr>
            <w:tcW w:w="108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FREEDOM</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SQUARE</w:t>
            </w:r>
          </w:p>
        </w:tc>
        <w:tc>
          <w:tcPr>
            <w:tcW w:w="108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SQUARE</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NORTH (2)</w:t>
            </w:r>
          </w:p>
        </w:tc>
        <w:tc>
          <w:tcPr>
            <w:tcW w:w="10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4"/>
              </w:rPr>
              <w:t>COMBINED</w:t>
            </w:r>
          </w:p>
        </w:tc>
      </w:tr>
      <w:tr>
        <w:trPr>
          <w:trHeight w:val="168"/>
        </w:trPr>
        <w:tc>
          <w:tcPr>
            <w:tcW w:w="368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Total Equity (1)</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$ 5,644</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$ 30,897</w:t>
            </w:r>
          </w:p>
        </w:tc>
        <w:tc>
          <w:tcPr>
            <w:tcW w:w="1080" w:type="dxa"/>
            <w:vAlign w:val="bottom"/>
          </w:tcPr>
          <w:p>
            <w:pPr>
              <w:ind w:left="380"/>
              <w:spacing w:after="0"/>
              <w:rPr>
                <w:sz w:val="20"/>
                <w:szCs w:val="20"/>
                <w:color w:val="auto"/>
              </w:rPr>
            </w:pPr>
            <w:r>
              <w:rPr>
                <w:rFonts w:ascii="Courier New" w:cs="Courier New" w:eastAsia="Courier New" w:hAnsi="Courier New"/>
                <w:sz w:val="15"/>
                <w:szCs w:val="15"/>
                <w:color w:val="auto"/>
                <w:w w:val="94"/>
              </w:rPr>
              <w:t>$ 36,541</w:t>
            </w:r>
          </w:p>
        </w:tc>
      </w:tr>
      <w:tr>
        <w:trPr>
          <w:trHeight w:val="168"/>
        </w:trPr>
        <w:tc>
          <w:tcPr>
            <w:tcW w:w="368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Mortgage/Construction loans payable (1)</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$13,179</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$ 27,425</w:t>
            </w:r>
          </w:p>
        </w:tc>
        <w:tc>
          <w:tcPr>
            <w:tcW w:w="1080" w:type="dxa"/>
            <w:vAlign w:val="bottom"/>
          </w:tcPr>
          <w:p>
            <w:pPr>
              <w:ind w:left="380"/>
              <w:spacing w:after="0"/>
              <w:rPr>
                <w:sz w:val="20"/>
                <w:szCs w:val="20"/>
                <w:color w:val="auto"/>
              </w:rPr>
            </w:pPr>
            <w:r>
              <w:rPr>
                <w:rFonts w:ascii="Courier New" w:cs="Courier New" w:eastAsia="Courier New" w:hAnsi="Courier New"/>
                <w:sz w:val="15"/>
                <w:szCs w:val="15"/>
                <w:color w:val="auto"/>
                <w:w w:val="94"/>
              </w:rPr>
              <w:t>$ 40,604</w:t>
            </w:r>
          </w:p>
        </w:tc>
      </w:tr>
      <w:tr>
        <w:trPr>
          <w:trHeight w:val="168"/>
        </w:trPr>
        <w:tc>
          <w:tcPr>
            <w:tcW w:w="368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BXP's ownership percentage</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25.00%</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50.00%</w:t>
            </w:r>
          </w:p>
        </w:tc>
        <w:tc>
          <w:tcPr>
            <w:tcW w:w="1080" w:type="dxa"/>
            <w:vAlign w:val="bottom"/>
          </w:tcPr>
          <w:p>
            <w:pPr>
              <w:spacing w:after="0"/>
              <w:rPr>
                <w:sz w:val="24"/>
                <w:szCs w:val="24"/>
                <w:color w:val="auto"/>
              </w:rPr>
            </w:pPr>
          </w:p>
        </w:tc>
      </w:tr>
      <w:tr>
        <w:trPr>
          <w:trHeight w:val="168"/>
        </w:trPr>
        <w:tc>
          <w:tcPr>
            <w:tcW w:w="368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Company's share.</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residential component of the joint venture.</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RESULTS OF OPERATIONS FOR THE UNCONSOLIDATED JOINT VENTURES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 THE THREE MONTHS ENDED MARCH 31, 2000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20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ONE</w:t>
            </w:r>
          </w:p>
        </w:tc>
        <w:tc>
          <w:tcPr>
            <w:tcW w:w="1440" w:type="dxa"/>
            <w:vAlign w:val="bottom"/>
          </w:tcPr>
          <w:p>
            <w:pPr>
              <w:ind w:left="400"/>
              <w:spacing w:after="0"/>
              <w:rPr>
                <w:sz w:val="20"/>
                <w:szCs w:val="20"/>
                <w:color w:val="auto"/>
              </w:rPr>
            </w:pPr>
            <w:r>
              <w:rPr>
                <w:rFonts w:ascii="Courier New" w:cs="Courier New" w:eastAsia="Courier New" w:hAnsi="Courier New"/>
                <w:sz w:val="15"/>
                <w:szCs w:val="15"/>
                <w:color w:val="auto"/>
              </w:rPr>
              <w:t>MARKET</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ONE AND TWO</w:t>
            </w:r>
          </w:p>
        </w:tc>
        <w:tc>
          <w:tcPr>
            <w:tcW w:w="1180" w:type="dxa"/>
            <w:vAlign w:val="bottom"/>
          </w:tcPr>
          <w:p>
            <w:pPr>
              <w:spacing w:after="0"/>
              <w:rPr>
                <w:sz w:val="14"/>
                <w:szCs w:val="14"/>
                <w:color w:val="auto"/>
              </w:rPr>
            </w:pPr>
          </w:p>
        </w:tc>
      </w:tr>
      <w:tr>
        <w:trPr>
          <w:trHeight w:val="168"/>
        </w:trPr>
        <w:tc>
          <w:tcPr>
            <w:tcW w:w="3120" w:type="dxa"/>
            <w:vAlign w:val="bottom"/>
          </w:tcPr>
          <w:p>
            <w:pPr>
              <w:spacing w:after="0"/>
              <w:rPr>
                <w:sz w:val="14"/>
                <w:szCs w:val="14"/>
                <w:color w:val="auto"/>
              </w:rPr>
            </w:pPr>
          </w:p>
        </w:tc>
        <w:tc>
          <w:tcPr>
            <w:tcW w:w="2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FREEDOM</w:t>
            </w:r>
          </w:p>
        </w:tc>
        <w:tc>
          <w:tcPr>
            <w:tcW w:w="14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SQUARE</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RESTON</w:t>
            </w:r>
          </w:p>
        </w:tc>
        <w:tc>
          <w:tcPr>
            <w:tcW w:w="1180" w:type="dxa"/>
            <w:vAlign w:val="bottom"/>
          </w:tcPr>
          <w:p>
            <w:pPr>
              <w:spacing w:after="0"/>
              <w:rPr>
                <w:sz w:val="14"/>
                <w:szCs w:val="14"/>
                <w:color w:val="auto"/>
              </w:rPr>
            </w:pPr>
          </w:p>
        </w:tc>
      </w:tr>
      <w:tr>
        <w:trPr>
          <w:trHeight w:val="168"/>
        </w:trPr>
        <w:tc>
          <w:tcPr>
            <w:tcW w:w="3120" w:type="dxa"/>
            <w:vAlign w:val="bottom"/>
          </w:tcPr>
          <w:p>
            <w:pPr>
              <w:spacing w:after="0"/>
              <w:rPr>
                <w:sz w:val="14"/>
                <w:szCs w:val="14"/>
                <w:color w:val="auto"/>
              </w:rPr>
            </w:pPr>
          </w:p>
        </w:tc>
        <w:tc>
          <w:tcPr>
            <w:tcW w:w="2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SQUARE</w:t>
            </w:r>
          </w:p>
        </w:tc>
        <w:tc>
          <w:tcPr>
            <w:tcW w:w="14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NORTH</w:t>
            </w:r>
          </w:p>
        </w:tc>
        <w:tc>
          <w:tcPr>
            <w:tcW w:w="1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OVERLOOK (1)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3120" w:type="dxa"/>
            <w:vAlign w:val="bottom"/>
          </w:tcPr>
          <w:p>
            <w:pPr>
              <w:spacing w:after="0"/>
              <w:rPr>
                <w:sz w:val="14"/>
                <w:szCs w:val="14"/>
                <w:color w:val="auto"/>
              </w:rPr>
            </w:pPr>
          </w:p>
        </w:tc>
        <w:tc>
          <w:tcPr>
            <w:tcW w:w="2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Total rental revenue</w:t>
            </w:r>
          </w:p>
        </w:tc>
        <w:tc>
          <w:tcPr>
            <w:tcW w:w="2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$ 2,444</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$ 1,134</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$ 385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$ 3,963</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w:t>
            </w: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12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w:t>
            </w: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2,444</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1,153</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3,982</w:t>
            </w:r>
          </w:p>
        </w:tc>
      </w:tr>
      <w:tr>
        <w:trPr>
          <w:trHeight w:val="168"/>
        </w:trPr>
        <w:tc>
          <w:tcPr>
            <w:tcW w:w="312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2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820</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548</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1,453</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672</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374</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1,198</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575</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174</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831</w:t>
            </w:r>
          </w:p>
        </w:tc>
      </w:tr>
      <w:tr>
        <w:trPr>
          <w:trHeight w:val="168"/>
        </w:trPr>
        <w:tc>
          <w:tcPr>
            <w:tcW w:w="312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expenses</w:t>
            </w: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2,067</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1,096</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3,482</w:t>
            </w:r>
          </w:p>
        </w:tc>
      </w:tr>
      <w:tr>
        <w:trPr>
          <w:trHeight w:val="168"/>
        </w:trPr>
        <w:tc>
          <w:tcPr>
            <w:tcW w:w="312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$ 377</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$ 57</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$ 66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$ 500</w:t>
            </w:r>
          </w:p>
        </w:tc>
      </w:tr>
      <w:tr>
        <w:trPr>
          <w:trHeight w:val="168"/>
        </w:trPr>
        <w:tc>
          <w:tcPr>
            <w:tcW w:w="312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239" w:hanging="430"/>
        <w:spacing w:after="0" w:line="235"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operations for the period from January 1, 2000 through January 11, 2000, prior to the Company's acquisition of their joint venture partner's 75% interest.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85" w:right="1440" w:bottom="1440" w:gutter="0" w:footer="0" w:header="0"/>
        </w:sectPr>
      </w:pPr>
    </w:p>
    <w:bookmarkStart w:id="18" w:name="page19"/>
    <w:bookmarkEnd w:id="18"/>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PORTFOLIO OVERVIEW- SQUARE FOOTAGE</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RENTABLE SQUARE FEET OF IN-SERVICE PROPERTIES BY LOCATION AND TYPE OF PROPERTY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GEOGRAPHIC AREA</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OFFICE (1)</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R&amp;D</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INDUSTRIAL</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OF TOTAL</w:t>
            </w:r>
          </w:p>
        </w:tc>
      </w:tr>
      <w:tr>
        <w:trPr>
          <w:trHeight w:val="168"/>
        </w:trPr>
        <w:tc>
          <w:tcPr>
            <w:tcW w:w="2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Greater Boston</w:t>
            </w:r>
          </w:p>
        </w:tc>
        <w:tc>
          <w:tcPr>
            <w:tcW w:w="1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5,422,542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545,206</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247,318</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6,215,066</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24.31%</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Washington, D.C.</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5,486,054(2)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1,382,925</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237,195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7,106,174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27.79%</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San Francisco</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4,439,355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144,366</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280,213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4,863,934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19.02%</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Midtown Manhattan</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2,875,966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2,875,966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11.25%</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Princeton/East Brunswick, NJ</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2,279,865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2,279,865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8.92%</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Baltimore, MD</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1,175,488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1,175,488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4.60%</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Richmond, VA</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892,094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892,094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3.49%</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Bucks County, PA</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161,000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0.63%</w:t>
            </w:r>
          </w:p>
        </w:tc>
      </w:tr>
      <w:tr>
        <w:trPr>
          <w:trHeight w:val="168"/>
        </w:trPr>
        <w:tc>
          <w:tcPr>
            <w:tcW w:w="2680" w:type="dxa"/>
            <w:vAlign w:val="bottom"/>
          </w:tcPr>
          <w:p>
            <w:pPr>
              <w:spacing w:after="0"/>
              <w:rPr>
                <w:sz w:val="14"/>
                <w:szCs w:val="14"/>
                <w:color w:val="auto"/>
              </w:rPr>
            </w:pP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rPr>
                <w:sz w:val="14"/>
                <w:szCs w:val="14"/>
                <w:color w:val="auto"/>
              </w:rPr>
            </w:pP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22,571,364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2,072,497</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925,726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25,569,587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2680" w:type="dxa"/>
            <w:vAlign w:val="bottom"/>
          </w:tcPr>
          <w:p>
            <w:pPr>
              <w:spacing w:after="0"/>
              <w:rPr>
                <w:sz w:val="14"/>
                <w:szCs w:val="14"/>
                <w:color w:val="auto"/>
              </w:rPr>
            </w:pP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of Total</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88.27%</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3.62%</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w:t>
            </w:r>
          </w:p>
        </w:tc>
        <w:tc>
          <w:tcPr>
            <w:tcW w:w="106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retail square footage of approximately 1,000,000.</w:t>
      </w:r>
    </w:p>
    <w:p>
      <w:pPr>
        <w:spacing w:after="0" w:line="172" w:lineRule="exact"/>
        <w:rPr>
          <w:rFonts w:ascii="Courier New" w:cs="Courier New" w:eastAsia="Courier New" w:hAnsi="Courier New"/>
          <w:sz w:val="15"/>
          <w:szCs w:val="15"/>
          <w:color w:val="auto"/>
        </w:rPr>
      </w:pPr>
    </w:p>
    <w:p>
      <w:pPr>
        <w:ind w:left="440" w:right="3499" w:hanging="430"/>
        <w:spacing w:after="0" w:line="234"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414,296 square feet at One Freedom Square which is 25% owned by Boston Properties.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tcPr>
          <w:p>
            <w:pPr>
              <w:jc w:val="center"/>
              <w:ind w:left="927"/>
              <w:spacing w:after="0"/>
              <w:rPr>
                <w:sz w:val="20"/>
                <w:szCs w:val="20"/>
                <w:color w:val="auto"/>
              </w:rPr>
            </w:pPr>
            <w:r>
              <w:rPr>
                <w:rFonts w:ascii="Courier New" w:cs="Courier New" w:eastAsia="Courier New" w:hAnsi="Courier New"/>
                <w:sz w:val="15"/>
                <w:szCs w:val="15"/>
                <w:color w:val="auto"/>
                <w:w w:val="97"/>
              </w:rPr>
              <w:t>HOTEL PROPERTIES</w:t>
            </w:r>
          </w:p>
        </w:tc>
        <w:tc>
          <w:tcPr>
            <w:tcW w:w="2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841"/>
        </w:trPr>
        <w:tc>
          <w:tcPr>
            <w:tcW w:w="6000" w:type="dxa"/>
            <w:vAlign w:val="bottom"/>
          </w:tcPr>
          <w:p>
            <w:pPr>
              <w:spacing w:after="0"/>
              <w:rPr>
                <w:sz w:val="24"/>
                <w:szCs w:val="24"/>
                <w:color w:val="auto"/>
              </w:rPr>
            </w:pPr>
          </w:p>
        </w:tc>
        <w:tc>
          <w:tcPr>
            <w:tcW w:w="2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NUMBER OF</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SQUARE</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HOTEL PROPERTIES</w:t>
            </w:r>
          </w:p>
        </w:tc>
        <w:tc>
          <w:tcPr>
            <w:tcW w:w="2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ROOMS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FEET</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ind w:left="280"/>
              <w:spacing w:after="0"/>
              <w:rPr>
                <w:sz w:val="20"/>
                <w:szCs w:val="20"/>
                <w:color w:val="auto"/>
              </w:rPr>
            </w:pPr>
            <w:r>
              <w:rPr>
                <w:rFonts w:ascii="Courier New" w:cs="Courier New" w:eastAsia="Courier New" w:hAnsi="Courier New"/>
                <w:sz w:val="15"/>
                <w:szCs w:val="15"/>
                <w:color w:val="auto"/>
              </w:rPr>
              <w:t>Long Wharf Marriott, Boston, MA</w:t>
            </w:r>
          </w:p>
        </w:tc>
        <w:tc>
          <w:tcPr>
            <w:tcW w:w="2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402</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420,000</w:t>
            </w: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Cambridge Center Marriott, Cambridge, MA</w:t>
            </w:r>
          </w:p>
        </w:tc>
        <w:tc>
          <w:tcPr>
            <w:tcW w:w="2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330,400</w:t>
            </w: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Residence Inn by Marriott, Cambridge, MA</w:t>
            </w:r>
          </w:p>
        </w:tc>
        <w:tc>
          <w:tcPr>
            <w:tcW w:w="2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187,474</w:t>
            </w:r>
          </w:p>
        </w:tc>
      </w:tr>
      <w:tr>
        <w:trPr>
          <w:trHeight w:val="168"/>
        </w:trPr>
        <w:tc>
          <w:tcPr>
            <w:tcW w:w="6000" w:type="dxa"/>
            <w:vAlign w:val="bottom"/>
          </w:tcPr>
          <w:p>
            <w:pPr>
              <w:spacing w:after="0"/>
              <w:rPr>
                <w:sz w:val="14"/>
                <w:szCs w:val="14"/>
                <w:color w:val="auto"/>
              </w:rPr>
            </w:pPr>
          </w:p>
        </w:tc>
        <w:tc>
          <w:tcPr>
            <w:tcW w:w="2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Hotel Properties</w:t>
            </w:r>
          </w:p>
        </w:tc>
        <w:tc>
          <w:tcPr>
            <w:tcW w:w="2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937,874</w:t>
            </w:r>
          </w:p>
        </w:tc>
      </w:tr>
      <w:tr>
        <w:trPr>
          <w:trHeight w:val="168"/>
        </w:trPr>
        <w:tc>
          <w:tcPr>
            <w:tcW w:w="6000" w:type="dxa"/>
            <w:vAlign w:val="bottom"/>
          </w:tcPr>
          <w:p>
            <w:pPr>
              <w:spacing w:after="0"/>
              <w:rPr>
                <w:sz w:val="14"/>
                <w:szCs w:val="14"/>
                <w:color w:val="auto"/>
              </w:rPr>
            </w:pPr>
          </w:p>
        </w:tc>
        <w:tc>
          <w:tcPr>
            <w:tcW w:w="2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673"/>
        </w:trPr>
        <w:tc>
          <w:tcPr>
            <w:tcW w:w="600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7"/>
              </w:rPr>
              <w:t>GARAGE PROPERTY AND STRUCTURED PARKING</w:t>
            </w:r>
          </w:p>
        </w:tc>
        <w:tc>
          <w:tcPr>
            <w:tcW w:w="2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841"/>
        </w:trPr>
        <w:tc>
          <w:tcPr>
            <w:tcW w:w="6000" w:type="dxa"/>
            <w:vAlign w:val="bottom"/>
          </w:tcPr>
          <w:p>
            <w:pPr>
              <w:spacing w:after="0"/>
              <w:rPr>
                <w:sz w:val="24"/>
                <w:szCs w:val="24"/>
                <w:color w:val="auto"/>
              </w:rPr>
            </w:pPr>
          </w:p>
        </w:tc>
        <w:tc>
          <w:tcPr>
            <w:tcW w:w="2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NUMBER OF</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SQUARE</w:t>
            </w:r>
          </w:p>
        </w:tc>
      </w:tr>
      <w:tr>
        <w:trPr>
          <w:trHeight w:val="168"/>
        </w:trPr>
        <w:tc>
          <w:tcPr>
            <w:tcW w:w="6000" w:type="dxa"/>
            <w:vAlign w:val="bottom"/>
          </w:tcPr>
          <w:p>
            <w:pPr>
              <w:spacing w:after="0"/>
              <w:rPr>
                <w:sz w:val="14"/>
                <w:szCs w:val="14"/>
                <w:color w:val="auto"/>
              </w:rPr>
            </w:pPr>
          </w:p>
        </w:tc>
        <w:tc>
          <w:tcPr>
            <w:tcW w:w="2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SPACES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FEET</w:t>
            </w:r>
          </w:p>
        </w:tc>
      </w:tr>
      <w:tr>
        <w:trPr>
          <w:trHeight w:val="168"/>
        </w:trPr>
        <w:tc>
          <w:tcPr>
            <w:tcW w:w="6000" w:type="dxa"/>
            <w:vAlign w:val="bottom"/>
          </w:tcPr>
          <w:p>
            <w:pPr>
              <w:spacing w:after="0"/>
              <w:rPr>
                <w:sz w:val="14"/>
                <w:szCs w:val="14"/>
                <w:color w:val="auto"/>
              </w:rPr>
            </w:pPr>
          </w:p>
        </w:tc>
        <w:tc>
          <w:tcPr>
            <w:tcW w:w="2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GARAGE PROPERTIES</w:t>
            </w:r>
          </w:p>
        </w:tc>
        <w:tc>
          <w:tcPr>
            <w:tcW w:w="2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Cambridge Center North Garage</w:t>
            </w:r>
          </w:p>
        </w:tc>
        <w:tc>
          <w:tcPr>
            <w:tcW w:w="2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332,442</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STRUCTURED PARKING</w:t>
            </w:r>
          </w:p>
        </w:tc>
        <w:tc>
          <w:tcPr>
            <w:tcW w:w="2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15,556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5,518,779</w:t>
            </w:r>
          </w:p>
        </w:tc>
      </w:tr>
      <w:tr>
        <w:trPr>
          <w:trHeight w:val="168"/>
        </w:trPr>
        <w:tc>
          <w:tcPr>
            <w:tcW w:w="6000" w:type="dxa"/>
            <w:vAlign w:val="bottom"/>
          </w:tcPr>
          <w:p>
            <w:pPr>
              <w:spacing w:after="0"/>
              <w:rPr>
                <w:sz w:val="14"/>
                <w:szCs w:val="14"/>
                <w:color w:val="auto"/>
              </w:rPr>
            </w:pPr>
          </w:p>
        </w:tc>
        <w:tc>
          <w:tcPr>
            <w:tcW w:w="2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GARAGE PROPERTY AND STRUCTURED PARKING</w:t>
            </w:r>
          </w:p>
        </w:tc>
        <w:tc>
          <w:tcPr>
            <w:tcW w:w="2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16,726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5,851,221</w:t>
            </w:r>
          </w:p>
        </w:tc>
      </w:tr>
      <w:tr>
        <w:trPr>
          <w:trHeight w:val="168"/>
        </w:trPr>
        <w:tc>
          <w:tcPr>
            <w:tcW w:w="6000" w:type="dxa"/>
            <w:vAlign w:val="bottom"/>
          </w:tcPr>
          <w:p>
            <w:pPr>
              <w:spacing w:after="0"/>
              <w:rPr>
                <w:sz w:val="14"/>
                <w:szCs w:val="14"/>
                <w:color w:val="auto"/>
              </w:rPr>
            </w:pPr>
          </w:p>
        </w:tc>
        <w:tc>
          <w:tcPr>
            <w:tcW w:w="2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673"/>
        </w:trPr>
        <w:tc>
          <w:tcPr>
            <w:tcW w:w="600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15</w:t>
            </w:r>
          </w:p>
        </w:tc>
        <w:tc>
          <w:tcPr>
            <w:tcW w:w="21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19" w:name="page20"/>
    <w:bookmarkEnd w:id="19"/>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TOP 20 TENANTS BY SQUARE FEET LEASED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3240" w:type="dxa"/>
            <w:vAlign w:val="bottom"/>
          </w:tcPr>
          <w:p>
            <w:pPr>
              <w:ind w:left="2020"/>
              <w:spacing w:after="0"/>
              <w:rPr>
                <w:sz w:val="20"/>
                <w:szCs w:val="20"/>
                <w:color w:val="auto"/>
              </w:rPr>
            </w:pPr>
            <w:r>
              <w:rPr>
                <w:rFonts w:ascii="Courier New" w:cs="Courier New" w:eastAsia="Courier New" w:hAnsi="Courier New"/>
                <w:sz w:val="15"/>
                <w:szCs w:val="15"/>
                <w:color w:val="auto"/>
              </w:rPr>
              <w:t>TENANT</w:t>
            </w:r>
          </w:p>
        </w:tc>
        <w:tc>
          <w:tcPr>
            <w:tcW w:w="39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SQ. FT.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OF PORTFOLIO</w:t>
            </w:r>
          </w:p>
        </w:tc>
      </w:tr>
      <w:tr>
        <w:trPr>
          <w:trHeight w:val="168"/>
        </w:trPr>
        <w:tc>
          <w:tcPr>
            <w:tcW w:w="180" w:type="dxa"/>
            <w:vAlign w:val="bottom"/>
          </w:tcPr>
          <w:p>
            <w:pPr>
              <w:spacing w:after="0"/>
              <w:rPr>
                <w:sz w:val="14"/>
                <w:szCs w:val="14"/>
                <w:color w:val="auto"/>
              </w:rPr>
            </w:pPr>
          </w:p>
        </w:tc>
        <w:tc>
          <w:tcPr>
            <w:tcW w:w="3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w:t>
            </w:r>
          </w:p>
        </w:tc>
        <w:tc>
          <w:tcPr>
            <w:tcW w:w="390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3240" w:type="dxa"/>
            <w:vAlign w:val="bottom"/>
          </w:tcPr>
          <w:p>
            <w:pPr>
              <w:ind w:left="360"/>
              <w:spacing w:after="0"/>
              <w:rPr>
                <w:sz w:val="20"/>
                <w:szCs w:val="20"/>
                <w:color w:val="auto"/>
              </w:rPr>
            </w:pPr>
            <w:r>
              <w:rPr>
                <w:rFonts w:ascii="Courier New" w:cs="Courier New" w:eastAsia="Courier New" w:hAnsi="Courier New"/>
                <w:sz w:val="15"/>
                <w:szCs w:val="15"/>
                <w:color w:val="auto"/>
              </w:rPr>
              <w:t>General Services Administration</w:t>
            </w:r>
          </w:p>
        </w:tc>
        <w:tc>
          <w:tcPr>
            <w:tcW w:w="39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1,973,603</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68"/>
        </w:trPr>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Lockheed Martin Corporation</w:t>
            </w:r>
          </w:p>
        </w:tc>
        <w:tc>
          <w:tcPr>
            <w:tcW w:w="3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716,653</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Gillette Company</w:t>
            </w:r>
          </w:p>
        </w:tc>
        <w:tc>
          <w:tcPr>
            <w:tcW w:w="3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492,000</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Raytheon</w:t>
            </w:r>
          </w:p>
        </w:tc>
        <w:tc>
          <w:tcPr>
            <w:tcW w:w="3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485,000</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Shearman &amp; Sterling</w:t>
            </w:r>
          </w:p>
        </w:tc>
        <w:tc>
          <w:tcPr>
            <w:tcW w:w="3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427,707</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AT&amp;T</w:t>
            </w:r>
          </w:p>
        </w:tc>
        <w:tc>
          <w:tcPr>
            <w:tcW w:w="3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420,006</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Marsh &amp; McLennan, Inc.</w:t>
            </w:r>
          </w:p>
        </w:tc>
        <w:tc>
          <w:tcPr>
            <w:tcW w:w="3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369,558</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TRW</w:t>
            </w:r>
          </w:p>
        </w:tc>
        <w:tc>
          <w:tcPr>
            <w:tcW w:w="3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337,187</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Covance, Inc.</w:t>
            </w:r>
          </w:p>
        </w:tc>
        <w:tc>
          <w:tcPr>
            <w:tcW w:w="3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321,261</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10</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Hunton &amp; Williams</w:t>
            </w:r>
          </w:p>
        </w:tc>
        <w:tc>
          <w:tcPr>
            <w:tcW w:w="3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311,299</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11</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Debevoise &amp; Plimpton</w:t>
            </w:r>
          </w:p>
        </w:tc>
        <w:tc>
          <w:tcPr>
            <w:tcW w:w="3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307,125</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12</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 Rowe Price Associates, Inc.</w:t>
            </w:r>
          </w:p>
        </w:tc>
        <w:tc>
          <w:tcPr>
            <w:tcW w:w="3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270,942</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13</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First Union</w:t>
            </w:r>
          </w:p>
        </w:tc>
        <w:tc>
          <w:tcPr>
            <w:tcW w:w="3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254,214</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14</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Andersen Consulting</w:t>
            </w:r>
          </w:p>
        </w:tc>
        <w:tc>
          <w:tcPr>
            <w:tcW w:w="3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248,620</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15</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Bankers Trust</w:t>
            </w:r>
          </w:p>
        </w:tc>
        <w:tc>
          <w:tcPr>
            <w:tcW w:w="3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243,722</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16</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John Hancock Advisors</w:t>
            </w:r>
          </w:p>
        </w:tc>
        <w:tc>
          <w:tcPr>
            <w:tcW w:w="3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233,516</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17</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Parexel International Corp.</w:t>
            </w:r>
          </w:p>
        </w:tc>
        <w:tc>
          <w:tcPr>
            <w:tcW w:w="3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228,903</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18</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Orrick, Herrington &amp; Sutcliffe</w:t>
            </w:r>
          </w:p>
        </w:tc>
        <w:tc>
          <w:tcPr>
            <w:tcW w:w="3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216,300</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National Football League</w:t>
            </w:r>
          </w:p>
        </w:tc>
        <w:tc>
          <w:tcPr>
            <w:tcW w:w="3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205,145</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Shaw Pittman Potts &amp; Trowbridge</w:t>
            </w:r>
          </w:p>
        </w:tc>
        <w:tc>
          <w:tcPr>
            <w:tcW w:w="3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204,154</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673"/>
        </w:trPr>
        <w:tc>
          <w:tcPr>
            <w:tcW w:w="180" w:type="dxa"/>
            <w:vAlign w:val="bottom"/>
          </w:tcPr>
          <w:p>
            <w:pPr>
              <w:spacing w:after="0"/>
              <w:rPr>
                <w:sz w:val="24"/>
                <w:szCs w:val="24"/>
                <w:color w:val="auto"/>
              </w:rPr>
            </w:pPr>
          </w:p>
        </w:tc>
        <w:tc>
          <w:tcPr>
            <w:tcW w:w="7140" w:type="dxa"/>
            <w:vAlign w:val="bottom"/>
            <w:gridSpan w:val="2"/>
          </w:tcPr>
          <w:p>
            <w:pPr>
              <w:jc w:val="right"/>
              <w:ind w:right="1907"/>
              <w:spacing w:after="0"/>
              <w:rPr>
                <w:sz w:val="20"/>
                <w:szCs w:val="20"/>
                <w:color w:val="auto"/>
              </w:rPr>
            </w:pPr>
            <w:r>
              <w:rPr>
                <w:rFonts w:ascii="Courier New" w:cs="Courier New" w:eastAsia="Courier New" w:hAnsi="Courier New"/>
                <w:sz w:val="15"/>
                <w:szCs w:val="15"/>
                <w:color w:val="auto"/>
              </w:rPr>
              <w:t>MAJOR SIGNED DEALS FOR FUTURE DEVELOPMENT</w:t>
            </w:r>
          </w:p>
        </w:tc>
        <w:tc>
          <w:tcPr>
            <w:tcW w:w="1440" w:type="dxa"/>
            <w:vAlign w:val="bottom"/>
          </w:tcPr>
          <w:p>
            <w:pPr>
              <w:spacing w:after="0"/>
              <w:rPr>
                <w:sz w:val="24"/>
                <w:szCs w:val="24"/>
                <w:color w:val="auto"/>
              </w:rPr>
            </w:pPr>
          </w:p>
        </w:tc>
      </w:tr>
      <w:tr>
        <w:trPr>
          <w:trHeight w:val="841"/>
        </w:trPr>
        <w:tc>
          <w:tcPr>
            <w:tcW w:w="180" w:type="dxa"/>
            <w:vAlign w:val="bottom"/>
          </w:tcPr>
          <w:p>
            <w:pPr>
              <w:spacing w:after="0"/>
              <w:rPr>
                <w:sz w:val="24"/>
                <w:szCs w:val="24"/>
                <w:color w:val="auto"/>
              </w:rPr>
            </w:pPr>
          </w:p>
        </w:tc>
        <w:tc>
          <w:tcPr>
            <w:tcW w:w="3240" w:type="dxa"/>
            <w:vAlign w:val="bottom"/>
          </w:tcPr>
          <w:p>
            <w:pPr>
              <w:ind w:left="1500"/>
              <w:spacing w:after="0"/>
              <w:rPr>
                <w:sz w:val="20"/>
                <w:szCs w:val="20"/>
                <w:color w:val="auto"/>
              </w:rPr>
            </w:pPr>
            <w:r>
              <w:rPr>
                <w:rFonts w:ascii="Courier New" w:cs="Courier New" w:eastAsia="Courier New" w:hAnsi="Courier New"/>
                <w:sz w:val="15"/>
                <w:szCs w:val="15"/>
                <w:color w:val="auto"/>
              </w:rPr>
              <w:t>TENANT</w:t>
            </w:r>
          </w:p>
        </w:tc>
        <w:tc>
          <w:tcPr>
            <w:tcW w:w="3900" w:type="dxa"/>
            <w:vAlign w:val="bottom"/>
          </w:tcPr>
          <w:p>
            <w:pPr>
              <w:ind w:left="2020"/>
              <w:spacing w:after="0"/>
              <w:rPr>
                <w:sz w:val="20"/>
                <w:szCs w:val="20"/>
                <w:color w:val="auto"/>
              </w:rPr>
            </w:pPr>
            <w:r>
              <w:rPr>
                <w:rFonts w:ascii="Courier New" w:cs="Courier New" w:eastAsia="Courier New" w:hAnsi="Courier New"/>
                <w:sz w:val="15"/>
                <w:szCs w:val="15"/>
                <w:color w:val="auto"/>
              </w:rPr>
              <w:t>SQ. FT.</w:t>
            </w:r>
          </w:p>
        </w:tc>
        <w:tc>
          <w:tcPr>
            <w:tcW w:w="1440" w:type="dxa"/>
            <w:vAlign w:val="bottom"/>
          </w:tcPr>
          <w:p>
            <w:pPr>
              <w:spacing w:after="0"/>
              <w:rPr>
                <w:sz w:val="24"/>
                <w:szCs w:val="24"/>
                <w:color w:val="auto"/>
              </w:rPr>
            </w:pPr>
          </w:p>
        </w:tc>
      </w:tr>
      <w:tr>
        <w:trPr>
          <w:trHeight w:val="168"/>
        </w:trPr>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w:t>
            </w:r>
          </w:p>
        </w:tc>
        <w:tc>
          <w:tcPr>
            <w:tcW w:w="39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r>
      <w:tr>
        <w:trPr>
          <w:trHeight w:val="336"/>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Ernst &amp; Young, LLP</w:t>
            </w:r>
          </w:p>
        </w:tc>
        <w:tc>
          <w:tcPr>
            <w:tcW w:w="39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1,062,203</w:t>
            </w:r>
          </w:p>
        </w:tc>
        <w:tc>
          <w:tcPr>
            <w:tcW w:w="1440" w:type="dxa"/>
            <w:vAlign w:val="bottom"/>
          </w:tcPr>
          <w:p>
            <w:pPr>
              <w:spacing w:after="0"/>
              <w:rPr>
                <w:sz w:val="24"/>
                <w:szCs w:val="24"/>
                <w:color w:val="auto"/>
              </w:rPr>
            </w:pPr>
          </w:p>
        </w:tc>
      </w:tr>
      <w:tr>
        <w:trPr>
          <w:trHeight w:val="673"/>
        </w:trPr>
        <w:tc>
          <w:tcPr>
            <w:tcW w:w="1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900" w:type="dxa"/>
            <w:vAlign w:val="bottom"/>
          </w:tcPr>
          <w:p>
            <w:pPr>
              <w:jc w:val="right"/>
              <w:ind w:right="3647"/>
              <w:spacing w:after="0"/>
              <w:rPr>
                <w:sz w:val="20"/>
                <w:szCs w:val="20"/>
                <w:color w:val="auto"/>
              </w:rPr>
            </w:pPr>
            <w:r>
              <w:rPr>
                <w:rFonts w:ascii="Courier New" w:cs="Courier New" w:eastAsia="Courier New" w:hAnsi="Courier New"/>
                <w:sz w:val="15"/>
                <w:szCs w:val="15"/>
                <w:color w:val="auto"/>
                <w:w w:val="88"/>
              </w:rPr>
              <w:t>16</w:t>
            </w:r>
          </w:p>
        </w:tc>
        <w:tc>
          <w:tcPr>
            <w:tcW w:w="144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20" w:name="page21"/>
    <w:bookmarkEnd w:id="20"/>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PORTFOLIO OVERVIEW - FFO</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PERCENTAGE OF PROPERTY FUNDS FROM OPERATIONS* FOR IN-SERVICE PROPERTIES BY</w:t>
      </w:r>
    </w:p>
    <w:p>
      <w:pPr>
        <w:jc w:val="center"/>
        <w:ind w:right="3219"/>
        <w:spacing w:after="0" w:line="237" w:lineRule="auto"/>
        <w:rPr>
          <w:sz w:val="20"/>
          <w:szCs w:val="20"/>
          <w:color w:val="auto"/>
        </w:rPr>
      </w:pPr>
      <w:r>
        <w:rPr>
          <w:rFonts w:ascii="Courier New" w:cs="Courier New" w:eastAsia="Courier New" w:hAnsi="Courier New"/>
          <w:sz w:val="15"/>
          <w:szCs w:val="15"/>
          <w:color w:val="auto"/>
        </w:rPr>
        <w:t>LOCATION AND TYPE OF PROPERTY FOR THE QUARTER ENDED MARCH 31, 2000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ind w:left="540"/>
              <w:spacing w:after="0"/>
              <w:rPr>
                <w:sz w:val="20"/>
                <w:szCs w:val="20"/>
                <w:color w:val="auto"/>
              </w:rPr>
            </w:pPr>
            <w:r>
              <w:rPr>
                <w:rFonts w:ascii="Courier New" w:cs="Courier New" w:eastAsia="Courier New" w:hAnsi="Courier New"/>
                <w:sz w:val="15"/>
                <w:szCs w:val="15"/>
                <w:color w:val="auto"/>
              </w:rPr>
              <w:t>GEOGRAPHIC AREA</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OFFICE (1)</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R&amp;D</w:t>
            </w:r>
          </w:p>
        </w:tc>
        <w:tc>
          <w:tcPr>
            <w:tcW w:w="1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INDUSTRIAL HOTEL</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GARAGE</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25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Greater Boston</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Washington, D.C.</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San Francisco</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Midtown Manhattan</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n/a</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Baltimore, MD</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n/a</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Richmond, VA</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n/a</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Princeton/East Brunswick, NJ</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n/a</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Bucks County, PA</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2580" w:type="dxa"/>
            <w:vAlign w:val="bottom"/>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91.3%</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580" w:type="dxa"/>
            <w:vAlign w:val="bottom"/>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440" w:right="3839" w:hanging="430"/>
        <w:spacing w:after="0" w:line="234"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Retail Center FFO (Prudential Center Boston and Embarcadero Center).</w:t>
      </w:r>
    </w:p>
    <w:p>
      <w:pPr>
        <w:spacing w:after="0" w:line="173" w:lineRule="exact"/>
        <w:rPr>
          <w:sz w:val="20"/>
          <w:szCs w:val="20"/>
          <w:color w:val="auto"/>
        </w:rPr>
      </w:pPr>
    </w:p>
    <w:p>
      <w:pPr>
        <w:ind w:left="440" w:right="3399" w:hanging="430"/>
        <w:spacing w:after="0" w:line="235"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this table, Property Funds from Operations is equal to GAAP basis property NOI which includes the effect of straight-line rent and excludes any deduction for interest expense.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785" w:right="1440" w:bottom="1440" w:gutter="0" w:footer="0" w:header="0"/>
        </w:sectPr>
      </w:pPr>
    </w:p>
    <w:bookmarkStart w:id="21" w:name="page22"/>
    <w:bookmarkEnd w:id="21"/>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OCCUPANCY ANALYSIS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SAME PROPERTY OCCUPANCY - BY LOCATION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31-MAR-00</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31-MAR-99</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Greater Boston, MA</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99.0%</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98.4%</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Washington, D.C.</w:t>
            </w:r>
          </w:p>
        </w:tc>
        <w:tc>
          <w:tcPr>
            <w:tcW w:w="1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98.5%</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Midtown Manhattan, NY</w:t>
            </w:r>
          </w:p>
        </w:tc>
        <w:tc>
          <w:tcPr>
            <w:tcW w:w="1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99.9%</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Baltimore, MD</w:t>
            </w:r>
          </w:p>
        </w:tc>
        <w:tc>
          <w:tcPr>
            <w:tcW w:w="1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99.3%</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Princeton/East Brunswick, NJ</w:t>
            </w:r>
          </w:p>
        </w:tc>
        <w:tc>
          <w:tcPr>
            <w:tcW w:w="1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99.6%</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99.5%</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Richmond, VA</w:t>
            </w:r>
          </w:p>
        </w:tc>
        <w:tc>
          <w:tcPr>
            <w:tcW w:w="1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99.7%</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99.1%</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San Francisco, CA</w:t>
            </w:r>
          </w:p>
        </w:tc>
        <w:tc>
          <w:tcPr>
            <w:tcW w:w="1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99.1%</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96.5%</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Bucks County, PA</w:t>
            </w:r>
          </w:p>
        </w:tc>
        <w:tc>
          <w:tcPr>
            <w:tcW w:w="1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580" w:type="dxa"/>
            <w:vAlign w:val="bottom"/>
          </w:tcPr>
          <w:p>
            <w:pPr>
              <w:spacing w:after="0"/>
              <w:rPr>
                <w:sz w:val="14"/>
                <w:szCs w:val="14"/>
                <w:color w:val="auto"/>
              </w:rPr>
            </w:pP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Portfolio</w:t>
            </w:r>
          </w:p>
        </w:tc>
        <w:tc>
          <w:tcPr>
            <w:tcW w:w="1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98.7%</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98.4%</w:t>
            </w:r>
          </w:p>
        </w:tc>
      </w:tr>
      <w:tr>
        <w:trPr>
          <w:trHeight w:val="168"/>
        </w:trPr>
        <w:tc>
          <w:tcPr>
            <w:tcW w:w="2580" w:type="dxa"/>
            <w:vAlign w:val="bottom"/>
          </w:tcPr>
          <w:p>
            <w:pPr>
              <w:spacing w:after="0"/>
              <w:rPr>
                <w:sz w:val="14"/>
                <w:szCs w:val="14"/>
                <w:color w:val="auto"/>
              </w:rPr>
            </w:pP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4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SAME PROPERTY - BY TYPE OF PROPERTY</w:t>
            </w:r>
          </w:p>
        </w:tc>
      </w:tr>
      <w:tr>
        <w:trPr>
          <w:trHeight w:val="841"/>
        </w:trPr>
        <w:tc>
          <w:tcPr>
            <w:tcW w:w="2580" w:type="dxa"/>
            <w:vAlign w:val="bottom"/>
          </w:tcPr>
          <w:p>
            <w:pPr>
              <w:spacing w:after="0"/>
              <w:rPr>
                <w:sz w:val="24"/>
                <w:szCs w:val="24"/>
                <w:color w:val="auto"/>
              </w:rPr>
            </w:pP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31-MAR-00</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31-MAR-99</w:t>
            </w:r>
          </w:p>
        </w:tc>
      </w:tr>
      <w:tr>
        <w:trPr>
          <w:trHeight w:val="168"/>
        </w:trPr>
        <w:tc>
          <w:tcPr>
            <w:tcW w:w="2580" w:type="dxa"/>
            <w:vAlign w:val="bottom"/>
          </w:tcPr>
          <w:p>
            <w:pPr>
              <w:spacing w:after="0"/>
              <w:rPr>
                <w:sz w:val="14"/>
                <w:szCs w:val="14"/>
                <w:color w:val="auto"/>
              </w:rPr>
            </w:pPr>
          </w:p>
        </w:tc>
        <w:tc>
          <w:tcPr>
            <w:tcW w:w="1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Total Office Portfolio</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99.5%</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98.8%</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R&amp;D Portfolio</w:t>
            </w:r>
          </w:p>
        </w:tc>
        <w:tc>
          <w:tcPr>
            <w:tcW w:w="1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99.1%</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Industrial Portfolio</w:t>
            </w:r>
          </w:p>
        </w:tc>
        <w:tc>
          <w:tcPr>
            <w:tcW w:w="1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92.5%</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89.3%</w:t>
            </w:r>
          </w:p>
        </w:tc>
      </w:tr>
      <w:tr>
        <w:trPr>
          <w:trHeight w:val="168"/>
        </w:trPr>
        <w:tc>
          <w:tcPr>
            <w:tcW w:w="2580" w:type="dxa"/>
            <w:vAlign w:val="bottom"/>
          </w:tcPr>
          <w:p>
            <w:pPr>
              <w:spacing w:after="0"/>
              <w:rPr>
                <w:sz w:val="14"/>
                <w:szCs w:val="14"/>
                <w:color w:val="auto"/>
              </w:rPr>
            </w:pP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Portfolio</w:t>
            </w:r>
          </w:p>
        </w:tc>
        <w:tc>
          <w:tcPr>
            <w:tcW w:w="15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98.7%</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98.4%</w:t>
            </w:r>
          </w:p>
        </w:tc>
      </w:tr>
      <w:tr>
        <w:trPr>
          <w:trHeight w:val="168"/>
        </w:trPr>
        <w:tc>
          <w:tcPr>
            <w:tcW w:w="2580" w:type="dxa"/>
            <w:vAlign w:val="bottom"/>
          </w:tcPr>
          <w:p>
            <w:pPr>
              <w:spacing w:after="0"/>
              <w:rPr>
                <w:sz w:val="14"/>
                <w:szCs w:val="14"/>
                <w:color w:val="auto"/>
              </w:rPr>
            </w:pP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580" w:type="dxa"/>
            <w:vAlign w:val="bottom"/>
          </w:tcPr>
          <w:p>
            <w:pPr>
              <w:spacing w:after="0"/>
              <w:rPr>
                <w:sz w:val="24"/>
                <w:szCs w:val="24"/>
                <w:color w:val="auto"/>
              </w:rPr>
            </w:pP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w:t>
            </w:r>
          </w:p>
        </w:tc>
        <w:tc>
          <w:tcPr>
            <w:tcW w:w="136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22" w:name="page23"/>
    <w:bookmarkEnd w:id="22"/>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IN-SERVICE OFFICE PROPERTIES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4740" w:type="dxa"/>
            <w:vAlign w:val="bottom"/>
            <w:gridSpan w:val="2"/>
          </w:tcPr>
          <w:p>
            <w:pPr>
              <w:jc w:val="right"/>
              <w:ind w:right="1767"/>
              <w:spacing w:after="0"/>
              <w:rPr>
                <w:sz w:val="20"/>
                <w:szCs w:val="20"/>
                <w:color w:val="auto"/>
              </w:rPr>
            </w:pPr>
            <w:r>
              <w:rPr>
                <w:rFonts w:ascii="Courier New" w:cs="Courier New" w:eastAsia="Courier New" w:hAnsi="Courier New"/>
                <w:sz w:val="15"/>
                <w:szCs w:val="15"/>
                <w:color w:val="auto"/>
              </w:rPr>
              <w:t>LEASE EXPIRATIONS</w:t>
            </w:r>
          </w:p>
        </w:tc>
        <w:tc>
          <w:tcPr>
            <w:tcW w:w="24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841"/>
        </w:trPr>
        <w:tc>
          <w:tcPr>
            <w:tcW w:w="1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Courier New" w:cs="Courier New" w:eastAsia="Courier New" w:hAnsi="Courier New"/>
                <w:sz w:val="15"/>
                <w:szCs w:val="15"/>
                <w:color w:val="auto"/>
                <w:w w:val="97"/>
              </w:rPr>
              <w:t>ANNUALIZED</w:t>
            </w:r>
          </w:p>
        </w:tc>
        <w:tc>
          <w:tcPr>
            <w:tcW w:w="2140" w:type="dxa"/>
            <w:vAlign w:val="bottom"/>
          </w:tcPr>
          <w:p>
            <w:pPr>
              <w:spacing w:after="0"/>
              <w:rPr>
                <w:sz w:val="24"/>
                <w:szCs w:val="24"/>
                <w:color w:val="auto"/>
              </w:rPr>
            </w:pPr>
          </w:p>
        </w:tc>
      </w:tr>
      <w:tr>
        <w:trPr>
          <w:trHeight w:val="168"/>
        </w:trPr>
        <w:tc>
          <w:tcPr>
            <w:tcW w:w="1400" w:type="dxa"/>
            <w:vAlign w:val="bottom"/>
          </w:tcPr>
          <w:p>
            <w:pPr>
              <w:spacing w:after="0"/>
              <w:rPr>
                <w:sz w:val="14"/>
                <w:szCs w:val="14"/>
                <w:color w:val="auto"/>
              </w:rPr>
            </w:pPr>
          </w:p>
        </w:tc>
        <w:tc>
          <w:tcPr>
            <w:tcW w:w="23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RENTABLE SQUARE</w:t>
            </w:r>
          </w:p>
        </w:tc>
        <w:tc>
          <w:tcPr>
            <w:tcW w:w="24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CURRENT ANNUALIZED</w:t>
            </w:r>
          </w:p>
        </w:tc>
        <w:tc>
          <w:tcPr>
            <w:tcW w:w="2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REVENUES UNDER</w:t>
            </w:r>
          </w:p>
        </w:tc>
        <w:tc>
          <w:tcPr>
            <w:tcW w:w="214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2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24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REVENUES UNDER</w:t>
            </w:r>
          </w:p>
        </w:tc>
        <w:tc>
          <w:tcPr>
            <w:tcW w:w="2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EXPIRING LEASES</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PERCENTAGE OF TOTAL</w:t>
            </w:r>
          </w:p>
        </w:tc>
      </w:tr>
      <w:tr>
        <w:trPr>
          <w:trHeight w:val="168"/>
        </w:trPr>
        <w:tc>
          <w:tcPr>
            <w:tcW w:w="140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7"/>
              </w:rPr>
              <w:t>EXPIRATION</w:t>
            </w:r>
          </w:p>
        </w:tc>
        <w:tc>
          <w:tcPr>
            <w:tcW w:w="23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EXPIRING LEASES</w:t>
            </w:r>
          </w:p>
        </w:tc>
        <w:tc>
          <w:tcPr>
            <w:tcW w:w="24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EXPIRING LEASES</w:t>
            </w:r>
          </w:p>
        </w:tc>
        <w:tc>
          <w:tcPr>
            <w:tcW w:w="2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WITH FUTURE STEP-UPS</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SQUARE FEET EXPIRING</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3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4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0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4"/>
              </w:rPr>
              <w:t>2000</w:t>
            </w:r>
          </w:p>
        </w:tc>
        <w:tc>
          <w:tcPr>
            <w:tcW w:w="23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960,200</w:t>
            </w:r>
          </w:p>
        </w:tc>
        <w:tc>
          <w:tcPr>
            <w:tcW w:w="24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$ 27,340,642</w:t>
            </w:r>
          </w:p>
        </w:tc>
        <w:tc>
          <w:tcPr>
            <w:tcW w:w="248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$ 27,344,939</w:t>
            </w:r>
          </w:p>
        </w:tc>
        <w:tc>
          <w:tcPr>
            <w:tcW w:w="2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5.55%</w:t>
            </w:r>
          </w:p>
        </w:tc>
      </w:tr>
      <w:tr>
        <w:trPr>
          <w:trHeight w:val="168"/>
        </w:trPr>
        <w:tc>
          <w:tcPr>
            <w:tcW w:w="140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4"/>
              </w:rPr>
              <w:t>2001</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2,266,364</w:t>
            </w:r>
          </w:p>
        </w:tc>
        <w:tc>
          <w:tcPr>
            <w:tcW w:w="24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69,079,420</w:t>
            </w:r>
          </w:p>
        </w:tc>
        <w:tc>
          <w:tcPr>
            <w:tcW w:w="24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69,534,189</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10.97%</w:t>
            </w:r>
          </w:p>
        </w:tc>
      </w:tr>
      <w:tr>
        <w:trPr>
          <w:trHeight w:val="168"/>
        </w:trPr>
        <w:tc>
          <w:tcPr>
            <w:tcW w:w="140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4"/>
              </w:rPr>
              <w:t>2002</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2,073,891</w:t>
            </w:r>
          </w:p>
        </w:tc>
        <w:tc>
          <w:tcPr>
            <w:tcW w:w="24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80,185,076</w:t>
            </w:r>
          </w:p>
        </w:tc>
        <w:tc>
          <w:tcPr>
            <w:tcW w:w="24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80,878,369</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9.90%</w:t>
            </w:r>
          </w:p>
        </w:tc>
      </w:tr>
      <w:tr>
        <w:trPr>
          <w:trHeight w:val="168"/>
        </w:trPr>
        <w:tc>
          <w:tcPr>
            <w:tcW w:w="140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4"/>
              </w:rPr>
              <w:t>2003</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1,826,513</w:t>
            </w:r>
          </w:p>
        </w:tc>
        <w:tc>
          <w:tcPr>
            <w:tcW w:w="24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56,354,940</w:t>
            </w:r>
          </w:p>
        </w:tc>
        <w:tc>
          <w:tcPr>
            <w:tcW w:w="24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57,743,122</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8.29%</w:t>
            </w:r>
          </w:p>
        </w:tc>
      </w:tr>
      <w:tr>
        <w:trPr>
          <w:trHeight w:val="168"/>
        </w:trPr>
        <w:tc>
          <w:tcPr>
            <w:tcW w:w="140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4"/>
              </w:rPr>
              <w:t>2004</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2,582,784</w:t>
            </w:r>
          </w:p>
        </w:tc>
        <w:tc>
          <w:tcPr>
            <w:tcW w:w="24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87,609,676</w:t>
            </w:r>
          </w:p>
        </w:tc>
        <w:tc>
          <w:tcPr>
            <w:tcW w:w="24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91,350,786</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11.68%</w:t>
            </w:r>
          </w:p>
        </w:tc>
      </w:tr>
      <w:tr>
        <w:trPr>
          <w:trHeight w:val="168"/>
        </w:trPr>
        <w:tc>
          <w:tcPr>
            <w:tcW w:w="140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4"/>
              </w:rPr>
              <w:t>2005</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1,722,555</w:t>
            </w:r>
          </w:p>
        </w:tc>
        <w:tc>
          <w:tcPr>
            <w:tcW w:w="24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50,446,124</w:t>
            </w:r>
          </w:p>
        </w:tc>
        <w:tc>
          <w:tcPr>
            <w:tcW w:w="24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54,128,258</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6.64%</w:t>
            </w:r>
          </w:p>
        </w:tc>
      </w:tr>
      <w:tr>
        <w:trPr>
          <w:trHeight w:val="168"/>
        </w:trPr>
        <w:tc>
          <w:tcPr>
            <w:tcW w:w="140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4"/>
              </w:rPr>
              <w:t>2006</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2,723,204</w:t>
            </w:r>
          </w:p>
        </w:tc>
        <w:tc>
          <w:tcPr>
            <w:tcW w:w="24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88,695,125</w:t>
            </w:r>
          </w:p>
        </w:tc>
        <w:tc>
          <w:tcPr>
            <w:tcW w:w="24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97,052,358</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12.25%</w:t>
            </w:r>
          </w:p>
        </w:tc>
      </w:tr>
      <w:tr>
        <w:trPr>
          <w:trHeight w:val="168"/>
        </w:trPr>
        <w:tc>
          <w:tcPr>
            <w:tcW w:w="140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4"/>
              </w:rPr>
              <w:t>2007</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1,652,453</w:t>
            </w:r>
          </w:p>
        </w:tc>
        <w:tc>
          <w:tcPr>
            <w:tcW w:w="24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67,381,684</w:t>
            </w:r>
          </w:p>
        </w:tc>
        <w:tc>
          <w:tcPr>
            <w:tcW w:w="24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69,039,788</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7.37%</w:t>
            </w:r>
          </w:p>
        </w:tc>
      </w:tr>
      <w:tr>
        <w:trPr>
          <w:trHeight w:val="168"/>
        </w:trPr>
        <w:tc>
          <w:tcPr>
            <w:tcW w:w="140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4"/>
              </w:rPr>
              <w:t>2008</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872,797</w:t>
            </w:r>
          </w:p>
        </w:tc>
        <w:tc>
          <w:tcPr>
            <w:tcW w:w="24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30,412,206</w:t>
            </w:r>
          </w:p>
        </w:tc>
        <w:tc>
          <w:tcPr>
            <w:tcW w:w="24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28,455,992</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4.03%</w:t>
            </w:r>
          </w:p>
        </w:tc>
      </w:tr>
      <w:tr>
        <w:trPr>
          <w:trHeight w:val="168"/>
        </w:trPr>
        <w:tc>
          <w:tcPr>
            <w:tcW w:w="140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4"/>
              </w:rPr>
              <w:t>2009</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1,720,115</w:t>
            </w:r>
          </w:p>
        </w:tc>
        <w:tc>
          <w:tcPr>
            <w:tcW w:w="24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55,628,093</w:t>
            </w:r>
          </w:p>
        </w:tc>
        <w:tc>
          <w:tcPr>
            <w:tcW w:w="24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63,663,808</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8.25%</w:t>
            </w:r>
          </w:p>
        </w:tc>
      </w:tr>
      <w:tr>
        <w:trPr>
          <w:trHeight w:val="168"/>
        </w:trPr>
        <w:tc>
          <w:tcPr>
            <w:tcW w:w="140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7"/>
              </w:rPr>
              <w:t>Thereafter</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3,724,851</w:t>
            </w:r>
          </w:p>
        </w:tc>
        <w:tc>
          <w:tcPr>
            <w:tcW w:w="24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113,688,281</w:t>
            </w:r>
          </w:p>
        </w:tc>
        <w:tc>
          <w:tcPr>
            <w:tcW w:w="24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136,408,677</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15.07%</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OCCUPANCY BY LOCATION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4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31-MAR-00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31-MAR-99</w:t>
            </w:r>
          </w:p>
        </w:tc>
      </w:tr>
      <w:tr>
        <w:trPr>
          <w:trHeight w:val="168"/>
        </w:trPr>
        <w:tc>
          <w:tcPr>
            <w:tcW w:w="2940" w:type="dxa"/>
            <w:vAlign w:val="bottom"/>
          </w:tcPr>
          <w:p>
            <w:pPr>
              <w:spacing w:after="0"/>
              <w:rPr>
                <w:sz w:val="14"/>
                <w:szCs w:val="14"/>
                <w:color w:val="auto"/>
              </w:rPr>
            </w:pPr>
          </w:p>
        </w:tc>
        <w:tc>
          <w:tcPr>
            <w:tcW w:w="24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Greater Boston, MA</w:t>
            </w:r>
          </w:p>
        </w:tc>
        <w:tc>
          <w:tcPr>
            <w:tcW w:w="24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99.2%</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98.5%</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Washington, D.C.</w:t>
            </w:r>
          </w:p>
        </w:tc>
        <w:tc>
          <w:tcPr>
            <w:tcW w:w="24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98.4%</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98.5%</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Midtown Manhattan, NY</w:t>
            </w:r>
          </w:p>
        </w:tc>
        <w:tc>
          <w:tcPr>
            <w:tcW w:w="24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100.0%</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99.9%</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Baltimore, MD</w:t>
            </w:r>
          </w:p>
        </w:tc>
        <w:tc>
          <w:tcPr>
            <w:tcW w:w="24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99.3%</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Richmond, VA</w:t>
            </w:r>
          </w:p>
        </w:tc>
        <w:tc>
          <w:tcPr>
            <w:tcW w:w="24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99.7%</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99.1%</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Princeton/East Brunswick, NJ</w:t>
            </w:r>
          </w:p>
        </w:tc>
        <w:tc>
          <w:tcPr>
            <w:tcW w:w="24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99.7%</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99.5%</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San Francisco, CA</w:t>
            </w:r>
          </w:p>
        </w:tc>
        <w:tc>
          <w:tcPr>
            <w:tcW w:w="24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98.9%</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96.7%</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Bucks County, PA</w:t>
            </w:r>
          </w:p>
        </w:tc>
        <w:tc>
          <w:tcPr>
            <w:tcW w:w="24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n/a</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2940" w:type="dxa"/>
            <w:vAlign w:val="bottom"/>
          </w:tcPr>
          <w:p>
            <w:pPr>
              <w:spacing w:after="0"/>
              <w:rPr>
                <w:sz w:val="14"/>
                <w:szCs w:val="14"/>
                <w:color w:val="auto"/>
              </w:rPr>
            </w:pPr>
          </w:p>
        </w:tc>
        <w:tc>
          <w:tcPr>
            <w:tcW w:w="24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Office Portfolio</w:t>
            </w:r>
          </w:p>
        </w:tc>
        <w:tc>
          <w:tcPr>
            <w:tcW w:w="24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99.1%</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98.5%</w:t>
            </w:r>
          </w:p>
        </w:tc>
      </w:tr>
      <w:tr>
        <w:trPr>
          <w:trHeight w:val="168"/>
        </w:trPr>
        <w:tc>
          <w:tcPr>
            <w:tcW w:w="2940" w:type="dxa"/>
            <w:vAlign w:val="bottom"/>
          </w:tcPr>
          <w:p>
            <w:pPr>
              <w:spacing w:after="0"/>
              <w:rPr>
                <w:sz w:val="14"/>
                <w:szCs w:val="14"/>
                <w:color w:val="auto"/>
              </w:rPr>
            </w:pPr>
          </w:p>
        </w:tc>
        <w:tc>
          <w:tcPr>
            <w:tcW w:w="24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940" w:type="dxa"/>
            <w:vAlign w:val="bottom"/>
          </w:tcPr>
          <w:p>
            <w:pPr>
              <w:spacing w:after="0"/>
              <w:rPr>
                <w:sz w:val="24"/>
                <w:szCs w:val="24"/>
                <w:color w:val="auto"/>
              </w:rPr>
            </w:pPr>
          </w:p>
        </w:tc>
        <w:tc>
          <w:tcPr>
            <w:tcW w:w="2440" w:type="dxa"/>
            <w:vAlign w:val="bottom"/>
          </w:tcPr>
          <w:p>
            <w:pPr>
              <w:jc w:val="right"/>
              <w:ind w:right="1707"/>
              <w:spacing w:after="0"/>
              <w:rPr>
                <w:sz w:val="20"/>
                <w:szCs w:val="20"/>
                <w:color w:val="auto"/>
              </w:rPr>
            </w:pPr>
            <w:r>
              <w:rPr>
                <w:rFonts w:ascii="Courier New" w:cs="Courier New" w:eastAsia="Courier New" w:hAnsi="Courier New"/>
                <w:sz w:val="15"/>
                <w:szCs w:val="15"/>
                <w:color w:val="auto"/>
              </w:rPr>
              <w:t>19</w:t>
            </w:r>
          </w:p>
        </w:tc>
        <w:tc>
          <w:tcPr>
            <w:tcW w:w="1620" w:type="dxa"/>
            <w:vAlign w:val="bottom"/>
          </w:tcPr>
          <w:p>
            <w:pPr>
              <w:spacing w:after="0"/>
              <w:rPr>
                <w:sz w:val="24"/>
                <w:szCs w:val="24"/>
                <w:color w:val="auto"/>
              </w:rPr>
            </w:pPr>
          </w:p>
        </w:tc>
      </w:tr>
    </w:tbl>
    <w:p>
      <w:pPr>
        <w:sectPr>
          <w:pgSz w:w="11900" w:h="16838" w:orient="portrait"/>
          <w:cols w:equalWidth="0" w:num="1">
            <w:col w:w="10760"/>
          </w:cols>
          <w:pgMar w:left="220" w:top="785" w:right="919" w:bottom="1440" w:gutter="0" w:footer="0" w:header="0"/>
        </w:sectPr>
      </w:pPr>
    </w:p>
    <w:bookmarkStart w:id="23" w:name="page24"/>
    <w:bookmarkEnd w:id="23"/>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IN-SERVICE R&amp;D PROPERTIES</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LEASE EXPIRATIONS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5"/>
              </w:rPr>
              <w:t>ANNUALIZED</w:t>
            </w:r>
          </w:p>
        </w:tc>
        <w:tc>
          <w:tcPr>
            <w:tcW w:w="2100" w:type="dxa"/>
            <w:vAlign w:val="bottom"/>
          </w:tcPr>
          <w:p>
            <w:pPr>
              <w:spacing w:after="0"/>
              <w:rPr>
                <w:sz w:val="14"/>
                <w:szCs w:val="14"/>
                <w:color w:val="auto"/>
              </w:rPr>
            </w:pPr>
          </w:p>
        </w:tc>
      </w:tr>
      <w:tr>
        <w:trPr>
          <w:trHeight w:val="168"/>
        </w:trPr>
        <w:tc>
          <w:tcPr>
            <w:tcW w:w="1400" w:type="dxa"/>
            <w:vAlign w:val="bottom"/>
          </w:tcPr>
          <w:p>
            <w:pPr>
              <w:spacing w:after="0"/>
              <w:rPr>
                <w:sz w:val="14"/>
                <w:szCs w:val="14"/>
                <w:color w:val="auto"/>
              </w:rPr>
            </w:pP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RENTABLE SQUARE</w:t>
            </w:r>
          </w:p>
        </w:tc>
        <w:tc>
          <w:tcPr>
            <w:tcW w:w="2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CURRENT ANNUALIZED</w:t>
            </w:r>
          </w:p>
        </w:tc>
        <w:tc>
          <w:tcPr>
            <w:tcW w:w="22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REVENUES UNDER</w:t>
            </w:r>
          </w:p>
        </w:tc>
        <w:tc>
          <w:tcPr>
            <w:tcW w:w="210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EAR OF LEASE</w:t>
            </w:r>
          </w:p>
        </w:tc>
        <w:tc>
          <w:tcPr>
            <w:tcW w:w="23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REVENUES UNDER</w:t>
            </w:r>
          </w:p>
        </w:tc>
        <w:tc>
          <w:tcPr>
            <w:tcW w:w="22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EXPIRING LEASES</w:t>
            </w:r>
          </w:p>
        </w:tc>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PERCENTAGE OF TOTAL</w:t>
            </w:r>
          </w:p>
        </w:tc>
      </w:tr>
      <w:tr>
        <w:trPr>
          <w:trHeight w:val="168"/>
        </w:trPr>
        <w:tc>
          <w:tcPr>
            <w:tcW w:w="140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7"/>
              </w:rPr>
              <w:t>EXPIRATION</w:t>
            </w:r>
          </w:p>
        </w:tc>
        <w:tc>
          <w:tcPr>
            <w:tcW w:w="2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EXPIRING LEASES</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EXPIRING LEASES</w:t>
            </w:r>
          </w:p>
        </w:tc>
        <w:tc>
          <w:tcPr>
            <w:tcW w:w="22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WITH FUTURE STEP-UPS</w:t>
            </w:r>
          </w:p>
        </w:tc>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SQUARE FEET EXPIRING</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0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4"/>
              </w:rPr>
              <w:t>2000</w:t>
            </w:r>
          </w:p>
        </w:tc>
        <w:tc>
          <w:tcPr>
            <w:tcW w:w="23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255,262</w:t>
            </w:r>
          </w:p>
        </w:tc>
        <w:tc>
          <w:tcPr>
            <w:tcW w:w="21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$ 2,691,224</w:t>
            </w:r>
          </w:p>
        </w:tc>
        <w:tc>
          <w:tcPr>
            <w:tcW w:w="2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$ 2,691,224</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13.12%</w:t>
            </w:r>
          </w:p>
        </w:tc>
      </w:tr>
      <w:tr>
        <w:trPr>
          <w:trHeight w:val="168"/>
        </w:trPr>
        <w:tc>
          <w:tcPr>
            <w:tcW w:w="140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4"/>
              </w:rPr>
              <w:t>2001</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287,074</w:t>
            </w:r>
          </w:p>
        </w:tc>
        <w:tc>
          <w:tcPr>
            <w:tcW w:w="21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3,561,337</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3,609,481</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14.76%</w:t>
            </w:r>
          </w:p>
        </w:tc>
      </w:tr>
      <w:tr>
        <w:trPr>
          <w:trHeight w:val="168"/>
        </w:trPr>
        <w:tc>
          <w:tcPr>
            <w:tcW w:w="140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4"/>
              </w:rPr>
              <w:t>2002</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352,246</w:t>
            </w:r>
          </w:p>
        </w:tc>
        <w:tc>
          <w:tcPr>
            <w:tcW w:w="21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4,926,617</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5,060,689</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18.11%</w:t>
            </w:r>
          </w:p>
        </w:tc>
      </w:tr>
      <w:tr>
        <w:trPr>
          <w:trHeight w:val="168"/>
        </w:trPr>
        <w:tc>
          <w:tcPr>
            <w:tcW w:w="140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4"/>
              </w:rPr>
              <w:t>2003</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95,307</w:t>
            </w:r>
          </w:p>
        </w:tc>
        <w:tc>
          <w:tcPr>
            <w:tcW w:w="21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1,183,957</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1,259,539</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4.90%</w:t>
            </w:r>
          </w:p>
        </w:tc>
      </w:tr>
      <w:tr>
        <w:trPr>
          <w:trHeight w:val="168"/>
        </w:trPr>
        <w:tc>
          <w:tcPr>
            <w:tcW w:w="140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4"/>
              </w:rPr>
              <w:t>2004</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84,881</w:t>
            </w:r>
          </w:p>
        </w:tc>
        <w:tc>
          <w:tcPr>
            <w:tcW w:w="21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1,184,285</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1,311,777</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4.36%</w:t>
            </w:r>
          </w:p>
        </w:tc>
      </w:tr>
      <w:tr>
        <w:trPr>
          <w:trHeight w:val="168"/>
        </w:trPr>
        <w:tc>
          <w:tcPr>
            <w:tcW w:w="140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4"/>
              </w:rPr>
              <w:t>2005</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164,149</w:t>
            </w:r>
          </w:p>
        </w:tc>
        <w:tc>
          <w:tcPr>
            <w:tcW w:w="21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1,948,603</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2,108,130</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8.44%</w:t>
            </w:r>
          </w:p>
        </w:tc>
      </w:tr>
      <w:tr>
        <w:trPr>
          <w:trHeight w:val="168"/>
        </w:trPr>
        <w:tc>
          <w:tcPr>
            <w:tcW w:w="140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4"/>
              </w:rPr>
              <w:t>2006</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203,000</w:t>
            </w:r>
          </w:p>
        </w:tc>
        <w:tc>
          <w:tcPr>
            <w:tcW w:w="21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2,283,339</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2,395,839</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10.44%</w:t>
            </w:r>
          </w:p>
        </w:tc>
      </w:tr>
      <w:tr>
        <w:trPr>
          <w:trHeight w:val="168"/>
        </w:trPr>
        <w:tc>
          <w:tcPr>
            <w:tcW w:w="140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4"/>
              </w:rPr>
              <w:t>2007</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157,895</w:t>
            </w:r>
          </w:p>
        </w:tc>
        <w:tc>
          <w:tcPr>
            <w:tcW w:w="21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2,758,770</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3,004,946</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8.12%</w:t>
            </w:r>
          </w:p>
        </w:tc>
      </w:tr>
      <w:tr>
        <w:trPr>
          <w:trHeight w:val="168"/>
        </w:trPr>
        <w:tc>
          <w:tcPr>
            <w:tcW w:w="140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4"/>
              </w:rPr>
              <w:t>2008</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140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4"/>
              </w:rPr>
              <w:t>2009</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59,838</w:t>
            </w:r>
          </w:p>
        </w:tc>
        <w:tc>
          <w:tcPr>
            <w:tcW w:w="21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770,707</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981,557</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3.08%</w:t>
            </w:r>
          </w:p>
        </w:tc>
      </w:tr>
      <w:tr>
        <w:trPr>
          <w:trHeight w:val="168"/>
        </w:trPr>
        <w:tc>
          <w:tcPr>
            <w:tcW w:w="140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7"/>
              </w:rPr>
              <w:t>Thereafter</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285,371</w:t>
            </w:r>
          </w:p>
        </w:tc>
        <w:tc>
          <w:tcPr>
            <w:tcW w:w="21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4,896,006</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5,841,712</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14.67%</w:t>
            </w:r>
          </w:p>
        </w:tc>
      </w:tr>
    </w:tbl>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OCCUPANCY BY LOCATION</w:t>
            </w:r>
          </w:p>
        </w:tc>
        <w:tc>
          <w:tcPr>
            <w:tcW w:w="1260" w:type="dxa"/>
            <w:vAlign w:val="bottom"/>
          </w:tcPr>
          <w:p>
            <w:pPr>
              <w:spacing w:after="0"/>
              <w:rPr>
                <w:sz w:val="14"/>
                <w:szCs w:val="14"/>
                <w:color w:val="auto"/>
              </w:rPr>
            </w:pPr>
          </w:p>
        </w:tc>
      </w:tr>
      <w:tr>
        <w:trPr>
          <w:trHeight w:val="841"/>
        </w:trPr>
        <w:tc>
          <w:tcPr>
            <w:tcW w:w="2540" w:type="dxa"/>
            <w:vAlign w:val="bottom"/>
          </w:tcPr>
          <w:p>
            <w:pPr>
              <w:spacing w:after="0"/>
              <w:rPr>
                <w:sz w:val="24"/>
                <w:szCs w:val="24"/>
                <w:color w:val="auto"/>
              </w:rPr>
            </w:pPr>
          </w:p>
        </w:tc>
        <w:tc>
          <w:tcPr>
            <w:tcW w:w="24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31-MAR-00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31-MAR-99</w:t>
            </w:r>
          </w:p>
        </w:tc>
      </w:tr>
      <w:tr>
        <w:trPr>
          <w:trHeight w:val="168"/>
        </w:trPr>
        <w:tc>
          <w:tcPr>
            <w:tcW w:w="2540" w:type="dxa"/>
            <w:vAlign w:val="bottom"/>
          </w:tcPr>
          <w:p>
            <w:pPr>
              <w:spacing w:after="0"/>
              <w:rPr>
                <w:sz w:val="14"/>
                <w:szCs w:val="14"/>
                <w:color w:val="auto"/>
              </w:rPr>
            </w:pPr>
          </w:p>
        </w:tc>
        <w:tc>
          <w:tcPr>
            <w:tcW w:w="242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Greater Boston, MA</w:t>
            </w:r>
          </w:p>
        </w:tc>
        <w:tc>
          <w:tcPr>
            <w:tcW w:w="24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Washington, D.C.</w:t>
            </w:r>
          </w:p>
        </w:tc>
        <w:tc>
          <w:tcPr>
            <w:tcW w:w="242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91.2%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98.8%</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Midtown Manhattan, NY</w:t>
            </w:r>
          </w:p>
        </w:tc>
        <w:tc>
          <w:tcPr>
            <w:tcW w:w="242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Baltimore, MD</w:t>
            </w:r>
          </w:p>
        </w:tc>
        <w:tc>
          <w:tcPr>
            <w:tcW w:w="242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Richmond, VA</w:t>
            </w:r>
          </w:p>
        </w:tc>
        <w:tc>
          <w:tcPr>
            <w:tcW w:w="242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Princeton/East Brunswick, NJ</w:t>
            </w:r>
          </w:p>
        </w:tc>
        <w:tc>
          <w:tcPr>
            <w:tcW w:w="242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San Francisco, CA</w:t>
            </w:r>
          </w:p>
        </w:tc>
        <w:tc>
          <w:tcPr>
            <w:tcW w:w="242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97.6%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Bucks County, PA</w:t>
            </w:r>
          </w:p>
        </w:tc>
        <w:tc>
          <w:tcPr>
            <w:tcW w:w="242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2540" w:type="dxa"/>
            <w:vAlign w:val="bottom"/>
          </w:tcPr>
          <w:p>
            <w:pPr>
              <w:spacing w:after="0"/>
              <w:rPr>
                <w:sz w:val="14"/>
                <w:szCs w:val="14"/>
                <w:color w:val="auto"/>
              </w:rPr>
            </w:pPr>
          </w:p>
        </w:tc>
        <w:tc>
          <w:tcPr>
            <w:tcW w:w="242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R&amp;D Portfolio</w:t>
            </w:r>
          </w:p>
        </w:tc>
        <w:tc>
          <w:tcPr>
            <w:tcW w:w="242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94.0%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99.1%</w:t>
            </w:r>
          </w:p>
        </w:tc>
      </w:tr>
      <w:tr>
        <w:trPr>
          <w:trHeight w:val="168"/>
        </w:trPr>
        <w:tc>
          <w:tcPr>
            <w:tcW w:w="2540" w:type="dxa"/>
            <w:vAlign w:val="bottom"/>
          </w:tcPr>
          <w:p>
            <w:pPr>
              <w:spacing w:after="0"/>
              <w:rPr>
                <w:sz w:val="14"/>
                <w:szCs w:val="14"/>
                <w:color w:val="auto"/>
              </w:rPr>
            </w:pPr>
          </w:p>
        </w:tc>
        <w:tc>
          <w:tcPr>
            <w:tcW w:w="242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540" w:type="dxa"/>
            <w:vAlign w:val="bottom"/>
          </w:tcPr>
          <w:p>
            <w:pPr>
              <w:spacing w:after="0"/>
              <w:rPr>
                <w:sz w:val="24"/>
                <w:szCs w:val="24"/>
                <w:color w:val="auto"/>
              </w:rPr>
            </w:pPr>
          </w:p>
        </w:tc>
        <w:tc>
          <w:tcPr>
            <w:tcW w:w="242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20</w:t>
            </w:r>
          </w:p>
        </w:tc>
        <w:tc>
          <w:tcPr>
            <w:tcW w:w="126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24" w:name="page25"/>
    <w:bookmarkEnd w:id="24"/>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IN-SERVICE INDUSTRIAL PROPERTIES</w:t>
      </w:r>
    </w:p>
    <w:p>
      <w:pPr>
        <w:spacing w:after="0" w:line="166"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4460" w:type="dxa"/>
            <w:vAlign w:val="bottom"/>
            <w:gridSpan w:val="2"/>
          </w:tcPr>
          <w:p>
            <w:pPr>
              <w:jc w:val="right"/>
              <w:ind w:right="1547"/>
              <w:spacing w:after="0"/>
              <w:rPr>
                <w:sz w:val="20"/>
                <w:szCs w:val="20"/>
                <w:color w:val="auto"/>
              </w:rPr>
            </w:pPr>
            <w:r>
              <w:rPr>
                <w:rFonts w:ascii="Courier New" w:cs="Courier New" w:eastAsia="Courier New" w:hAnsi="Courier New"/>
                <w:sz w:val="15"/>
                <w:szCs w:val="15"/>
                <w:color w:val="auto"/>
              </w:rPr>
              <w:t>LEASE EXPIRATIONS</w:t>
            </w:r>
          </w:p>
        </w:tc>
        <w:tc>
          <w:tcPr>
            <w:tcW w:w="22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841"/>
        </w:trPr>
        <w:tc>
          <w:tcPr>
            <w:tcW w:w="1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ANNUALIZED</w:t>
            </w:r>
          </w:p>
        </w:tc>
        <w:tc>
          <w:tcPr>
            <w:tcW w:w="2060" w:type="dxa"/>
            <w:vAlign w:val="bottom"/>
          </w:tcPr>
          <w:p>
            <w:pPr>
              <w:spacing w:after="0"/>
              <w:rPr>
                <w:sz w:val="24"/>
                <w:szCs w:val="24"/>
                <w:color w:val="auto"/>
              </w:rPr>
            </w:pPr>
          </w:p>
        </w:tc>
      </w:tr>
      <w:tr>
        <w:trPr>
          <w:trHeight w:val="168"/>
        </w:trPr>
        <w:tc>
          <w:tcPr>
            <w:tcW w:w="1360" w:type="dxa"/>
            <w:vAlign w:val="bottom"/>
          </w:tcPr>
          <w:p>
            <w:pPr>
              <w:spacing w:after="0"/>
              <w:rPr>
                <w:sz w:val="14"/>
                <w:szCs w:val="14"/>
                <w:color w:val="auto"/>
              </w:rPr>
            </w:pP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RENTABLE SQUARE</w:t>
            </w: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CURRENT ANNUALIZED</w:t>
            </w:r>
          </w:p>
        </w:tc>
        <w:tc>
          <w:tcPr>
            <w:tcW w:w="22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REVENUES UNDER</w:t>
            </w:r>
          </w:p>
        </w:tc>
        <w:tc>
          <w:tcPr>
            <w:tcW w:w="206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2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2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REVENUES UNDER</w:t>
            </w:r>
          </w:p>
        </w:tc>
        <w:tc>
          <w:tcPr>
            <w:tcW w:w="2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EXPIRING LEASES</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PERCENTAGE OF TOTAL</w:t>
            </w:r>
          </w:p>
        </w:tc>
      </w:tr>
      <w:tr>
        <w:trPr>
          <w:trHeight w:val="168"/>
        </w:trPr>
        <w:tc>
          <w:tcPr>
            <w:tcW w:w="1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EXPIRATION</w:t>
            </w:r>
          </w:p>
        </w:tc>
        <w:tc>
          <w:tcPr>
            <w:tcW w:w="2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EXPIRING LEASES</w:t>
            </w:r>
          </w:p>
        </w:tc>
        <w:tc>
          <w:tcPr>
            <w:tcW w:w="2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EXPIRING LEASES</w:t>
            </w:r>
          </w:p>
        </w:tc>
        <w:tc>
          <w:tcPr>
            <w:tcW w:w="22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WITH FUTURE STEP-UPS</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SQUARE FEET EXPIRING</w:t>
            </w:r>
          </w:p>
        </w:tc>
      </w:tr>
      <w:tr>
        <w:trPr>
          <w:trHeight w:val="168"/>
        </w:trPr>
        <w:tc>
          <w:tcPr>
            <w:tcW w:w="136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2000</w:t>
            </w:r>
          </w:p>
        </w:tc>
        <w:tc>
          <w:tcPr>
            <w:tcW w:w="22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255,405</w:t>
            </w:r>
          </w:p>
        </w:tc>
        <w:tc>
          <w:tcPr>
            <w:tcW w:w="2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$ 1,424,211</w:t>
            </w:r>
          </w:p>
        </w:tc>
        <w:tc>
          <w:tcPr>
            <w:tcW w:w="22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$ 1,424,211</w:t>
            </w: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29.82%</w:t>
            </w:r>
          </w:p>
        </w:tc>
      </w:tr>
      <w:tr>
        <w:trPr>
          <w:trHeight w:val="168"/>
        </w:trPr>
        <w:tc>
          <w:tcPr>
            <w:tcW w:w="136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9"/>
              </w:rPr>
              <w:t>2001</w:t>
            </w:r>
          </w:p>
        </w:tc>
        <w:tc>
          <w:tcPr>
            <w:tcW w:w="2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70,829</w:t>
            </w:r>
          </w:p>
        </w:tc>
        <w:tc>
          <w:tcPr>
            <w:tcW w:w="2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381,905</w:t>
            </w:r>
          </w:p>
        </w:tc>
        <w:tc>
          <w:tcPr>
            <w:tcW w:w="2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381,905</w:t>
            </w:r>
          </w:p>
        </w:tc>
        <w:tc>
          <w:tcPr>
            <w:tcW w:w="2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8.27%</w:t>
            </w:r>
          </w:p>
        </w:tc>
      </w:tr>
      <w:tr>
        <w:trPr>
          <w:trHeight w:val="168"/>
        </w:trPr>
        <w:tc>
          <w:tcPr>
            <w:tcW w:w="136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9"/>
              </w:rPr>
              <w:t>2002</w:t>
            </w:r>
          </w:p>
        </w:tc>
        <w:tc>
          <w:tcPr>
            <w:tcW w:w="2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23,904</w:t>
            </w:r>
          </w:p>
        </w:tc>
        <w:tc>
          <w:tcPr>
            <w:tcW w:w="2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207,563</w:t>
            </w:r>
          </w:p>
        </w:tc>
        <w:tc>
          <w:tcPr>
            <w:tcW w:w="2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207,563</w:t>
            </w:r>
          </w:p>
        </w:tc>
        <w:tc>
          <w:tcPr>
            <w:tcW w:w="2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2.79%</w:t>
            </w:r>
          </w:p>
        </w:tc>
      </w:tr>
      <w:tr>
        <w:trPr>
          <w:trHeight w:val="168"/>
        </w:trPr>
        <w:tc>
          <w:tcPr>
            <w:tcW w:w="136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9"/>
              </w:rPr>
              <w:t>2003</w:t>
            </w:r>
          </w:p>
        </w:tc>
        <w:tc>
          <w:tcPr>
            <w:tcW w:w="2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147,305</w:t>
            </w:r>
          </w:p>
        </w:tc>
        <w:tc>
          <w:tcPr>
            <w:tcW w:w="2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989,907</w:t>
            </w:r>
          </w:p>
        </w:tc>
        <w:tc>
          <w:tcPr>
            <w:tcW w:w="2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1,053,959</w:t>
            </w:r>
          </w:p>
        </w:tc>
        <w:tc>
          <w:tcPr>
            <w:tcW w:w="2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17.20%</w:t>
            </w:r>
          </w:p>
        </w:tc>
      </w:tr>
      <w:tr>
        <w:trPr>
          <w:trHeight w:val="168"/>
        </w:trPr>
        <w:tc>
          <w:tcPr>
            <w:tcW w:w="136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9"/>
              </w:rPr>
              <w:t>2004</w:t>
            </w:r>
          </w:p>
        </w:tc>
        <w:tc>
          <w:tcPr>
            <w:tcW w:w="2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235,076</w:t>
            </w:r>
          </w:p>
        </w:tc>
        <w:tc>
          <w:tcPr>
            <w:tcW w:w="2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1,363,056</w:t>
            </w:r>
          </w:p>
        </w:tc>
        <w:tc>
          <w:tcPr>
            <w:tcW w:w="2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1,456,556</w:t>
            </w:r>
          </w:p>
        </w:tc>
        <w:tc>
          <w:tcPr>
            <w:tcW w:w="2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27.44%</w:t>
            </w:r>
          </w:p>
        </w:tc>
      </w:tr>
      <w:tr>
        <w:trPr>
          <w:trHeight w:val="168"/>
        </w:trPr>
        <w:tc>
          <w:tcPr>
            <w:tcW w:w="136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9"/>
              </w:rPr>
              <w:t>2005</w:t>
            </w:r>
          </w:p>
        </w:tc>
        <w:tc>
          <w:tcPr>
            <w:tcW w:w="2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20,500</w:t>
            </w:r>
          </w:p>
        </w:tc>
        <w:tc>
          <w:tcPr>
            <w:tcW w:w="2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125,698</w:t>
            </w:r>
          </w:p>
        </w:tc>
        <w:tc>
          <w:tcPr>
            <w:tcW w:w="2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140,832</w:t>
            </w:r>
          </w:p>
        </w:tc>
        <w:tc>
          <w:tcPr>
            <w:tcW w:w="2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2.39%</w:t>
            </w:r>
          </w:p>
        </w:tc>
      </w:tr>
      <w:tr>
        <w:trPr>
          <w:trHeight w:val="168"/>
        </w:trPr>
        <w:tc>
          <w:tcPr>
            <w:tcW w:w="136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9"/>
              </w:rPr>
              <w:t>2006</w:t>
            </w:r>
          </w:p>
        </w:tc>
        <w:tc>
          <w:tcPr>
            <w:tcW w:w="2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136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9"/>
              </w:rPr>
              <w:t>2007</w:t>
            </w:r>
          </w:p>
        </w:tc>
        <w:tc>
          <w:tcPr>
            <w:tcW w:w="2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20,000</w:t>
            </w:r>
          </w:p>
        </w:tc>
        <w:tc>
          <w:tcPr>
            <w:tcW w:w="2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222,456</w:t>
            </w:r>
          </w:p>
        </w:tc>
        <w:tc>
          <w:tcPr>
            <w:tcW w:w="2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258,783</w:t>
            </w:r>
          </w:p>
        </w:tc>
        <w:tc>
          <w:tcPr>
            <w:tcW w:w="2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2.33%</w:t>
            </w:r>
          </w:p>
        </w:tc>
      </w:tr>
      <w:tr>
        <w:trPr>
          <w:trHeight w:val="168"/>
        </w:trPr>
        <w:tc>
          <w:tcPr>
            <w:tcW w:w="136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9"/>
              </w:rPr>
              <w:t>2008</w:t>
            </w:r>
          </w:p>
        </w:tc>
        <w:tc>
          <w:tcPr>
            <w:tcW w:w="2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83,608</w:t>
            </w:r>
          </w:p>
        </w:tc>
        <w:tc>
          <w:tcPr>
            <w:tcW w:w="2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736,586</w:t>
            </w:r>
          </w:p>
        </w:tc>
        <w:tc>
          <w:tcPr>
            <w:tcW w:w="2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809,782</w:t>
            </w:r>
          </w:p>
        </w:tc>
        <w:tc>
          <w:tcPr>
            <w:tcW w:w="2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9.76%</w:t>
            </w:r>
          </w:p>
        </w:tc>
      </w:tr>
      <w:tr>
        <w:trPr>
          <w:trHeight w:val="168"/>
        </w:trPr>
        <w:tc>
          <w:tcPr>
            <w:tcW w:w="136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9"/>
              </w:rPr>
              <w:t>2009</w:t>
            </w:r>
          </w:p>
        </w:tc>
        <w:tc>
          <w:tcPr>
            <w:tcW w:w="2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1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Thereafter</w:t>
            </w:r>
          </w:p>
        </w:tc>
        <w:tc>
          <w:tcPr>
            <w:tcW w:w="2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0.00%</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OCCUPANCY BY LOCATION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31-MAR-00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31-MAR-99</w:t>
            </w:r>
          </w:p>
        </w:tc>
      </w:tr>
      <w:tr>
        <w:trPr>
          <w:trHeight w:val="168"/>
        </w:trPr>
        <w:tc>
          <w:tcPr>
            <w:tcW w:w="2940" w:type="dxa"/>
            <w:vAlign w:val="bottom"/>
          </w:tcPr>
          <w:p>
            <w:pPr>
              <w:spacing w:after="0"/>
              <w:rPr>
                <w:sz w:val="14"/>
                <w:szCs w:val="14"/>
                <w:color w:val="auto"/>
              </w:rPr>
            </w:pP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Greater Boston, MA</w:t>
            </w: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93.0%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93.0%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Washington, D.C.</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78.2%</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73.9%</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Midtown Manhattan, NY</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n/a</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Baltimore, MD</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n/a</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Richmond, VA</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n/a</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Princeton/East Brunswick, NJ</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n/a</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San Francisco, CA</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92.9%</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Bucks County, PA</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940" w:type="dxa"/>
            <w:vAlign w:val="bottom"/>
          </w:tcPr>
          <w:p>
            <w:pPr>
              <w:spacing w:after="0"/>
              <w:rPr>
                <w:sz w:val="14"/>
                <w:szCs w:val="14"/>
                <w:color w:val="auto"/>
              </w:rPr>
            </w:pP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Industrial Portfolio</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92.5%</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89.3%</w:t>
            </w:r>
          </w:p>
        </w:tc>
      </w:tr>
      <w:tr>
        <w:trPr>
          <w:trHeight w:val="168"/>
        </w:trPr>
        <w:tc>
          <w:tcPr>
            <w:tcW w:w="2940" w:type="dxa"/>
            <w:vAlign w:val="bottom"/>
          </w:tcPr>
          <w:p>
            <w:pPr>
              <w:spacing w:after="0"/>
              <w:rPr>
                <w:sz w:val="14"/>
                <w:szCs w:val="14"/>
                <w:color w:val="auto"/>
              </w:rPr>
            </w:pP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940" w:type="dxa"/>
            <w:vAlign w:val="bottom"/>
          </w:tcPr>
          <w:p>
            <w:pPr>
              <w:spacing w:after="0"/>
              <w:rPr>
                <w:sz w:val="24"/>
                <w:szCs w:val="24"/>
                <w:color w:val="auto"/>
              </w:rPr>
            </w:pPr>
          </w:p>
        </w:tc>
        <w:tc>
          <w:tcPr>
            <w:tcW w:w="188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21</w:t>
            </w:r>
          </w:p>
        </w:tc>
        <w:tc>
          <w:tcPr>
            <w:tcW w:w="1480" w:type="dxa"/>
            <w:vAlign w:val="bottom"/>
          </w:tcPr>
          <w:p>
            <w:pPr>
              <w:spacing w:after="0"/>
              <w:rPr>
                <w:sz w:val="24"/>
                <w:szCs w:val="24"/>
                <w:color w:val="auto"/>
              </w:rPr>
            </w:pPr>
          </w:p>
        </w:tc>
      </w:tr>
    </w:tbl>
    <w:p>
      <w:pPr>
        <w:sectPr>
          <w:pgSz w:w="11900" w:h="16838" w:orient="portrait"/>
          <w:cols w:equalWidth="0" w:num="1">
            <w:col w:w="10240"/>
          </w:cols>
          <w:pgMar w:left="220" w:top="785" w:right="1439" w:bottom="1440" w:gutter="0" w:footer="0" w:header="0"/>
        </w:sectPr>
      </w:pPr>
    </w:p>
    <w:bookmarkStart w:id="25" w:name="page26"/>
    <w:bookmarkEnd w:id="25"/>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GRAND TOTAL OF ALL</w:t>
      </w:r>
    </w:p>
    <w:p>
      <w:pPr>
        <w:ind w:left="2640"/>
        <w:spacing w:after="0" w:line="237" w:lineRule="auto"/>
        <w:rPr>
          <w:sz w:val="20"/>
          <w:szCs w:val="20"/>
          <w:color w:val="auto"/>
        </w:rPr>
      </w:pPr>
      <w:r>
        <w:rPr>
          <w:rFonts w:ascii="Courier New" w:cs="Courier New" w:eastAsia="Courier New" w:hAnsi="Courier New"/>
          <w:sz w:val="15"/>
          <w:szCs w:val="15"/>
          <w:color w:val="auto"/>
        </w:rPr>
        <w:t>IN-SERVICE PROPERTIES</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2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LEASE EXPIRATION</w:t>
            </w:r>
          </w:p>
        </w:tc>
        <w:tc>
          <w:tcPr>
            <w:tcW w:w="2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841"/>
        </w:trPr>
        <w:tc>
          <w:tcPr>
            <w:tcW w:w="15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Courier New" w:cs="Courier New" w:eastAsia="Courier New" w:hAnsi="Courier New"/>
                <w:sz w:val="15"/>
                <w:szCs w:val="15"/>
                <w:color w:val="auto"/>
                <w:w w:val="97"/>
              </w:rPr>
              <w:t>ANNUALIZED</w:t>
            </w:r>
          </w:p>
        </w:tc>
        <w:tc>
          <w:tcPr>
            <w:tcW w:w="2020" w:type="dxa"/>
            <w:vAlign w:val="bottom"/>
          </w:tcPr>
          <w:p>
            <w:pPr>
              <w:spacing w:after="0"/>
              <w:rPr>
                <w:sz w:val="24"/>
                <w:szCs w:val="24"/>
                <w:color w:val="auto"/>
              </w:rPr>
            </w:pPr>
          </w:p>
        </w:tc>
      </w:tr>
      <w:tr>
        <w:trPr>
          <w:trHeight w:val="168"/>
        </w:trPr>
        <w:tc>
          <w:tcPr>
            <w:tcW w:w="1580" w:type="dxa"/>
            <w:vAlign w:val="bottom"/>
          </w:tcPr>
          <w:p>
            <w:pPr>
              <w:spacing w:after="0"/>
              <w:rPr>
                <w:sz w:val="14"/>
                <w:szCs w:val="14"/>
                <w:color w:val="auto"/>
              </w:rPr>
            </w:pPr>
          </w:p>
        </w:tc>
        <w:tc>
          <w:tcPr>
            <w:tcW w:w="28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RENTABLE SQUARE</w:t>
            </w:r>
          </w:p>
        </w:tc>
        <w:tc>
          <w:tcPr>
            <w:tcW w:w="2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CURRENT ANNUALIZED</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REVENUES UNDER</w:t>
            </w:r>
          </w:p>
        </w:tc>
        <w:tc>
          <w:tcPr>
            <w:tcW w:w="202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28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20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REVENUES UNDER</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EXPIRING LEASES</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PERCENTAGE OF TOTAL</w:t>
            </w:r>
          </w:p>
        </w:tc>
      </w:tr>
      <w:tr>
        <w:trPr>
          <w:trHeight w:val="168"/>
        </w:trPr>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EXPIRATION</w:t>
            </w:r>
          </w:p>
        </w:tc>
        <w:tc>
          <w:tcPr>
            <w:tcW w:w="280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EXPIRING LEASES</w:t>
            </w:r>
          </w:p>
        </w:tc>
        <w:tc>
          <w:tcPr>
            <w:tcW w:w="20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EXPIRING LEASES</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WITH FUTURE STEP-UPS</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SQUARE FEET EXPIRING</w:t>
            </w:r>
          </w:p>
        </w:tc>
      </w:tr>
      <w:tr>
        <w:trPr>
          <w:trHeight w:val="168"/>
        </w:trPr>
        <w:tc>
          <w:tcPr>
            <w:tcW w:w="158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97"/>
              </w:rPr>
              <w:t>----------</w:t>
            </w:r>
          </w:p>
        </w:tc>
        <w:tc>
          <w:tcPr>
            <w:tcW w:w="28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20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8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9"/>
              </w:rPr>
              <w:t>2000</w:t>
            </w:r>
          </w:p>
        </w:tc>
        <w:tc>
          <w:tcPr>
            <w:tcW w:w="28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1,470,867</w:t>
            </w:r>
          </w:p>
        </w:tc>
        <w:tc>
          <w:tcPr>
            <w:tcW w:w="20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$ 31,456,077</w:t>
            </w:r>
          </w:p>
        </w:tc>
        <w:tc>
          <w:tcPr>
            <w:tcW w:w="2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$ 31,460,374</w:t>
            </w:r>
          </w:p>
        </w:tc>
        <w:tc>
          <w:tcPr>
            <w:tcW w:w="2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5.90%</w:t>
            </w:r>
          </w:p>
        </w:tc>
      </w:tr>
      <w:tr>
        <w:trPr>
          <w:trHeight w:val="168"/>
        </w:trPr>
        <w:tc>
          <w:tcPr>
            <w:tcW w:w="158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99"/>
              </w:rPr>
              <w:t>2001</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2,624,267</w:t>
            </w:r>
          </w:p>
        </w:tc>
        <w:tc>
          <w:tcPr>
            <w:tcW w:w="2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73,022,662</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73,525,575</w:t>
            </w: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10.53%</w:t>
            </w:r>
          </w:p>
        </w:tc>
      </w:tr>
      <w:tr>
        <w:trPr>
          <w:trHeight w:val="168"/>
        </w:trPr>
        <w:tc>
          <w:tcPr>
            <w:tcW w:w="158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99"/>
              </w:rPr>
              <w:t>2002</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2,450,041</w:t>
            </w:r>
          </w:p>
        </w:tc>
        <w:tc>
          <w:tcPr>
            <w:tcW w:w="2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85,319,256</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86,146,621</w:t>
            </w: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9.83%</w:t>
            </w:r>
          </w:p>
        </w:tc>
      </w:tr>
      <w:tr>
        <w:trPr>
          <w:trHeight w:val="168"/>
        </w:trPr>
        <w:tc>
          <w:tcPr>
            <w:tcW w:w="158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99"/>
              </w:rPr>
              <w:t>2003</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2,069,125</w:t>
            </w:r>
          </w:p>
        </w:tc>
        <w:tc>
          <w:tcPr>
            <w:tcW w:w="2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58,528,804</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60,056,620</w:t>
            </w: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8.30%</w:t>
            </w:r>
          </w:p>
        </w:tc>
      </w:tr>
      <w:tr>
        <w:trPr>
          <w:trHeight w:val="168"/>
        </w:trPr>
        <w:tc>
          <w:tcPr>
            <w:tcW w:w="158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99"/>
              </w:rPr>
              <w:t>2004</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2,902,741</w:t>
            </w:r>
          </w:p>
        </w:tc>
        <w:tc>
          <w:tcPr>
            <w:tcW w:w="2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90,157,017</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94,119,119</w:t>
            </w: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11.64%</w:t>
            </w:r>
          </w:p>
        </w:tc>
      </w:tr>
      <w:tr>
        <w:trPr>
          <w:trHeight w:val="168"/>
        </w:trPr>
        <w:tc>
          <w:tcPr>
            <w:tcW w:w="158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99"/>
              </w:rPr>
              <w:t>2005</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1,907,204</w:t>
            </w:r>
          </w:p>
        </w:tc>
        <w:tc>
          <w:tcPr>
            <w:tcW w:w="2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52,520,425</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56,377,220</w:t>
            </w: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7.65%</w:t>
            </w:r>
          </w:p>
        </w:tc>
      </w:tr>
      <w:tr>
        <w:trPr>
          <w:trHeight w:val="168"/>
        </w:trPr>
        <w:tc>
          <w:tcPr>
            <w:tcW w:w="158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99"/>
              </w:rPr>
              <w:t>2006</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2,926,204</w:t>
            </w:r>
          </w:p>
        </w:tc>
        <w:tc>
          <w:tcPr>
            <w:tcW w:w="2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90,978,464</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99,448,197</w:t>
            </w: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11.74%</w:t>
            </w:r>
          </w:p>
        </w:tc>
      </w:tr>
      <w:tr>
        <w:trPr>
          <w:trHeight w:val="168"/>
        </w:trPr>
        <w:tc>
          <w:tcPr>
            <w:tcW w:w="158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99"/>
              </w:rPr>
              <w:t>2007</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1,830,348</w:t>
            </w:r>
          </w:p>
        </w:tc>
        <w:tc>
          <w:tcPr>
            <w:tcW w:w="2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70,362,910</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72,303,517</w:t>
            </w: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7.34%</w:t>
            </w:r>
          </w:p>
        </w:tc>
      </w:tr>
      <w:tr>
        <w:trPr>
          <w:trHeight w:val="168"/>
        </w:trPr>
        <w:tc>
          <w:tcPr>
            <w:tcW w:w="158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99"/>
              </w:rPr>
              <w:t>2008</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956,405</w:t>
            </w:r>
          </w:p>
        </w:tc>
        <w:tc>
          <w:tcPr>
            <w:tcW w:w="2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31,148,792</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29,265,774</w:t>
            </w: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3.84%</w:t>
            </w:r>
          </w:p>
        </w:tc>
      </w:tr>
      <w:tr>
        <w:trPr>
          <w:trHeight w:val="168"/>
        </w:trPr>
        <w:tc>
          <w:tcPr>
            <w:tcW w:w="158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99"/>
              </w:rPr>
              <w:t>2009</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1,779,953</w:t>
            </w:r>
          </w:p>
        </w:tc>
        <w:tc>
          <w:tcPr>
            <w:tcW w:w="2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56,398,800</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64,645,365</w:t>
            </w: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7.14%</w:t>
            </w:r>
          </w:p>
        </w:tc>
      </w:tr>
      <w:tr>
        <w:trPr>
          <w:trHeight w:val="168"/>
        </w:trPr>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Thereafter</w:t>
            </w:r>
          </w:p>
        </w:tc>
        <w:tc>
          <w:tcPr>
            <w:tcW w:w="28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4,010,222</w:t>
            </w:r>
          </w:p>
        </w:tc>
        <w:tc>
          <w:tcPr>
            <w:tcW w:w="2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118,584,287</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142,250,389</w:t>
            </w: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16.09%</w:t>
            </w:r>
          </w:p>
        </w:tc>
      </w:tr>
    </w:tbl>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9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OCCUPANCY BY LOCATION</w:t>
            </w:r>
          </w:p>
        </w:tc>
        <w:tc>
          <w:tcPr>
            <w:tcW w:w="1480" w:type="dxa"/>
            <w:vAlign w:val="bottom"/>
          </w:tcPr>
          <w:p>
            <w:pPr>
              <w:spacing w:after="0"/>
              <w:rPr>
                <w:sz w:val="14"/>
                <w:szCs w:val="14"/>
                <w:color w:val="auto"/>
              </w:rPr>
            </w:pPr>
          </w:p>
        </w:tc>
      </w:tr>
      <w:tr>
        <w:trPr>
          <w:trHeight w:val="841"/>
        </w:trPr>
        <w:tc>
          <w:tcPr>
            <w:tcW w:w="2540" w:type="dxa"/>
            <w:vAlign w:val="bottom"/>
          </w:tcPr>
          <w:p>
            <w:pPr>
              <w:spacing w:after="0"/>
              <w:rPr>
                <w:sz w:val="24"/>
                <w:szCs w:val="24"/>
                <w:color w:val="auto"/>
              </w:rPr>
            </w:pPr>
          </w:p>
        </w:tc>
        <w:tc>
          <w:tcPr>
            <w:tcW w:w="2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31-MAR-00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31-MAR-99</w:t>
            </w:r>
          </w:p>
        </w:tc>
      </w:tr>
      <w:tr>
        <w:trPr>
          <w:trHeight w:val="168"/>
        </w:trPr>
        <w:tc>
          <w:tcPr>
            <w:tcW w:w="2540" w:type="dxa"/>
            <w:vAlign w:val="bottom"/>
          </w:tcPr>
          <w:p>
            <w:pPr>
              <w:spacing w:after="0"/>
              <w:rPr>
                <w:sz w:val="14"/>
                <w:szCs w:val="14"/>
                <w:color w:val="auto"/>
              </w:rPr>
            </w:pPr>
          </w:p>
        </w:tc>
        <w:tc>
          <w:tcPr>
            <w:tcW w:w="29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Greater Boston, MA</w:t>
            </w:r>
          </w:p>
        </w:tc>
        <w:tc>
          <w:tcPr>
            <w:tcW w:w="2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99.0%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98.4%</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Washington, D.C.</w:t>
            </w:r>
          </w:p>
        </w:tc>
        <w:tc>
          <w:tcPr>
            <w:tcW w:w="29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96.3%</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97.7%</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Midtown Manhattan, NY</w:t>
            </w:r>
          </w:p>
        </w:tc>
        <w:tc>
          <w:tcPr>
            <w:tcW w:w="29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99.9%</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Baltimore, MD</w:t>
            </w:r>
          </w:p>
        </w:tc>
        <w:tc>
          <w:tcPr>
            <w:tcW w:w="29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99.3%</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Richmond, VA</w:t>
            </w:r>
          </w:p>
        </w:tc>
        <w:tc>
          <w:tcPr>
            <w:tcW w:w="29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99.7%</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Princeton/East Brunswick, NJ</w:t>
            </w:r>
          </w:p>
        </w:tc>
        <w:tc>
          <w:tcPr>
            <w:tcW w:w="29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99.7%</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San Francisco, CA</w:t>
            </w:r>
          </w:p>
        </w:tc>
        <w:tc>
          <w:tcPr>
            <w:tcW w:w="29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99.0%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Bucks County, PA</w:t>
            </w:r>
          </w:p>
        </w:tc>
        <w:tc>
          <w:tcPr>
            <w:tcW w:w="29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540" w:type="dxa"/>
            <w:vAlign w:val="bottom"/>
          </w:tcPr>
          <w:p>
            <w:pPr>
              <w:spacing w:after="0"/>
              <w:rPr>
                <w:sz w:val="14"/>
                <w:szCs w:val="14"/>
                <w:color w:val="auto"/>
              </w:rPr>
            </w:pPr>
          </w:p>
        </w:tc>
        <w:tc>
          <w:tcPr>
            <w:tcW w:w="29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Portfolio</w:t>
            </w:r>
          </w:p>
        </w:tc>
        <w:tc>
          <w:tcPr>
            <w:tcW w:w="29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98.5%</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98.2%</w:t>
            </w:r>
          </w:p>
        </w:tc>
      </w:tr>
      <w:tr>
        <w:trPr>
          <w:trHeight w:val="168"/>
        </w:trPr>
        <w:tc>
          <w:tcPr>
            <w:tcW w:w="2540" w:type="dxa"/>
            <w:vAlign w:val="bottom"/>
          </w:tcPr>
          <w:p>
            <w:pPr>
              <w:spacing w:after="0"/>
              <w:rPr>
                <w:sz w:val="14"/>
                <w:szCs w:val="14"/>
                <w:color w:val="auto"/>
              </w:rPr>
            </w:pPr>
          </w:p>
        </w:tc>
        <w:tc>
          <w:tcPr>
            <w:tcW w:w="29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540" w:type="dxa"/>
            <w:vAlign w:val="bottom"/>
          </w:tcPr>
          <w:p>
            <w:pPr>
              <w:spacing w:after="0"/>
              <w:rPr>
                <w:sz w:val="24"/>
                <w:szCs w:val="24"/>
                <w:color w:val="auto"/>
              </w:rPr>
            </w:pPr>
          </w:p>
        </w:tc>
        <w:tc>
          <w:tcPr>
            <w:tcW w:w="290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22</w:t>
            </w:r>
          </w:p>
        </w:tc>
        <w:tc>
          <w:tcPr>
            <w:tcW w:w="1480" w:type="dxa"/>
            <w:vAlign w:val="bottom"/>
          </w:tcPr>
          <w:p>
            <w:pPr>
              <w:spacing w:after="0"/>
              <w:rPr>
                <w:sz w:val="24"/>
                <w:szCs w:val="24"/>
                <w:color w:val="auto"/>
              </w:rPr>
            </w:pPr>
          </w:p>
        </w:tc>
      </w:tr>
    </w:tbl>
    <w:p>
      <w:pPr>
        <w:sectPr>
          <w:pgSz w:w="11900" w:h="16838" w:orient="portrait"/>
          <w:cols w:equalWidth="0" w:num="1">
            <w:col w:w="10860"/>
          </w:cols>
          <w:pgMar w:left="220" w:top="785" w:right="819" w:bottom="1440" w:gutter="0" w:footer="0" w:header="0"/>
        </w:sectPr>
      </w:pPr>
    </w:p>
    <w:bookmarkStart w:id="26" w:name="page27"/>
    <w:bookmarkEnd w:id="26"/>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GREATER BOSTON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Courier New" w:cs="Courier New" w:eastAsia="Courier New" w:hAnsi="Courier New"/>
                <w:sz w:val="15"/>
                <w:szCs w:val="15"/>
                <w:color w:val="auto"/>
                <w:w w:val="96"/>
              </w:rPr>
              <w:t>OFFICE</w:t>
            </w:r>
          </w:p>
        </w:tc>
        <w:tc>
          <w:tcPr>
            <w:tcW w:w="216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61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1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ANNUALIZED</w:t>
            </w:r>
          </w:p>
        </w:tc>
      </w:tr>
      <w:tr>
        <w:trPr>
          <w:trHeight w:val="168"/>
        </w:trPr>
        <w:tc>
          <w:tcPr>
            <w:tcW w:w="1360" w:type="dxa"/>
            <w:vAlign w:val="bottom"/>
          </w:tcPr>
          <w:p>
            <w:pPr>
              <w:spacing w:after="0"/>
              <w:rPr>
                <w:sz w:val="14"/>
                <w:szCs w:val="14"/>
                <w:color w:val="auto"/>
              </w:rPr>
            </w:pPr>
          </w:p>
        </w:tc>
        <w:tc>
          <w:tcPr>
            <w:tcW w:w="20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RENTABLE SQUARE</w:t>
            </w:r>
          </w:p>
        </w:tc>
        <w:tc>
          <w:tcPr>
            <w:tcW w:w="1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CURRENT ANNUALIZED</w:t>
            </w:r>
          </w:p>
        </w:tc>
        <w:tc>
          <w:tcPr>
            <w:tcW w:w="21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REVENUES UNDER</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2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1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REVENUES UNDER</w:t>
            </w:r>
          </w:p>
        </w:tc>
        <w:tc>
          <w:tcPr>
            <w:tcW w:w="21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EXPIRING LEASES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EXPIRATION</w:t>
            </w:r>
          </w:p>
        </w:tc>
        <w:tc>
          <w:tcPr>
            <w:tcW w:w="20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EXPIRING LEASES</w:t>
            </w:r>
          </w:p>
        </w:tc>
        <w:tc>
          <w:tcPr>
            <w:tcW w:w="1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EXPIRING LEASES</w:t>
            </w:r>
          </w:p>
        </w:tc>
        <w:tc>
          <w:tcPr>
            <w:tcW w:w="21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WITH FUTURE STEP-UPS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20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317,779</w:t>
            </w:r>
          </w:p>
        </w:tc>
        <w:tc>
          <w:tcPr>
            <w:tcW w:w="19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$ 8,999,934</w:t>
            </w:r>
          </w:p>
        </w:tc>
        <w:tc>
          <w:tcPr>
            <w:tcW w:w="2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$ 8,999,934</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711,307</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18,087,072</w:t>
            </w:r>
          </w:p>
        </w:tc>
        <w:tc>
          <w:tcPr>
            <w:tcW w:w="21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18,363,126</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2002</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403,250</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10,808,348</w:t>
            </w:r>
          </w:p>
        </w:tc>
        <w:tc>
          <w:tcPr>
            <w:tcW w:w="21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10,882,128</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2003</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560,130</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14,877,308</w:t>
            </w:r>
          </w:p>
        </w:tc>
        <w:tc>
          <w:tcPr>
            <w:tcW w:w="21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15,505,549</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2004</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756,296</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26,274,690</w:t>
            </w:r>
          </w:p>
        </w:tc>
        <w:tc>
          <w:tcPr>
            <w:tcW w:w="21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28,573,681</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2005</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613,078</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17,839,888</w:t>
            </w:r>
          </w:p>
        </w:tc>
        <w:tc>
          <w:tcPr>
            <w:tcW w:w="21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18,444,436</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2006</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452,640</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13,699,199</w:t>
            </w:r>
          </w:p>
        </w:tc>
        <w:tc>
          <w:tcPr>
            <w:tcW w:w="21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15,440,853</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2007</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159,431</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5,057,924</w:t>
            </w:r>
          </w:p>
        </w:tc>
        <w:tc>
          <w:tcPr>
            <w:tcW w:w="21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5,644,368</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2008</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5,466</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404,977</w:t>
            </w:r>
          </w:p>
        </w:tc>
        <w:tc>
          <w:tcPr>
            <w:tcW w:w="21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404,977</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2009</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846,776</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26,345,748</w:t>
            </w:r>
          </w:p>
        </w:tc>
        <w:tc>
          <w:tcPr>
            <w:tcW w:w="21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30,339,370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486,825</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10,136,550</w:t>
            </w:r>
          </w:p>
        </w:tc>
        <w:tc>
          <w:tcPr>
            <w:tcW w:w="21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13,963,559</w:t>
            </w:r>
          </w:p>
        </w:tc>
      </w:tr>
      <w:tr>
        <w:trPr>
          <w:trHeight w:val="505"/>
        </w:trPr>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R&amp;D</w:t>
            </w:r>
          </w:p>
        </w:tc>
        <w:tc>
          <w:tcPr>
            <w:tcW w:w="2160" w:type="dxa"/>
            <w:vAlign w:val="bottom"/>
          </w:tcPr>
          <w:p>
            <w:pPr>
              <w:spacing w:after="0"/>
              <w:rPr>
                <w:sz w:val="24"/>
                <w:szCs w:val="24"/>
                <w:color w:val="auto"/>
              </w:rPr>
            </w:pPr>
          </w:p>
        </w:tc>
      </w:tr>
      <w:tr>
        <w:trPr>
          <w:trHeight w:val="168"/>
        </w:trPr>
        <w:tc>
          <w:tcPr>
            <w:tcW w:w="1360" w:type="dxa"/>
            <w:vAlign w:val="bottom"/>
          </w:tcPr>
          <w:p>
            <w:pPr>
              <w:spacing w:after="0"/>
              <w:rPr>
                <w:sz w:val="14"/>
                <w:szCs w:val="14"/>
                <w:color w:val="auto"/>
              </w:rPr>
            </w:pPr>
          </w:p>
        </w:tc>
        <w:tc>
          <w:tcPr>
            <w:tcW w:w="61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1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ANNUALIZED</w:t>
            </w:r>
          </w:p>
        </w:tc>
      </w:tr>
      <w:tr>
        <w:trPr>
          <w:trHeight w:val="168"/>
        </w:trPr>
        <w:tc>
          <w:tcPr>
            <w:tcW w:w="1360" w:type="dxa"/>
            <w:vAlign w:val="bottom"/>
          </w:tcPr>
          <w:p>
            <w:pPr>
              <w:spacing w:after="0"/>
              <w:rPr>
                <w:sz w:val="14"/>
                <w:szCs w:val="14"/>
                <w:color w:val="auto"/>
              </w:rPr>
            </w:pP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RENTABLE SQUARE</w:t>
            </w:r>
          </w:p>
        </w:tc>
        <w:tc>
          <w:tcPr>
            <w:tcW w:w="1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CURRENT ANNUALIZED</w:t>
            </w:r>
          </w:p>
        </w:tc>
        <w:tc>
          <w:tcPr>
            <w:tcW w:w="21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REVENUES UNDER</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2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1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REVENUES UNDER</w:t>
            </w:r>
          </w:p>
        </w:tc>
        <w:tc>
          <w:tcPr>
            <w:tcW w:w="21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EXPIRING LEASES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EXPIRATION</w:t>
            </w:r>
          </w:p>
        </w:tc>
        <w:tc>
          <w:tcPr>
            <w:tcW w:w="20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EXPIRING LEASES</w:t>
            </w:r>
          </w:p>
        </w:tc>
        <w:tc>
          <w:tcPr>
            <w:tcW w:w="1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EXPIRING LEASES</w:t>
            </w:r>
          </w:p>
        </w:tc>
        <w:tc>
          <w:tcPr>
            <w:tcW w:w="21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WITH FUTURE STEP-UPS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w:t>
            </w:r>
          </w:p>
        </w:tc>
        <w:tc>
          <w:tcPr>
            <w:tcW w:w="21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20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80,000</w:t>
            </w:r>
          </w:p>
        </w:tc>
        <w:tc>
          <w:tcPr>
            <w:tcW w:w="19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$ 859,790</w:t>
            </w:r>
          </w:p>
        </w:tc>
        <w:tc>
          <w:tcPr>
            <w:tcW w:w="21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$ 859,790</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2002</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94,140</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877,197</w:t>
            </w:r>
          </w:p>
        </w:tc>
        <w:tc>
          <w:tcPr>
            <w:tcW w:w="21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892,197</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2003</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50,704</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581,128</w:t>
            </w:r>
          </w:p>
        </w:tc>
        <w:tc>
          <w:tcPr>
            <w:tcW w:w="21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581,128</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2004</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2005</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2006</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203,000</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2,283,339</w:t>
            </w:r>
          </w:p>
        </w:tc>
        <w:tc>
          <w:tcPr>
            <w:tcW w:w="21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2,395,839</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2007</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50,000</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475,008</w:t>
            </w:r>
          </w:p>
        </w:tc>
        <w:tc>
          <w:tcPr>
            <w:tcW w:w="21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675,000</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2008</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2009</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67,362</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1,295,391</w:t>
            </w:r>
          </w:p>
        </w:tc>
        <w:tc>
          <w:tcPr>
            <w:tcW w:w="21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1,601,888</w:t>
            </w:r>
          </w:p>
        </w:tc>
      </w:tr>
      <w:tr>
        <w:trPr>
          <w:trHeight w:val="505"/>
        </w:trPr>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60" w:type="dxa"/>
            <w:vAlign w:val="bottom"/>
          </w:tcPr>
          <w:p>
            <w:pPr>
              <w:ind w:left="360"/>
              <w:spacing w:after="0"/>
              <w:rPr>
                <w:sz w:val="20"/>
                <w:szCs w:val="20"/>
                <w:color w:val="auto"/>
              </w:rPr>
            </w:pPr>
            <w:r>
              <w:rPr>
                <w:rFonts w:ascii="Courier New" w:cs="Courier New" w:eastAsia="Courier New" w:hAnsi="Courier New"/>
                <w:sz w:val="15"/>
                <w:szCs w:val="15"/>
                <w:color w:val="auto"/>
              </w:rPr>
              <w:t>INDUSTRIAL</w:t>
            </w:r>
          </w:p>
        </w:tc>
        <w:tc>
          <w:tcPr>
            <w:tcW w:w="2160" w:type="dxa"/>
            <w:vAlign w:val="bottom"/>
          </w:tcPr>
          <w:p>
            <w:pPr>
              <w:spacing w:after="0"/>
              <w:rPr>
                <w:sz w:val="24"/>
                <w:szCs w:val="24"/>
                <w:color w:val="auto"/>
              </w:rPr>
            </w:pPr>
          </w:p>
        </w:tc>
      </w:tr>
      <w:tr>
        <w:trPr>
          <w:trHeight w:val="168"/>
        </w:trPr>
        <w:tc>
          <w:tcPr>
            <w:tcW w:w="1360" w:type="dxa"/>
            <w:vAlign w:val="bottom"/>
          </w:tcPr>
          <w:p>
            <w:pPr>
              <w:spacing w:after="0"/>
              <w:rPr>
                <w:sz w:val="14"/>
                <w:szCs w:val="14"/>
                <w:color w:val="auto"/>
              </w:rPr>
            </w:pPr>
          </w:p>
        </w:tc>
        <w:tc>
          <w:tcPr>
            <w:tcW w:w="6180" w:type="dxa"/>
            <w:vAlign w:val="bottom"/>
            <w:gridSpan w:val="3"/>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1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ANNUALIZED</w:t>
            </w:r>
          </w:p>
        </w:tc>
      </w:tr>
      <w:tr>
        <w:trPr>
          <w:trHeight w:val="168"/>
        </w:trPr>
        <w:tc>
          <w:tcPr>
            <w:tcW w:w="1360" w:type="dxa"/>
            <w:vAlign w:val="bottom"/>
          </w:tcPr>
          <w:p>
            <w:pPr>
              <w:spacing w:after="0"/>
              <w:rPr>
                <w:sz w:val="14"/>
                <w:szCs w:val="14"/>
                <w:color w:val="auto"/>
              </w:rPr>
            </w:pPr>
          </w:p>
        </w:tc>
        <w:tc>
          <w:tcPr>
            <w:tcW w:w="2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RENTABLE SQUARE</w:t>
            </w:r>
          </w:p>
        </w:tc>
        <w:tc>
          <w:tcPr>
            <w:tcW w:w="1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CURRENT ANNUALIZED</w:t>
            </w:r>
          </w:p>
        </w:tc>
        <w:tc>
          <w:tcPr>
            <w:tcW w:w="21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REVENUES UNDER</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20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1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REVENUES UNDER</w:t>
            </w:r>
          </w:p>
        </w:tc>
        <w:tc>
          <w:tcPr>
            <w:tcW w:w="21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EXPIRING LEASES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EXPIRATION</w:t>
            </w:r>
          </w:p>
        </w:tc>
        <w:tc>
          <w:tcPr>
            <w:tcW w:w="20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EXPIRING LEASES</w:t>
            </w:r>
          </w:p>
        </w:tc>
        <w:tc>
          <w:tcPr>
            <w:tcW w:w="1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EXPIRING LEASES</w:t>
            </w:r>
          </w:p>
        </w:tc>
        <w:tc>
          <w:tcPr>
            <w:tcW w:w="2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WITH FUTURE STEP-UPS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5"/>
              </w:rPr>
              <w:t>-------------------</w:t>
            </w:r>
          </w:p>
        </w:tc>
        <w:tc>
          <w:tcPr>
            <w:tcW w:w="1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20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67,216</w:t>
            </w:r>
          </w:p>
        </w:tc>
        <w:tc>
          <w:tcPr>
            <w:tcW w:w="19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$ 639,711</w:t>
            </w:r>
          </w:p>
        </w:tc>
        <w:tc>
          <w:tcPr>
            <w:tcW w:w="21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$ 639,711</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20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10,829</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127,969</w:t>
            </w:r>
          </w:p>
        </w:tc>
        <w:tc>
          <w:tcPr>
            <w:tcW w:w="21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127,969</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2002</w:t>
            </w:r>
          </w:p>
        </w:tc>
        <w:tc>
          <w:tcPr>
            <w:tcW w:w="20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23,904</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207,563</w:t>
            </w:r>
          </w:p>
        </w:tc>
        <w:tc>
          <w:tcPr>
            <w:tcW w:w="21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207,563</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2003</w:t>
            </w:r>
          </w:p>
        </w:tc>
        <w:tc>
          <w:tcPr>
            <w:tcW w:w="20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128,105</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861,075</w:t>
            </w:r>
          </w:p>
        </w:tc>
        <w:tc>
          <w:tcPr>
            <w:tcW w:w="21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925,127</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2004</w:t>
            </w:r>
          </w:p>
        </w:tc>
        <w:tc>
          <w:tcPr>
            <w:tcW w:w="20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2005</w:t>
            </w:r>
          </w:p>
        </w:tc>
        <w:tc>
          <w:tcPr>
            <w:tcW w:w="20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2006</w:t>
            </w:r>
          </w:p>
        </w:tc>
        <w:tc>
          <w:tcPr>
            <w:tcW w:w="20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2007</w:t>
            </w:r>
          </w:p>
        </w:tc>
        <w:tc>
          <w:tcPr>
            <w:tcW w:w="20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2008</w:t>
            </w:r>
          </w:p>
        </w:tc>
        <w:tc>
          <w:tcPr>
            <w:tcW w:w="20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2009</w:t>
            </w:r>
          </w:p>
        </w:tc>
        <w:tc>
          <w:tcPr>
            <w:tcW w:w="20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0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60" w:type="dxa"/>
            <w:vAlign w:val="bottom"/>
          </w:tcPr>
          <w:p>
            <w:pPr>
              <w:jc w:val="right"/>
              <w:ind w:right="1707"/>
              <w:spacing w:after="0"/>
              <w:rPr>
                <w:sz w:val="20"/>
                <w:szCs w:val="20"/>
                <w:color w:val="auto"/>
              </w:rPr>
            </w:pPr>
            <w:r>
              <w:rPr>
                <w:rFonts w:ascii="Courier New" w:cs="Courier New" w:eastAsia="Courier New" w:hAnsi="Courier New"/>
                <w:sz w:val="15"/>
                <w:szCs w:val="15"/>
                <w:color w:val="auto"/>
                <w:w w:val="88"/>
              </w:rPr>
              <w:t>23</w:t>
            </w:r>
          </w:p>
        </w:tc>
        <w:tc>
          <w:tcPr>
            <w:tcW w:w="216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27" w:name="page28"/>
    <w:bookmarkEnd w:id="27"/>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IN-SERVICE GREATER WASHINGTON DC PROPERTIES</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LEASE EXPIRATIONS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3940" w:type="dxa"/>
            <w:vAlign w:val="bottom"/>
            <w:gridSpan w:val="2"/>
          </w:tcPr>
          <w:p>
            <w:pPr>
              <w:jc w:val="right"/>
              <w:ind w:right="927"/>
              <w:spacing w:after="0"/>
              <w:rPr>
                <w:sz w:val="20"/>
                <w:szCs w:val="20"/>
                <w:color w:val="auto"/>
              </w:rPr>
            </w:pPr>
            <w:r>
              <w:rPr>
                <w:rFonts w:ascii="Courier New" w:cs="Courier New" w:eastAsia="Courier New" w:hAnsi="Courier New"/>
                <w:sz w:val="15"/>
                <w:szCs w:val="15"/>
                <w:color w:val="auto"/>
              </w:rPr>
              <w:t>GREATER WASHINGTON</w:t>
            </w:r>
          </w:p>
        </w:tc>
        <w:tc>
          <w:tcPr>
            <w:tcW w:w="2240" w:type="dxa"/>
            <w:vAlign w:val="bottom"/>
          </w:tcPr>
          <w:p>
            <w:pPr>
              <w:spacing w:after="0"/>
              <w:rPr>
                <w:sz w:val="14"/>
                <w:szCs w:val="14"/>
                <w:color w:val="auto"/>
              </w:rPr>
            </w:pPr>
          </w:p>
        </w:tc>
      </w:tr>
      <w:tr>
        <w:trPr>
          <w:trHeight w:val="841"/>
        </w:trPr>
        <w:tc>
          <w:tcPr>
            <w:tcW w:w="1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OFFICE</w:t>
            </w:r>
          </w:p>
        </w:tc>
        <w:tc>
          <w:tcPr>
            <w:tcW w:w="2240" w:type="dxa"/>
            <w:vAlign w:val="bottom"/>
          </w:tcPr>
          <w:p>
            <w:pPr>
              <w:spacing w:after="0"/>
              <w:rPr>
                <w:sz w:val="24"/>
                <w:szCs w:val="24"/>
                <w:color w:val="auto"/>
              </w:rPr>
            </w:pPr>
          </w:p>
        </w:tc>
      </w:tr>
      <w:tr>
        <w:trPr>
          <w:trHeight w:val="168"/>
        </w:trPr>
        <w:tc>
          <w:tcPr>
            <w:tcW w:w="1360" w:type="dxa"/>
            <w:vAlign w:val="bottom"/>
          </w:tcPr>
          <w:p>
            <w:pPr>
              <w:spacing w:after="0"/>
              <w:rPr>
                <w:sz w:val="14"/>
                <w:szCs w:val="14"/>
                <w:color w:val="auto"/>
              </w:rPr>
            </w:pPr>
          </w:p>
        </w:tc>
        <w:tc>
          <w:tcPr>
            <w:tcW w:w="61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ANNUALIZED</w:t>
            </w:r>
          </w:p>
        </w:tc>
      </w:tr>
      <w:tr>
        <w:trPr>
          <w:trHeight w:val="168"/>
        </w:trPr>
        <w:tc>
          <w:tcPr>
            <w:tcW w:w="1360" w:type="dxa"/>
            <w:vAlign w:val="bottom"/>
          </w:tcPr>
          <w:p>
            <w:pPr>
              <w:spacing w:after="0"/>
              <w:rPr>
                <w:sz w:val="14"/>
                <w:szCs w:val="14"/>
                <w:color w:val="auto"/>
              </w:rPr>
            </w:pPr>
          </w:p>
        </w:tc>
        <w:tc>
          <w:tcPr>
            <w:tcW w:w="2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RENTABLE SQUARE</w:t>
            </w:r>
          </w:p>
        </w:tc>
        <w:tc>
          <w:tcPr>
            <w:tcW w:w="1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CURRENT ANNUALIZED</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REVENUES UNDER</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REVENUES UNDER</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EXPIRING LEASES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EXPIRATION</w:t>
            </w: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EXPIRING LEASES</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EXPIRING LEASES</w:t>
            </w:r>
          </w:p>
        </w:tc>
        <w:tc>
          <w:tcPr>
            <w:tcW w:w="2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WITH FUTURE STEP-UPS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w:t>
            </w:r>
          </w:p>
        </w:tc>
        <w:tc>
          <w:tcPr>
            <w:tcW w:w="1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2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196,310</w:t>
            </w:r>
          </w:p>
        </w:tc>
        <w:tc>
          <w:tcPr>
            <w:tcW w:w="1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$ 5,764,195</w:t>
            </w:r>
          </w:p>
        </w:tc>
        <w:tc>
          <w:tcPr>
            <w:tcW w:w="2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$ 5,768,492</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251,062</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7,326,349</w:t>
            </w:r>
          </w:p>
        </w:tc>
        <w:tc>
          <w:tcPr>
            <w:tcW w:w="2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7,422,184</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2002</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241,016</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6,444,055</w:t>
            </w:r>
          </w:p>
        </w:tc>
        <w:tc>
          <w:tcPr>
            <w:tcW w:w="2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6,756,672</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2003</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174,564</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4,630,544</w:t>
            </w:r>
          </w:p>
        </w:tc>
        <w:tc>
          <w:tcPr>
            <w:tcW w:w="2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4,919,122</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2004</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532,422</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17,239,633</w:t>
            </w: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18,153,128</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2005</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339,389</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10,513,004</w:t>
            </w: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11,943,418</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2006</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775,418</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30,662,583</w:t>
            </w: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33,298,107</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2007</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540,306</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19,219,293</w:t>
            </w: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16,470,563</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2008</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371,451</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15,014,727</w:t>
            </w: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11,647,965</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2009</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429,596</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14,487,052</w:t>
            </w: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17,009,560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1,516,601</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45,313,605</w:t>
            </w: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52,283,790</w:t>
            </w:r>
          </w:p>
        </w:tc>
      </w:tr>
      <w:tr>
        <w:trPr>
          <w:trHeight w:val="505"/>
        </w:trPr>
        <w:tc>
          <w:tcPr>
            <w:tcW w:w="1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R&amp;D</w:t>
            </w:r>
          </w:p>
        </w:tc>
        <w:tc>
          <w:tcPr>
            <w:tcW w:w="2240" w:type="dxa"/>
            <w:vAlign w:val="bottom"/>
          </w:tcPr>
          <w:p>
            <w:pPr>
              <w:spacing w:after="0"/>
              <w:rPr>
                <w:sz w:val="24"/>
                <w:szCs w:val="24"/>
                <w:color w:val="auto"/>
              </w:rPr>
            </w:pPr>
          </w:p>
        </w:tc>
      </w:tr>
      <w:tr>
        <w:trPr>
          <w:trHeight w:val="168"/>
        </w:trPr>
        <w:tc>
          <w:tcPr>
            <w:tcW w:w="1360" w:type="dxa"/>
            <w:vAlign w:val="bottom"/>
          </w:tcPr>
          <w:p>
            <w:pPr>
              <w:spacing w:after="0"/>
              <w:rPr>
                <w:sz w:val="14"/>
                <w:szCs w:val="14"/>
                <w:color w:val="auto"/>
              </w:rPr>
            </w:pPr>
          </w:p>
        </w:tc>
        <w:tc>
          <w:tcPr>
            <w:tcW w:w="618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ANNUALIZED</w:t>
            </w:r>
          </w:p>
        </w:tc>
      </w:tr>
      <w:tr>
        <w:trPr>
          <w:trHeight w:val="168"/>
        </w:trPr>
        <w:tc>
          <w:tcPr>
            <w:tcW w:w="1360" w:type="dxa"/>
            <w:vAlign w:val="bottom"/>
          </w:tcPr>
          <w:p>
            <w:pPr>
              <w:spacing w:after="0"/>
              <w:rPr>
                <w:sz w:val="14"/>
                <w:szCs w:val="14"/>
                <w:color w:val="auto"/>
              </w:rPr>
            </w:pP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RENTABLE SQUARE</w:t>
            </w:r>
          </w:p>
        </w:tc>
        <w:tc>
          <w:tcPr>
            <w:tcW w:w="1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CURRENT ANNUALIZED</w:t>
            </w:r>
          </w:p>
        </w:tc>
        <w:tc>
          <w:tcPr>
            <w:tcW w:w="2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REVENUES UNDER</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REVENUES UNDER</w:t>
            </w:r>
          </w:p>
        </w:tc>
        <w:tc>
          <w:tcPr>
            <w:tcW w:w="2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EXPIRING LEASES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EXPIRATION</w:t>
            </w: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EXPIRING LEASES</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EXPIRING LEASES</w:t>
            </w:r>
          </w:p>
        </w:tc>
        <w:tc>
          <w:tcPr>
            <w:tcW w:w="2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WITH FUTURE STEP-UPS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w:t>
            </w:r>
          </w:p>
        </w:tc>
        <w:tc>
          <w:tcPr>
            <w:tcW w:w="2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151,062</w:t>
            </w:r>
          </w:p>
        </w:tc>
        <w:tc>
          <w:tcPr>
            <w:tcW w:w="1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$ 1,613,506</w:t>
            </w:r>
          </w:p>
        </w:tc>
        <w:tc>
          <w:tcPr>
            <w:tcW w:w="2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$ 1,613,506</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252,377</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3,136,871</w:t>
            </w: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3,177,668</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2002</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215,620</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3,526,884</w:t>
            </w: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3,624,298</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2003</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23,439</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295,229</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347,548</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2004</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84,881</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1,184,285</w:t>
            </w: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1,311,777</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2005</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148,330</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1,772,104</w:t>
            </w: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1,881,250</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2006</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2007</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107,895</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2,283,762</w:t>
            </w: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2,329,946</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2008</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2009</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59,838</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770,707</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981,557</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218,009</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3,600,615</w:t>
            </w: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4,239,824</w:t>
            </w:r>
          </w:p>
        </w:tc>
      </w:tr>
      <w:tr>
        <w:trPr>
          <w:trHeight w:val="505"/>
        </w:trPr>
        <w:tc>
          <w:tcPr>
            <w:tcW w:w="1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20" w:type="dxa"/>
            <w:vAlign w:val="bottom"/>
          </w:tcPr>
          <w:p>
            <w:pPr>
              <w:ind w:left="300"/>
              <w:spacing w:after="0"/>
              <w:rPr>
                <w:sz w:val="20"/>
                <w:szCs w:val="20"/>
                <w:color w:val="auto"/>
              </w:rPr>
            </w:pPr>
            <w:r>
              <w:rPr>
                <w:rFonts w:ascii="Courier New" w:cs="Courier New" w:eastAsia="Courier New" w:hAnsi="Courier New"/>
                <w:sz w:val="15"/>
                <w:szCs w:val="15"/>
                <w:color w:val="auto"/>
              </w:rPr>
              <w:t>INDUSTRIAL</w:t>
            </w:r>
          </w:p>
        </w:tc>
        <w:tc>
          <w:tcPr>
            <w:tcW w:w="2240" w:type="dxa"/>
            <w:vAlign w:val="bottom"/>
          </w:tcPr>
          <w:p>
            <w:pPr>
              <w:spacing w:after="0"/>
              <w:rPr>
                <w:sz w:val="24"/>
                <w:szCs w:val="24"/>
                <w:color w:val="auto"/>
              </w:rPr>
            </w:pPr>
          </w:p>
        </w:tc>
      </w:tr>
      <w:tr>
        <w:trPr>
          <w:trHeight w:val="168"/>
        </w:trPr>
        <w:tc>
          <w:tcPr>
            <w:tcW w:w="1360" w:type="dxa"/>
            <w:vAlign w:val="bottom"/>
          </w:tcPr>
          <w:p>
            <w:pPr>
              <w:spacing w:after="0"/>
              <w:rPr>
                <w:sz w:val="14"/>
                <w:szCs w:val="14"/>
                <w:color w:val="auto"/>
              </w:rPr>
            </w:pPr>
          </w:p>
        </w:tc>
        <w:tc>
          <w:tcPr>
            <w:tcW w:w="618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ANNUALIZED</w:t>
            </w:r>
          </w:p>
        </w:tc>
      </w:tr>
      <w:tr>
        <w:trPr>
          <w:trHeight w:val="168"/>
        </w:trPr>
        <w:tc>
          <w:tcPr>
            <w:tcW w:w="1360" w:type="dxa"/>
            <w:vAlign w:val="bottom"/>
          </w:tcPr>
          <w:p>
            <w:pPr>
              <w:spacing w:after="0"/>
              <w:rPr>
                <w:sz w:val="14"/>
                <w:szCs w:val="14"/>
                <w:color w:val="auto"/>
              </w:rPr>
            </w:pP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RENTABLE SQUARE</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CURRENT ANNUALIZED</w:t>
            </w:r>
          </w:p>
        </w:tc>
        <w:tc>
          <w:tcPr>
            <w:tcW w:w="2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REVENUES UNDER</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1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REVENUES UNDER</w:t>
            </w:r>
          </w:p>
        </w:tc>
        <w:tc>
          <w:tcPr>
            <w:tcW w:w="2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EXPIRING LEASES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EXPIRATION</w:t>
            </w: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EXPIRING LEASES</w:t>
            </w:r>
          </w:p>
        </w:tc>
        <w:tc>
          <w:tcPr>
            <w:tcW w:w="1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EXPIRING LEASES</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WITH FUTURE STEP-UPS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2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27,189</w:t>
            </w:r>
          </w:p>
        </w:tc>
        <w:tc>
          <w:tcPr>
            <w:tcW w:w="19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$ 172,700</w:t>
            </w:r>
          </w:p>
        </w:tc>
        <w:tc>
          <w:tcPr>
            <w:tcW w:w="22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$ 172,700</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2002</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2003</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19,200</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128,832</w:t>
            </w: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128,832</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2004</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34,863</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228,725</w:t>
            </w: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245,374</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2005</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20,500</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125,698</w:t>
            </w: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140,832</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2006</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2007</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2008</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83,608</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736,586</w:t>
            </w:r>
          </w:p>
        </w:tc>
        <w:tc>
          <w:tcPr>
            <w:tcW w:w="22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809,782</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2009</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24</w:t>
            </w:r>
          </w:p>
        </w:tc>
        <w:tc>
          <w:tcPr>
            <w:tcW w:w="224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28" w:name="page29"/>
    <w:bookmarkEnd w:id="28"/>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IN-SERVICE GREATER SAN FRANCISCO PROPERTIES</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LEASE EXPIRATIONS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4020" w:type="dxa"/>
            <w:vAlign w:val="bottom"/>
            <w:gridSpan w:val="3"/>
          </w:tcPr>
          <w:p>
            <w:pPr>
              <w:jc w:val="right"/>
              <w:ind w:right="927"/>
              <w:spacing w:after="0"/>
              <w:rPr>
                <w:sz w:val="20"/>
                <w:szCs w:val="20"/>
                <w:color w:val="auto"/>
              </w:rPr>
            </w:pPr>
            <w:r>
              <w:rPr>
                <w:rFonts w:ascii="Courier New" w:cs="Courier New" w:eastAsia="Courier New" w:hAnsi="Courier New"/>
                <w:sz w:val="15"/>
                <w:szCs w:val="15"/>
                <w:color w:val="auto"/>
              </w:rPr>
              <w:t>GREATER SAN FRANCISCO</w:t>
            </w: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841"/>
        </w:trPr>
        <w:tc>
          <w:tcPr>
            <w:tcW w:w="1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jc w:val="center"/>
              <w:ind w:right="587"/>
              <w:spacing w:after="0"/>
              <w:rPr>
                <w:sz w:val="20"/>
                <w:szCs w:val="20"/>
                <w:color w:val="auto"/>
              </w:rPr>
            </w:pPr>
            <w:r>
              <w:rPr>
                <w:rFonts w:ascii="Courier New" w:cs="Courier New" w:eastAsia="Courier New" w:hAnsi="Courier New"/>
                <w:sz w:val="15"/>
                <w:szCs w:val="15"/>
                <w:color w:val="auto"/>
                <w:w w:val="96"/>
              </w:rPr>
              <w:t>OFFICE</w:t>
            </w: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1460" w:type="dxa"/>
            <w:vAlign w:val="bottom"/>
          </w:tcPr>
          <w:p>
            <w:pPr>
              <w:spacing w:after="0"/>
              <w:rPr>
                <w:sz w:val="14"/>
                <w:szCs w:val="14"/>
                <w:color w:val="auto"/>
              </w:rPr>
            </w:pPr>
          </w:p>
        </w:tc>
        <w:tc>
          <w:tcPr>
            <w:tcW w:w="608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ANNUALIZED</w:t>
            </w:r>
          </w:p>
        </w:tc>
      </w:tr>
      <w:tr>
        <w:trPr>
          <w:trHeight w:val="168"/>
        </w:trPr>
        <w:tc>
          <w:tcPr>
            <w:tcW w:w="1460" w:type="dxa"/>
            <w:vAlign w:val="bottom"/>
          </w:tcPr>
          <w:p>
            <w:pPr>
              <w:spacing w:after="0"/>
              <w:rPr>
                <w:sz w:val="14"/>
                <w:szCs w:val="14"/>
                <w:color w:val="auto"/>
              </w:rPr>
            </w:pP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RENTABLE SQUARE</w:t>
            </w:r>
          </w:p>
        </w:tc>
        <w:tc>
          <w:tcPr>
            <w:tcW w:w="210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CURRENT ANNUALIZED</w:t>
            </w:r>
          </w:p>
        </w:tc>
        <w:tc>
          <w:tcPr>
            <w:tcW w:w="20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REVENUES UNDER</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1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21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REVENUES UNDER</w:t>
            </w:r>
          </w:p>
        </w:tc>
        <w:tc>
          <w:tcPr>
            <w:tcW w:w="20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EXPIRING LEASES</w:t>
            </w:r>
          </w:p>
        </w:tc>
      </w:tr>
      <w:tr>
        <w:trPr>
          <w:trHeight w:val="168"/>
        </w:trPr>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EXPIRATION</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EXPIRING LEASES</w:t>
            </w:r>
          </w:p>
        </w:tc>
        <w:tc>
          <w:tcPr>
            <w:tcW w:w="21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EXPIRING LEASES</w:t>
            </w:r>
          </w:p>
        </w:tc>
        <w:tc>
          <w:tcPr>
            <w:tcW w:w="2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WITH FUTURE STEP-UPS</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4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2000</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134,270</w:t>
            </w:r>
          </w:p>
        </w:tc>
        <w:tc>
          <w:tcPr>
            <w:tcW w:w="21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$ 3,790,904</w:t>
            </w:r>
          </w:p>
        </w:tc>
        <w:tc>
          <w:tcPr>
            <w:tcW w:w="20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$ 3,790,904</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2001</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596,051</w:t>
            </w:r>
          </w:p>
        </w:tc>
        <w:tc>
          <w:tcPr>
            <w:tcW w:w="560" w:type="dxa"/>
            <w:vAlign w:val="bottom"/>
          </w:tcPr>
          <w:p>
            <w:pPr>
              <w:spacing w:after="0"/>
              <w:rPr>
                <w:sz w:val="14"/>
                <w:szCs w:val="14"/>
                <w:color w:val="auto"/>
              </w:rPr>
            </w:pP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5"/>
              </w:rPr>
              <w:t>21,236,487</w:t>
            </w:r>
          </w:p>
        </w:tc>
        <w:tc>
          <w:tcPr>
            <w:tcW w:w="66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21,269,847</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2002</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317,687</w:t>
            </w:r>
          </w:p>
        </w:tc>
        <w:tc>
          <w:tcPr>
            <w:tcW w:w="560" w:type="dxa"/>
            <w:vAlign w:val="bottom"/>
          </w:tcPr>
          <w:p>
            <w:pPr>
              <w:spacing w:after="0"/>
              <w:rPr>
                <w:sz w:val="14"/>
                <w:szCs w:val="14"/>
                <w:color w:val="auto"/>
              </w:rPr>
            </w:pP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5"/>
              </w:rPr>
              <w:t>10,887,861</w:t>
            </w:r>
          </w:p>
        </w:tc>
        <w:tc>
          <w:tcPr>
            <w:tcW w:w="66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11,008,356</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2003</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588,506</w:t>
            </w:r>
          </w:p>
        </w:tc>
        <w:tc>
          <w:tcPr>
            <w:tcW w:w="560" w:type="dxa"/>
            <w:vAlign w:val="bottom"/>
          </w:tcPr>
          <w:p>
            <w:pPr>
              <w:spacing w:after="0"/>
              <w:rPr>
                <w:sz w:val="14"/>
                <w:szCs w:val="14"/>
                <w:color w:val="auto"/>
              </w:rPr>
            </w:pP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5"/>
              </w:rPr>
              <w:t>22,384,350</w:t>
            </w:r>
          </w:p>
        </w:tc>
        <w:tc>
          <w:tcPr>
            <w:tcW w:w="66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22,588,714</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2004</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753,119</w:t>
            </w:r>
          </w:p>
        </w:tc>
        <w:tc>
          <w:tcPr>
            <w:tcW w:w="560" w:type="dxa"/>
            <w:vAlign w:val="bottom"/>
          </w:tcPr>
          <w:p>
            <w:pPr>
              <w:spacing w:after="0"/>
              <w:rPr>
                <w:sz w:val="14"/>
                <w:szCs w:val="14"/>
                <w:color w:val="auto"/>
              </w:rPr>
            </w:pP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5"/>
              </w:rPr>
              <w:t>30,360,479</w:t>
            </w:r>
          </w:p>
        </w:tc>
        <w:tc>
          <w:tcPr>
            <w:tcW w:w="66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30,614,710</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2005</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271,774</w:t>
            </w:r>
          </w:p>
        </w:tc>
        <w:tc>
          <w:tcPr>
            <w:tcW w:w="560" w:type="dxa"/>
            <w:vAlign w:val="bottom"/>
          </w:tcPr>
          <w:p>
            <w:pPr>
              <w:spacing w:after="0"/>
              <w:rPr>
                <w:sz w:val="14"/>
                <w:szCs w:val="14"/>
                <w:color w:val="auto"/>
              </w:rPr>
            </w:pP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9,788,245</w:t>
            </w:r>
          </w:p>
        </w:tc>
        <w:tc>
          <w:tcPr>
            <w:tcW w:w="66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10,298,771</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2006</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750,087</w:t>
            </w:r>
          </w:p>
        </w:tc>
        <w:tc>
          <w:tcPr>
            <w:tcW w:w="560" w:type="dxa"/>
            <w:vAlign w:val="bottom"/>
          </w:tcPr>
          <w:p>
            <w:pPr>
              <w:spacing w:after="0"/>
              <w:rPr>
                <w:sz w:val="14"/>
                <w:szCs w:val="14"/>
                <w:color w:val="auto"/>
              </w:rPr>
            </w:pP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5"/>
              </w:rPr>
              <w:t>24,711,142</w:t>
            </w:r>
          </w:p>
        </w:tc>
        <w:tc>
          <w:tcPr>
            <w:tcW w:w="66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26,719,310</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2007</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336,188</w:t>
            </w:r>
          </w:p>
        </w:tc>
        <w:tc>
          <w:tcPr>
            <w:tcW w:w="560" w:type="dxa"/>
            <w:vAlign w:val="bottom"/>
          </w:tcPr>
          <w:p>
            <w:pPr>
              <w:spacing w:after="0"/>
              <w:rPr>
                <w:sz w:val="14"/>
                <w:szCs w:val="14"/>
                <w:color w:val="auto"/>
              </w:rPr>
            </w:pP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5"/>
              </w:rPr>
              <w:t>12,224,079</w:t>
            </w:r>
          </w:p>
        </w:tc>
        <w:tc>
          <w:tcPr>
            <w:tcW w:w="66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12,953,138</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2008</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173,286</w:t>
            </w:r>
          </w:p>
        </w:tc>
        <w:tc>
          <w:tcPr>
            <w:tcW w:w="560" w:type="dxa"/>
            <w:vAlign w:val="bottom"/>
          </w:tcPr>
          <w:p>
            <w:pPr>
              <w:spacing w:after="0"/>
              <w:rPr>
                <w:sz w:val="14"/>
                <w:szCs w:val="14"/>
                <w:color w:val="auto"/>
              </w:rPr>
            </w:pP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6,418,848</w:t>
            </w:r>
          </w:p>
        </w:tc>
        <w:tc>
          <w:tcPr>
            <w:tcW w:w="66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6,450,560</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2009</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271,610</w:t>
            </w:r>
          </w:p>
        </w:tc>
        <w:tc>
          <w:tcPr>
            <w:tcW w:w="560" w:type="dxa"/>
            <w:vAlign w:val="bottom"/>
          </w:tcPr>
          <w:p>
            <w:pPr>
              <w:spacing w:after="0"/>
              <w:rPr>
                <w:sz w:val="14"/>
                <w:szCs w:val="14"/>
                <w:color w:val="auto"/>
              </w:rPr>
            </w:pP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5"/>
              </w:rPr>
              <w:t>10,179,704</w:t>
            </w:r>
          </w:p>
        </w:tc>
        <w:tc>
          <w:tcPr>
            <w:tcW w:w="66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10,627,356</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100,621</w:t>
            </w:r>
          </w:p>
        </w:tc>
        <w:tc>
          <w:tcPr>
            <w:tcW w:w="560" w:type="dxa"/>
            <w:vAlign w:val="bottom"/>
          </w:tcPr>
          <w:p>
            <w:pPr>
              <w:spacing w:after="0"/>
              <w:rPr>
                <w:sz w:val="14"/>
                <w:szCs w:val="14"/>
                <w:color w:val="auto"/>
              </w:rPr>
            </w:pP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4,990,191</w:t>
            </w:r>
          </w:p>
        </w:tc>
        <w:tc>
          <w:tcPr>
            <w:tcW w:w="66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5,362,225</w:t>
            </w:r>
          </w:p>
        </w:tc>
      </w:tr>
      <w:tr>
        <w:trPr>
          <w:trHeight w:val="505"/>
        </w:trPr>
        <w:tc>
          <w:tcPr>
            <w:tcW w:w="1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R&amp;D</w:t>
            </w: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1460" w:type="dxa"/>
            <w:vAlign w:val="bottom"/>
          </w:tcPr>
          <w:p>
            <w:pPr>
              <w:spacing w:after="0"/>
              <w:rPr>
                <w:sz w:val="14"/>
                <w:szCs w:val="14"/>
                <w:color w:val="auto"/>
              </w:rPr>
            </w:pPr>
          </w:p>
        </w:tc>
        <w:tc>
          <w:tcPr>
            <w:tcW w:w="608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ANNUALIZED</w:t>
            </w:r>
          </w:p>
        </w:tc>
      </w:tr>
      <w:tr>
        <w:trPr>
          <w:trHeight w:val="168"/>
        </w:trPr>
        <w:tc>
          <w:tcPr>
            <w:tcW w:w="1460" w:type="dxa"/>
            <w:vAlign w:val="bottom"/>
          </w:tcPr>
          <w:p>
            <w:pPr>
              <w:spacing w:after="0"/>
              <w:rPr>
                <w:sz w:val="14"/>
                <w:szCs w:val="14"/>
                <w:color w:val="auto"/>
              </w:rPr>
            </w:pP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RENTABLE SQUARE</w:t>
            </w:r>
          </w:p>
        </w:tc>
        <w:tc>
          <w:tcPr>
            <w:tcW w:w="210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CURRENT ANNUALIZED</w:t>
            </w:r>
          </w:p>
        </w:tc>
        <w:tc>
          <w:tcPr>
            <w:tcW w:w="20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REVENUES UNDER</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1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21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REVENUES UNDER</w:t>
            </w:r>
          </w:p>
        </w:tc>
        <w:tc>
          <w:tcPr>
            <w:tcW w:w="20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EXPIRING LEASES</w:t>
            </w:r>
          </w:p>
        </w:tc>
      </w:tr>
      <w:tr>
        <w:trPr>
          <w:trHeight w:val="168"/>
        </w:trPr>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EXPIRATION</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EXPIRING LEASES</w:t>
            </w:r>
          </w:p>
        </w:tc>
        <w:tc>
          <w:tcPr>
            <w:tcW w:w="21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EXPIRING LEASES</w:t>
            </w:r>
          </w:p>
        </w:tc>
        <w:tc>
          <w:tcPr>
            <w:tcW w:w="2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WITH FUTURE STEP-UPS</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4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2000</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24,200</w:t>
            </w:r>
          </w:p>
        </w:tc>
        <w:tc>
          <w:tcPr>
            <w:tcW w:w="560" w:type="dxa"/>
            <w:vAlign w:val="bottom"/>
          </w:tcPr>
          <w:p>
            <w:pPr>
              <w:spacing w:after="0"/>
              <w:rPr>
                <w:sz w:val="24"/>
                <w:szCs w:val="24"/>
                <w:color w:val="auto"/>
              </w:rPr>
            </w:pP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6"/>
              </w:rPr>
              <w:t>$ 217,928</w:t>
            </w:r>
          </w:p>
        </w:tc>
        <w:tc>
          <w:tcPr>
            <w:tcW w:w="20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$ 217,928</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2001</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34,697</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424,465</w:t>
            </w:r>
          </w:p>
        </w:tc>
        <w:tc>
          <w:tcPr>
            <w:tcW w:w="66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431,813</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2002</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42,486</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522,535</w:t>
            </w:r>
          </w:p>
        </w:tc>
        <w:tc>
          <w:tcPr>
            <w:tcW w:w="66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544,194</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2003</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21,164</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307,531</w:t>
            </w:r>
          </w:p>
        </w:tc>
        <w:tc>
          <w:tcPr>
            <w:tcW w:w="66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330,863</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2004</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2005</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15,819</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176,499</w:t>
            </w:r>
          </w:p>
        </w:tc>
        <w:tc>
          <w:tcPr>
            <w:tcW w:w="66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226,880</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2006</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2007</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2008</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2009</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INDUSTRIAL</w:t>
            </w: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1460" w:type="dxa"/>
            <w:vAlign w:val="bottom"/>
          </w:tcPr>
          <w:p>
            <w:pPr>
              <w:spacing w:after="0"/>
              <w:rPr>
                <w:sz w:val="14"/>
                <w:szCs w:val="14"/>
                <w:color w:val="auto"/>
              </w:rPr>
            </w:pPr>
          </w:p>
        </w:tc>
        <w:tc>
          <w:tcPr>
            <w:tcW w:w="608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ANNUALIZED</w:t>
            </w:r>
          </w:p>
        </w:tc>
      </w:tr>
      <w:tr>
        <w:trPr>
          <w:trHeight w:val="168"/>
        </w:trPr>
        <w:tc>
          <w:tcPr>
            <w:tcW w:w="1460" w:type="dxa"/>
            <w:vAlign w:val="bottom"/>
          </w:tcPr>
          <w:p>
            <w:pPr>
              <w:spacing w:after="0"/>
              <w:rPr>
                <w:sz w:val="14"/>
                <w:szCs w:val="14"/>
                <w:color w:val="auto"/>
              </w:rPr>
            </w:pP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RENTABLE SQUARE</w:t>
            </w:r>
          </w:p>
        </w:tc>
        <w:tc>
          <w:tcPr>
            <w:tcW w:w="210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CURRENT ANNUALIZED</w:t>
            </w:r>
          </w:p>
        </w:tc>
        <w:tc>
          <w:tcPr>
            <w:tcW w:w="20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REVENUES UNDER</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1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21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REVENUES UNDER</w:t>
            </w:r>
          </w:p>
        </w:tc>
        <w:tc>
          <w:tcPr>
            <w:tcW w:w="20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EXPIRING LEASES</w:t>
            </w:r>
          </w:p>
        </w:tc>
      </w:tr>
      <w:tr>
        <w:trPr>
          <w:trHeight w:val="168"/>
        </w:trPr>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EXPIRATION</w:t>
            </w: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EXPIRING LEASES</w:t>
            </w:r>
          </w:p>
        </w:tc>
        <w:tc>
          <w:tcPr>
            <w:tcW w:w="21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EXPIRING LEASES</w:t>
            </w:r>
          </w:p>
        </w:tc>
        <w:tc>
          <w:tcPr>
            <w:tcW w:w="2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WITH FUTURE STEP-UPS</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4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2000</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560"/>
              <w:spacing w:after="0"/>
              <w:rPr>
                <w:sz w:val="20"/>
                <w:szCs w:val="20"/>
                <w:color w:val="auto"/>
              </w:rPr>
            </w:pPr>
            <w:r>
              <w:rPr>
                <w:rFonts w:ascii="Courier New" w:cs="Courier New" w:eastAsia="Courier New" w:hAnsi="Courier New"/>
                <w:sz w:val="15"/>
                <w:szCs w:val="15"/>
                <w:color w:val="auto"/>
                <w:w w:val="88"/>
              </w:rPr>
              <w:t>$</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2001</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60,000</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253,936</w:t>
            </w:r>
          </w:p>
        </w:tc>
        <w:tc>
          <w:tcPr>
            <w:tcW w:w="66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253,936</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2002</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2003</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2004</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200,213</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6"/>
              </w:rPr>
              <w:t>1,134,331</w:t>
            </w:r>
          </w:p>
        </w:tc>
        <w:tc>
          <w:tcPr>
            <w:tcW w:w="66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3"/>
              </w:rPr>
              <w:t>1,211,182</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2005</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2006</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2007</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20,000</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222,456</w:t>
            </w:r>
          </w:p>
        </w:tc>
        <w:tc>
          <w:tcPr>
            <w:tcW w:w="66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258,783</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2008</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2009</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25</w:t>
            </w:r>
          </w:p>
        </w:tc>
        <w:tc>
          <w:tcPr>
            <w:tcW w:w="1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29" w:name="page30"/>
    <w:bookmarkEnd w:id="29"/>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IN-SERVICE NEW YORK PROPERTIES</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LEASE EXPIRATIONS</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MID-TOWN MANHATTAN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tcPr>
          <w:p>
            <w:pPr>
              <w:ind w:left="360"/>
              <w:spacing w:after="0"/>
              <w:rPr>
                <w:sz w:val="20"/>
                <w:szCs w:val="20"/>
                <w:color w:val="auto"/>
              </w:rPr>
            </w:pPr>
            <w:r>
              <w:rPr>
                <w:rFonts w:ascii="Courier New" w:cs="Courier New" w:eastAsia="Courier New" w:hAnsi="Courier New"/>
                <w:sz w:val="15"/>
                <w:szCs w:val="15"/>
                <w:color w:val="auto"/>
              </w:rPr>
              <w:t>OFFICE</w:t>
            </w:r>
          </w:p>
        </w:tc>
        <w:tc>
          <w:tcPr>
            <w:tcW w:w="8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704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ANNUALIZED</w:t>
            </w:r>
          </w:p>
        </w:tc>
      </w:tr>
      <w:tr>
        <w:trPr>
          <w:trHeight w:val="168"/>
        </w:trPr>
        <w:tc>
          <w:tcPr>
            <w:tcW w:w="1360" w:type="dxa"/>
            <w:vAlign w:val="bottom"/>
          </w:tcPr>
          <w:p>
            <w:pPr>
              <w:spacing w:after="0"/>
              <w:rPr>
                <w:sz w:val="14"/>
                <w:szCs w:val="14"/>
                <w:color w:val="auto"/>
              </w:rPr>
            </w:pP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RENTABLE SQUARE</w:t>
            </w:r>
          </w:p>
        </w:tc>
        <w:tc>
          <w:tcPr>
            <w:tcW w:w="22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8"/>
              </w:rPr>
              <w:t>CURRENT ANNUALIZED</w:t>
            </w:r>
          </w:p>
        </w:tc>
        <w:tc>
          <w:tcPr>
            <w:tcW w:w="820" w:type="dxa"/>
            <w:vAlign w:val="bottom"/>
          </w:tcPr>
          <w:p>
            <w:pPr>
              <w:spacing w:after="0"/>
              <w:rPr>
                <w:sz w:val="14"/>
                <w:szCs w:val="14"/>
                <w:color w:val="auto"/>
              </w:rPr>
            </w:pPr>
          </w:p>
        </w:tc>
        <w:tc>
          <w:tcPr>
            <w:tcW w:w="1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REVENUES UNDER</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2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740" w:type="dxa"/>
            <w:vAlign w:val="bottom"/>
          </w:tcPr>
          <w:p>
            <w:pPr>
              <w:spacing w:after="0"/>
              <w:rPr>
                <w:sz w:val="14"/>
                <w:szCs w:val="14"/>
                <w:color w:val="auto"/>
              </w:rPr>
            </w:pP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REVENUES UNDER</w:t>
            </w:r>
          </w:p>
        </w:tc>
        <w:tc>
          <w:tcPr>
            <w:tcW w:w="820" w:type="dxa"/>
            <w:vAlign w:val="bottom"/>
          </w:tcPr>
          <w:p>
            <w:pPr>
              <w:spacing w:after="0"/>
              <w:rPr>
                <w:sz w:val="14"/>
                <w:szCs w:val="14"/>
                <w:color w:val="auto"/>
              </w:rPr>
            </w:pPr>
          </w:p>
        </w:tc>
        <w:tc>
          <w:tcPr>
            <w:tcW w:w="1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EXPIRING LEASES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EXPIRATION</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EXPIRING LEASES</w:t>
            </w:r>
          </w:p>
        </w:tc>
        <w:tc>
          <w:tcPr>
            <w:tcW w:w="740" w:type="dxa"/>
            <w:vAlign w:val="bottom"/>
          </w:tcPr>
          <w:p>
            <w:pPr>
              <w:spacing w:after="0"/>
              <w:rPr>
                <w:sz w:val="14"/>
                <w:szCs w:val="14"/>
                <w:color w:val="auto"/>
              </w:rPr>
            </w:pP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EXPIRING LEASES</w:t>
            </w:r>
          </w:p>
        </w:tc>
        <w:tc>
          <w:tcPr>
            <w:tcW w:w="820" w:type="dxa"/>
            <w:vAlign w:val="bottom"/>
          </w:tcPr>
          <w:p>
            <w:pPr>
              <w:spacing w:after="0"/>
              <w:rPr>
                <w:sz w:val="14"/>
                <w:szCs w:val="14"/>
                <w:color w:val="auto"/>
              </w:rPr>
            </w:pPr>
          </w:p>
        </w:tc>
        <w:tc>
          <w:tcPr>
            <w:tcW w:w="1920" w:type="dxa"/>
            <w:vAlign w:val="bottom"/>
          </w:tcPr>
          <w:p>
            <w:pPr>
              <w:spacing w:after="0" w:line="168" w:lineRule="exact"/>
              <w:rPr>
                <w:sz w:val="20"/>
                <w:szCs w:val="20"/>
                <w:color w:val="auto"/>
              </w:rPr>
            </w:pPr>
            <w:r>
              <w:rPr>
                <w:rFonts w:ascii="Courier New" w:cs="Courier New" w:eastAsia="Courier New" w:hAnsi="Courier New"/>
                <w:sz w:val="15"/>
                <w:szCs w:val="15"/>
                <w:color w:val="auto"/>
              </w:rPr>
              <w:t>WITH FUTURE STEP-UPS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8"/>
              </w:rPr>
              <w:t>------------------</w:t>
            </w:r>
          </w:p>
        </w:tc>
        <w:tc>
          <w:tcPr>
            <w:tcW w:w="74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2020" w:type="dxa"/>
            <w:vAlign w:val="bottom"/>
          </w:tcPr>
          <w:p>
            <w:pPr>
              <w:ind w:left="840"/>
              <w:spacing w:after="0"/>
              <w:rPr>
                <w:sz w:val="20"/>
                <w:szCs w:val="20"/>
                <w:color w:val="auto"/>
              </w:rPr>
            </w:pPr>
            <w:r>
              <w:rPr>
                <w:rFonts w:ascii="Courier New" w:cs="Courier New" w:eastAsia="Courier New" w:hAnsi="Courier New"/>
                <w:sz w:val="15"/>
                <w:szCs w:val="15"/>
                <w:color w:val="auto"/>
              </w:rPr>
              <w:t>20,947</w:t>
            </w:r>
          </w:p>
        </w:tc>
        <w:tc>
          <w:tcPr>
            <w:tcW w:w="740" w:type="dxa"/>
            <w:vAlign w:val="bottom"/>
          </w:tcPr>
          <w:p>
            <w:pPr>
              <w:spacing w:after="0"/>
              <w:rPr>
                <w:sz w:val="24"/>
                <w:szCs w:val="24"/>
                <w:color w:val="auto"/>
              </w:rPr>
            </w:pP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$ 1,274,083</w:t>
            </w:r>
          </w:p>
        </w:tc>
        <w:tc>
          <w:tcPr>
            <w:tcW w:w="820" w:type="dxa"/>
            <w:vAlign w:val="bottom"/>
          </w:tcPr>
          <w:p>
            <w:pPr>
              <w:spacing w:after="0"/>
              <w:rPr>
                <w:sz w:val="24"/>
                <w:szCs w:val="24"/>
                <w:color w:val="auto"/>
              </w:rPr>
            </w:pPr>
          </w:p>
        </w:tc>
        <w:tc>
          <w:tcPr>
            <w:tcW w:w="1920" w:type="dxa"/>
            <w:vAlign w:val="bottom"/>
          </w:tcPr>
          <w:p>
            <w:pPr>
              <w:ind w:left="440"/>
              <w:spacing w:after="0"/>
              <w:rPr>
                <w:sz w:val="20"/>
                <w:szCs w:val="20"/>
                <w:color w:val="auto"/>
              </w:rPr>
            </w:pPr>
            <w:r>
              <w:rPr>
                <w:rFonts w:ascii="Courier New" w:cs="Courier New" w:eastAsia="Courier New" w:hAnsi="Courier New"/>
                <w:sz w:val="15"/>
                <w:szCs w:val="15"/>
                <w:color w:val="auto"/>
              </w:rPr>
              <w:t>$ 1,274,083</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20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129,091</w:t>
            </w:r>
          </w:p>
        </w:tc>
        <w:tc>
          <w:tcPr>
            <w:tcW w:w="74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6,882,407</w:t>
            </w:r>
          </w:p>
        </w:tc>
        <w:tc>
          <w:tcPr>
            <w:tcW w:w="82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6,902,469</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2002</w:t>
            </w:r>
          </w:p>
        </w:tc>
        <w:tc>
          <w:tcPr>
            <w:tcW w:w="20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900,104</w:t>
            </w:r>
          </w:p>
        </w:tc>
        <w:tc>
          <w:tcPr>
            <w:tcW w:w="74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47,158,597</w:t>
            </w:r>
          </w:p>
        </w:tc>
        <w:tc>
          <w:tcPr>
            <w:tcW w:w="820" w:type="dxa"/>
            <w:vAlign w:val="bottom"/>
          </w:tcPr>
          <w:p>
            <w:pPr>
              <w:spacing w:after="0"/>
              <w:rPr>
                <w:sz w:val="14"/>
                <w:szCs w:val="14"/>
                <w:color w:val="auto"/>
              </w:rPr>
            </w:pP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47,271,041</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2003</w:t>
            </w:r>
          </w:p>
        </w:tc>
        <w:tc>
          <w:tcPr>
            <w:tcW w:w="20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191,631</w:t>
            </w:r>
          </w:p>
        </w:tc>
        <w:tc>
          <w:tcPr>
            <w:tcW w:w="74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7,497,312</w:t>
            </w:r>
          </w:p>
        </w:tc>
        <w:tc>
          <w:tcPr>
            <w:tcW w:w="82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7,547,672</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2004</w:t>
            </w:r>
          </w:p>
        </w:tc>
        <w:tc>
          <w:tcPr>
            <w:tcW w:w="202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16,525</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895,043</w:t>
            </w:r>
          </w:p>
        </w:tc>
        <w:tc>
          <w:tcPr>
            <w:tcW w:w="82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959,076</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2005</w:t>
            </w:r>
          </w:p>
        </w:tc>
        <w:tc>
          <w:tcPr>
            <w:tcW w:w="202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55,239</w:t>
            </w:r>
          </w:p>
        </w:tc>
        <w:tc>
          <w:tcPr>
            <w:tcW w:w="74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2,513,033</w:t>
            </w:r>
          </w:p>
        </w:tc>
        <w:tc>
          <w:tcPr>
            <w:tcW w:w="82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2,690,599</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2006</w:t>
            </w:r>
          </w:p>
        </w:tc>
        <w:tc>
          <w:tcPr>
            <w:tcW w:w="202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25,440</w:t>
            </w:r>
          </w:p>
        </w:tc>
        <w:tc>
          <w:tcPr>
            <w:tcW w:w="74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1,071,777</w:t>
            </w:r>
          </w:p>
        </w:tc>
        <w:tc>
          <w:tcPr>
            <w:tcW w:w="82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1,175,591</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2007</w:t>
            </w:r>
          </w:p>
        </w:tc>
        <w:tc>
          <w:tcPr>
            <w:tcW w:w="20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561,948</w:t>
            </w:r>
          </w:p>
        </w:tc>
        <w:tc>
          <w:tcPr>
            <w:tcW w:w="74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28,985,091</w:t>
            </w:r>
          </w:p>
        </w:tc>
        <w:tc>
          <w:tcPr>
            <w:tcW w:w="820" w:type="dxa"/>
            <w:vAlign w:val="bottom"/>
          </w:tcPr>
          <w:p>
            <w:pPr>
              <w:spacing w:after="0"/>
              <w:rPr>
                <w:sz w:val="14"/>
                <w:szCs w:val="14"/>
                <w:color w:val="auto"/>
              </w:rPr>
            </w:pP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31,974,155</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2008</w:t>
            </w:r>
          </w:p>
        </w:tc>
        <w:tc>
          <w:tcPr>
            <w:tcW w:w="20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118,081</w:t>
            </w:r>
          </w:p>
        </w:tc>
        <w:tc>
          <w:tcPr>
            <w:tcW w:w="74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5,037,421</w:t>
            </w:r>
          </w:p>
        </w:tc>
        <w:tc>
          <w:tcPr>
            <w:tcW w:w="82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5,572,477</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2009</w:t>
            </w:r>
          </w:p>
        </w:tc>
        <w:tc>
          <w:tcPr>
            <w:tcW w:w="202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39,381</w:t>
            </w:r>
          </w:p>
        </w:tc>
        <w:tc>
          <w:tcPr>
            <w:tcW w:w="74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2,250,721</w:t>
            </w:r>
          </w:p>
        </w:tc>
        <w:tc>
          <w:tcPr>
            <w:tcW w:w="82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2,595,288</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0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782,338</w:t>
            </w:r>
          </w:p>
        </w:tc>
        <w:tc>
          <w:tcPr>
            <w:tcW w:w="74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34,651,743</w:t>
            </w:r>
          </w:p>
        </w:tc>
        <w:tc>
          <w:tcPr>
            <w:tcW w:w="820" w:type="dxa"/>
            <w:vAlign w:val="bottom"/>
          </w:tcPr>
          <w:p>
            <w:pPr>
              <w:spacing w:after="0"/>
              <w:rPr>
                <w:sz w:val="14"/>
                <w:szCs w:val="14"/>
                <w:color w:val="auto"/>
              </w:rPr>
            </w:pP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43,471,137</w:t>
            </w:r>
          </w:p>
        </w:tc>
      </w:tr>
      <w:tr>
        <w:trPr>
          <w:trHeight w:val="505"/>
        </w:trPr>
        <w:tc>
          <w:tcPr>
            <w:tcW w:w="1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rPr>
              <w:t>R&amp;D</w:t>
            </w:r>
          </w:p>
        </w:tc>
        <w:tc>
          <w:tcPr>
            <w:tcW w:w="8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8"/>
        </w:trPr>
        <w:tc>
          <w:tcPr>
            <w:tcW w:w="1360" w:type="dxa"/>
            <w:vAlign w:val="bottom"/>
          </w:tcPr>
          <w:p>
            <w:pPr>
              <w:spacing w:after="0"/>
              <w:rPr>
                <w:sz w:val="14"/>
                <w:szCs w:val="14"/>
                <w:color w:val="auto"/>
              </w:rPr>
            </w:pPr>
          </w:p>
        </w:tc>
        <w:tc>
          <w:tcPr>
            <w:tcW w:w="704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40" w:type="dxa"/>
            <w:vAlign w:val="bottom"/>
            <w:gridSpan w:val="2"/>
          </w:tcPr>
          <w:p>
            <w:pPr>
              <w:jc w:val="right"/>
              <w:ind w:right="1407"/>
              <w:spacing w:after="0" w:line="168" w:lineRule="exact"/>
              <w:rPr>
                <w:sz w:val="20"/>
                <w:szCs w:val="20"/>
                <w:color w:val="auto"/>
              </w:rPr>
            </w:pPr>
            <w:r>
              <w:rPr>
                <w:rFonts w:ascii="Courier New" w:cs="Courier New" w:eastAsia="Courier New" w:hAnsi="Courier New"/>
                <w:sz w:val="15"/>
                <w:szCs w:val="15"/>
                <w:color w:val="auto"/>
              </w:rPr>
              <w:t>ANNUALIZED</w:t>
            </w:r>
          </w:p>
        </w:tc>
      </w:tr>
      <w:tr>
        <w:trPr>
          <w:trHeight w:val="168"/>
        </w:trPr>
        <w:tc>
          <w:tcPr>
            <w:tcW w:w="1360" w:type="dxa"/>
            <w:vAlign w:val="bottom"/>
          </w:tcPr>
          <w:p>
            <w:pPr>
              <w:spacing w:after="0"/>
              <w:rPr>
                <w:sz w:val="14"/>
                <w:szCs w:val="14"/>
                <w:color w:val="auto"/>
              </w:rPr>
            </w:pP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RENTABLE SQUARE</w:t>
            </w:r>
          </w:p>
        </w:tc>
        <w:tc>
          <w:tcPr>
            <w:tcW w:w="22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CURRENT ANNUALIZED</w:t>
            </w:r>
          </w:p>
        </w:tc>
        <w:tc>
          <w:tcPr>
            <w:tcW w:w="27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REVENUES UNDER</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2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22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REVENUES UNDER</w:t>
            </w:r>
          </w:p>
        </w:tc>
        <w:tc>
          <w:tcPr>
            <w:tcW w:w="27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EXPIRING LEASES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EXPIRATION</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EXPIRING LEASES</w:t>
            </w:r>
          </w:p>
        </w:tc>
        <w:tc>
          <w:tcPr>
            <w:tcW w:w="22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EXPIRING LEASES</w:t>
            </w:r>
          </w:p>
        </w:tc>
        <w:tc>
          <w:tcPr>
            <w:tcW w:w="27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w w:val="97"/>
              </w:rPr>
              <w:t>WITH FUTURE STEP-UPS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7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2020" w:type="dxa"/>
            <w:vAlign w:val="bottom"/>
          </w:tcPr>
          <w:p>
            <w:pPr>
              <w:jc w:val="center"/>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660"/>
              <w:spacing w:after="0"/>
              <w:rPr>
                <w:sz w:val="20"/>
                <w:szCs w:val="20"/>
                <w:color w:val="auto"/>
              </w:rPr>
            </w:pPr>
            <w:r>
              <w:rPr>
                <w:rFonts w:ascii="Courier New" w:cs="Courier New" w:eastAsia="Courier New" w:hAnsi="Courier New"/>
                <w:sz w:val="14"/>
                <w:szCs w:val="14"/>
                <w:color w:val="auto"/>
                <w:w w:val="70"/>
              </w:rPr>
              <w:t>$</w:t>
            </w:r>
          </w:p>
        </w:tc>
        <w:tc>
          <w:tcPr>
            <w:tcW w:w="15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2002</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2003</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2004</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2005</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2006</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2007</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2008</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2009</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8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INDUSTRIAL</w:t>
            </w:r>
          </w:p>
        </w:tc>
        <w:tc>
          <w:tcPr>
            <w:tcW w:w="8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8"/>
        </w:trPr>
        <w:tc>
          <w:tcPr>
            <w:tcW w:w="1360" w:type="dxa"/>
            <w:vAlign w:val="bottom"/>
          </w:tcPr>
          <w:p>
            <w:pPr>
              <w:spacing w:after="0"/>
              <w:rPr>
                <w:sz w:val="14"/>
                <w:szCs w:val="14"/>
                <w:color w:val="auto"/>
              </w:rPr>
            </w:pPr>
          </w:p>
        </w:tc>
        <w:tc>
          <w:tcPr>
            <w:tcW w:w="704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40" w:type="dxa"/>
            <w:vAlign w:val="bottom"/>
            <w:gridSpan w:val="2"/>
          </w:tcPr>
          <w:p>
            <w:pPr>
              <w:jc w:val="right"/>
              <w:ind w:right="1327"/>
              <w:spacing w:after="0" w:line="168" w:lineRule="exact"/>
              <w:rPr>
                <w:sz w:val="20"/>
                <w:szCs w:val="20"/>
                <w:color w:val="auto"/>
              </w:rPr>
            </w:pPr>
            <w:r>
              <w:rPr>
                <w:rFonts w:ascii="Courier New" w:cs="Courier New" w:eastAsia="Courier New" w:hAnsi="Courier New"/>
                <w:sz w:val="15"/>
                <w:szCs w:val="15"/>
                <w:color w:val="auto"/>
              </w:rPr>
              <w:t>ANNUALIZED</w:t>
            </w:r>
          </w:p>
        </w:tc>
      </w:tr>
      <w:tr>
        <w:trPr>
          <w:trHeight w:val="168"/>
        </w:trPr>
        <w:tc>
          <w:tcPr>
            <w:tcW w:w="1360" w:type="dxa"/>
            <w:vAlign w:val="bottom"/>
          </w:tcPr>
          <w:p>
            <w:pPr>
              <w:spacing w:after="0"/>
              <w:rPr>
                <w:sz w:val="14"/>
                <w:szCs w:val="14"/>
                <w:color w:val="auto"/>
              </w:rPr>
            </w:pP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RENTABLE SQUARE</w:t>
            </w:r>
          </w:p>
        </w:tc>
        <w:tc>
          <w:tcPr>
            <w:tcW w:w="22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CURRENT ANNUALIZED</w:t>
            </w:r>
          </w:p>
        </w:tc>
        <w:tc>
          <w:tcPr>
            <w:tcW w:w="27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REVENUES UNDER</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2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22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REVENUES UNDER</w:t>
            </w:r>
          </w:p>
        </w:tc>
        <w:tc>
          <w:tcPr>
            <w:tcW w:w="27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EXPIRING LEASES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EXPIRATION</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EXPIRING LEASES</w:t>
            </w:r>
          </w:p>
        </w:tc>
        <w:tc>
          <w:tcPr>
            <w:tcW w:w="22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EXPIRING LEASES</w:t>
            </w:r>
          </w:p>
        </w:tc>
        <w:tc>
          <w:tcPr>
            <w:tcW w:w="2740" w:type="dxa"/>
            <w:vAlign w:val="bottom"/>
            <w:gridSpan w:val="2"/>
          </w:tcPr>
          <w:p>
            <w:pPr>
              <w:jc w:val="right"/>
              <w:ind w:right="787"/>
              <w:spacing w:after="0" w:line="168" w:lineRule="exact"/>
              <w:rPr>
                <w:sz w:val="20"/>
                <w:szCs w:val="20"/>
                <w:color w:val="auto"/>
              </w:rPr>
            </w:pPr>
            <w:r>
              <w:rPr>
                <w:rFonts w:ascii="Courier New" w:cs="Courier New" w:eastAsia="Courier New" w:hAnsi="Courier New"/>
                <w:sz w:val="15"/>
                <w:szCs w:val="15"/>
                <w:color w:val="auto"/>
              </w:rPr>
              <w:t>WITH FUTURE STEP-UPS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7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20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ind w:left="660"/>
              <w:spacing w:after="0"/>
              <w:rPr>
                <w:sz w:val="20"/>
                <w:szCs w:val="20"/>
                <w:color w:val="auto"/>
              </w:rPr>
            </w:pPr>
            <w:r>
              <w:rPr>
                <w:rFonts w:ascii="Courier New" w:cs="Courier New" w:eastAsia="Courier New" w:hAnsi="Courier New"/>
                <w:sz w:val="14"/>
                <w:szCs w:val="14"/>
                <w:color w:val="auto"/>
                <w:w w:val="70"/>
              </w:rPr>
              <w:t>$</w:t>
            </w:r>
          </w:p>
        </w:tc>
        <w:tc>
          <w:tcPr>
            <w:tcW w:w="15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740"/>
              <w:spacing w:after="0"/>
              <w:rPr>
                <w:sz w:val="20"/>
                <w:szCs w:val="20"/>
                <w:color w:val="auto"/>
              </w:rPr>
            </w:pPr>
            <w:r>
              <w:rPr>
                <w:rFonts w:ascii="Courier New" w:cs="Courier New" w:eastAsia="Courier New" w:hAnsi="Courier New"/>
                <w:sz w:val="14"/>
                <w:szCs w:val="14"/>
                <w:color w:val="auto"/>
                <w:w w:val="70"/>
              </w:rPr>
              <w:t>$</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20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2002</w:t>
            </w:r>
          </w:p>
        </w:tc>
        <w:tc>
          <w:tcPr>
            <w:tcW w:w="20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2003</w:t>
            </w:r>
          </w:p>
        </w:tc>
        <w:tc>
          <w:tcPr>
            <w:tcW w:w="20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2004</w:t>
            </w:r>
          </w:p>
        </w:tc>
        <w:tc>
          <w:tcPr>
            <w:tcW w:w="20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2005</w:t>
            </w:r>
          </w:p>
        </w:tc>
        <w:tc>
          <w:tcPr>
            <w:tcW w:w="20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2006</w:t>
            </w:r>
          </w:p>
        </w:tc>
        <w:tc>
          <w:tcPr>
            <w:tcW w:w="20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2007</w:t>
            </w:r>
          </w:p>
        </w:tc>
        <w:tc>
          <w:tcPr>
            <w:tcW w:w="20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2008</w:t>
            </w:r>
          </w:p>
        </w:tc>
        <w:tc>
          <w:tcPr>
            <w:tcW w:w="20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2009</w:t>
            </w:r>
          </w:p>
        </w:tc>
        <w:tc>
          <w:tcPr>
            <w:tcW w:w="20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0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1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26</w:t>
            </w: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30" w:name="page31"/>
    <w:bookmarkEnd w:id="30"/>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IN-SERVICE NEW JERSEY PROPERTIES</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LEASE EXPIRATIONS</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GREATER NEW JERSEY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OFFICE</w:t>
            </w:r>
          </w:p>
        </w:tc>
        <w:tc>
          <w:tcPr>
            <w:tcW w:w="7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670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7"/>
              </w:rPr>
              <w:t>ANNUALIZED</w:t>
            </w:r>
          </w:p>
        </w:tc>
      </w:tr>
      <w:tr>
        <w:trPr>
          <w:trHeight w:val="168"/>
        </w:trPr>
        <w:tc>
          <w:tcPr>
            <w:tcW w:w="1360" w:type="dxa"/>
            <w:vAlign w:val="bottom"/>
          </w:tcPr>
          <w:p>
            <w:pPr>
              <w:spacing w:after="0"/>
              <w:rPr>
                <w:sz w:val="14"/>
                <w:szCs w:val="14"/>
                <w:color w:val="auto"/>
              </w:rPr>
            </w:pPr>
          </w:p>
        </w:tc>
        <w:tc>
          <w:tcPr>
            <w:tcW w:w="2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RENTABLE SQUARE</w:t>
            </w:r>
          </w:p>
        </w:tc>
        <w:tc>
          <w:tcPr>
            <w:tcW w:w="2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CURRENT ANNUALIZED</w:t>
            </w:r>
          </w:p>
        </w:tc>
        <w:tc>
          <w:tcPr>
            <w:tcW w:w="700" w:type="dxa"/>
            <w:vAlign w:val="bottom"/>
          </w:tcPr>
          <w:p>
            <w:pPr>
              <w:spacing w:after="0"/>
              <w:rPr>
                <w:sz w:val="14"/>
                <w:szCs w:val="14"/>
                <w:color w:val="auto"/>
              </w:rPr>
            </w:pPr>
          </w:p>
        </w:tc>
        <w:tc>
          <w:tcPr>
            <w:tcW w:w="16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REVENUES UNDER</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22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REVENUES UNDER</w:t>
            </w:r>
          </w:p>
        </w:tc>
        <w:tc>
          <w:tcPr>
            <w:tcW w:w="2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EXPIRING LEASES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EXPIRATION</w:t>
            </w:r>
          </w:p>
        </w:tc>
        <w:tc>
          <w:tcPr>
            <w:tcW w:w="2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EXPIRING LEASES</w:t>
            </w:r>
          </w:p>
        </w:tc>
        <w:tc>
          <w:tcPr>
            <w:tcW w:w="22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EXPIRING LEASES</w:t>
            </w:r>
          </w:p>
        </w:tc>
        <w:tc>
          <w:tcPr>
            <w:tcW w:w="236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WITH FUTURE STEP-UPS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w w:val="98"/>
              </w:rPr>
              <w:t>257,849</w:t>
            </w:r>
          </w:p>
        </w:tc>
        <w:tc>
          <w:tcPr>
            <w:tcW w:w="22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$ 6,744,790</w:t>
            </w:r>
          </w:p>
        </w:tc>
        <w:tc>
          <w:tcPr>
            <w:tcW w:w="700" w:type="dxa"/>
            <w:vAlign w:val="bottom"/>
          </w:tcPr>
          <w:p>
            <w:pPr>
              <w:spacing w:after="0"/>
              <w:rPr>
                <w:sz w:val="24"/>
                <w:szCs w:val="24"/>
                <w:color w:val="auto"/>
              </w:rPr>
            </w:pPr>
          </w:p>
        </w:tc>
        <w:tc>
          <w:tcPr>
            <w:tcW w:w="166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6"/>
              </w:rPr>
              <w:t>$ 6,744,790</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422,977</w:t>
            </w:r>
          </w:p>
        </w:tc>
        <w:tc>
          <w:tcPr>
            <w:tcW w:w="620" w:type="dxa"/>
            <w:vAlign w:val="bottom"/>
          </w:tcPr>
          <w:p>
            <w:pPr>
              <w:spacing w:after="0"/>
              <w:rPr>
                <w:sz w:val="14"/>
                <w:szCs w:val="14"/>
                <w:color w:val="auto"/>
              </w:rPr>
            </w:pP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5"/>
              </w:rPr>
              <w:t>12,014,688</w:t>
            </w:r>
          </w:p>
        </w:tc>
        <w:tc>
          <w:tcPr>
            <w:tcW w:w="700" w:type="dxa"/>
            <w:vAlign w:val="bottom"/>
          </w:tcPr>
          <w:p>
            <w:pPr>
              <w:spacing w:after="0"/>
              <w:rPr>
                <w:sz w:val="14"/>
                <w:szCs w:val="14"/>
                <w:color w:val="auto"/>
              </w:rPr>
            </w:pP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12,016,045</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2002</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30,959</w:t>
            </w:r>
          </w:p>
        </w:tc>
        <w:tc>
          <w:tcPr>
            <w:tcW w:w="620" w:type="dxa"/>
            <w:vAlign w:val="bottom"/>
          </w:tcPr>
          <w:p>
            <w:pPr>
              <w:spacing w:after="0"/>
              <w:rPr>
                <w:sz w:val="14"/>
                <w:szCs w:val="14"/>
                <w:color w:val="auto"/>
              </w:rPr>
            </w:pPr>
          </w:p>
        </w:tc>
        <w:tc>
          <w:tcPr>
            <w:tcW w:w="15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861,177</w:t>
            </w:r>
          </w:p>
        </w:tc>
        <w:tc>
          <w:tcPr>
            <w:tcW w:w="700" w:type="dxa"/>
            <w:vAlign w:val="bottom"/>
          </w:tcPr>
          <w:p>
            <w:pPr>
              <w:spacing w:after="0"/>
              <w:rPr>
                <w:sz w:val="14"/>
                <w:szCs w:val="14"/>
                <w:color w:val="auto"/>
              </w:rPr>
            </w:pP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847,347</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2003</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127,634</w:t>
            </w:r>
          </w:p>
        </w:tc>
        <w:tc>
          <w:tcPr>
            <w:tcW w:w="620" w:type="dxa"/>
            <w:vAlign w:val="bottom"/>
          </w:tcPr>
          <w:p>
            <w:pPr>
              <w:spacing w:after="0"/>
              <w:rPr>
                <w:sz w:val="14"/>
                <w:szCs w:val="14"/>
                <w:color w:val="auto"/>
              </w:rPr>
            </w:pP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3,241,417</w:t>
            </w:r>
          </w:p>
        </w:tc>
        <w:tc>
          <w:tcPr>
            <w:tcW w:w="700" w:type="dxa"/>
            <w:vAlign w:val="bottom"/>
          </w:tcPr>
          <w:p>
            <w:pPr>
              <w:spacing w:after="0"/>
              <w:rPr>
                <w:sz w:val="14"/>
                <w:szCs w:val="14"/>
                <w:color w:val="auto"/>
              </w:rPr>
            </w:pP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3,296,203</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2004</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404,428</w:t>
            </w:r>
          </w:p>
        </w:tc>
        <w:tc>
          <w:tcPr>
            <w:tcW w:w="620" w:type="dxa"/>
            <w:vAlign w:val="bottom"/>
          </w:tcPr>
          <w:p>
            <w:pPr>
              <w:spacing w:after="0"/>
              <w:rPr>
                <w:sz w:val="14"/>
                <w:szCs w:val="14"/>
                <w:color w:val="auto"/>
              </w:rPr>
            </w:pP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5"/>
              </w:rPr>
              <w:t>10,384,131</w:t>
            </w:r>
          </w:p>
        </w:tc>
        <w:tc>
          <w:tcPr>
            <w:tcW w:w="700" w:type="dxa"/>
            <w:vAlign w:val="bottom"/>
          </w:tcPr>
          <w:p>
            <w:pPr>
              <w:spacing w:after="0"/>
              <w:rPr>
                <w:sz w:val="14"/>
                <w:szCs w:val="14"/>
                <w:color w:val="auto"/>
              </w:rPr>
            </w:pP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10,395,684</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2005</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123,850</w:t>
            </w:r>
          </w:p>
        </w:tc>
        <w:tc>
          <w:tcPr>
            <w:tcW w:w="620" w:type="dxa"/>
            <w:vAlign w:val="bottom"/>
          </w:tcPr>
          <w:p>
            <w:pPr>
              <w:spacing w:after="0"/>
              <w:rPr>
                <w:sz w:val="14"/>
                <w:szCs w:val="14"/>
                <w:color w:val="auto"/>
              </w:rPr>
            </w:pP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2,708,123</w:t>
            </w:r>
          </w:p>
        </w:tc>
        <w:tc>
          <w:tcPr>
            <w:tcW w:w="700" w:type="dxa"/>
            <w:vAlign w:val="bottom"/>
          </w:tcPr>
          <w:p>
            <w:pPr>
              <w:spacing w:after="0"/>
              <w:rPr>
                <w:sz w:val="14"/>
                <w:szCs w:val="14"/>
                <w:color w:val="auto"/>
              </w:rPr>
            </w:pP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3,087,129</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2006</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40,381</w:t>
            </w:r>
          </w:p>
        </w:tc>
        <w:tc>
          <w:tcPr>
            <w:tcW w:w="620" w:type="dxa"/>
            <w:vAlign w:val="bottom"/>
          </w:tcPr>
          <w:p>
            <w:pPr>
              <w:spacing w:after="0"/>
              <w:rPr>
                <w:sz w:val="14"/>
                <w:szCs w:val="14"/>
                <w:color w:val="auto"/>
              </w:rPr>
            </w:pP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1,101,122</w:t>
            </w:r>
          </w:p>
        </w:tc>
        <w:tc>
          <w:tcPr>
            <w:tcW w:w="700" w:type="dxa"/>
            <w:vAlign w:val="bottom"/>
          </w:tcPr>
          <w:p>
            <w:pPr>
              <w:spacing w:after="0"/>
              <w:rPr>
                <w:sz w:val="14"/>
                <w:szCs w:val="14"/>
                <w:color w:val="auto"/>
              </w:rPr>
            </w:pP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1,184,124</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2007</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12,171</w:t>
            </w:r>
          </w:p>
        </w:tc>
        <w:tc>
          <w:tcPr>
            <w:tcW w:w="620" w:type="dxa"/>
            <w:vAlign w:val="bottom"/>
          </w:tcPr>
          <w:p>
            <w:pPr>
              <w:spacing w:after="0"/>
              <w:rPr>
                <w:sz w:val="14"/>
                <w:szCs w:val="14"/>
                <w:color w:val="auto"/>
              </w:rPr>
            </w:pPr>
          </w:p>
        </w:tc>
        <w:tc>
          <w:tcPr>
            <w:tcW w:w="15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365,130</w:t>
            </w:r>
          </w:p>
        </w:tc>
        <w:tc>
          <w:tcPr>
            <w:tcW w:w="700" w:type="dxa"/>
            <w:vAlign w:val="bottom"/>
          </w:tcPr>
          <w:p>
            <w:pPr>
              <w:spacing w:after="0"/>
              <w:rPr>
                <w:sz w:val="14"/>
                <w:szCs w:val="14"/>
                <w:color w:val="auto"/>
              </w:rPr>
            </w:pP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377,301</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2008</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15,243</w:t>
            </w:r>
          </w:p>
        </w:tc>
        <w:tc>
          <w:tcPr>
            <w:tcW w:w="620" w:type="dxa"/>
            <w:vAlign w:val="bottom"/>
          </w:tcPr>
          <w:p>
            <w:pPr>
              <w:spacing w:after="0"/>
              <w:rPr>
                <w:sz w:val="14"/>
                <w:szCs w:val="14"/>
                <w:color w:val="auto"/>
              </w:rPr>
            </w:pPr>
          </w:p>
        </w:tc>
        <w:tc>
          <w:tcPr>
            <w:tcW w:w="15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407,780</w:t>
            </w:r>
          </w:p>
        </w:tc>
        <w:tc>
          <w:tcPr>
            <w:tcW w:w="700" w:type="dxa"/>
            <w:vAlign w:val="bottom"/>
          </w:tcPr>
          <w:p>
            <w:pPr>
              <w:spacing w:after="0"/>
              <w:rPr>
                <w:sz w:val="14"/>
                <w:szCs w:val="14"/>
                <w:color w:val="auto"/>
              </w:rPr>
            </w:pP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445,887</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2009</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14,515</w:t>
            </w:r>
          </w:p>
        </w:tc>
        <w:tc>
          <w:tcPr>
            <w:tcW w:w="620" w:type="dxa"/>
            <w:vAlign w:val="bottom"/>
          </w:tcPr>
          <w:p>
            <w:pPr>
              <w:spacing w:after="0"/>
              <w:rPr>
                <w:sz w:val="14"/>
                <w:szCs w:val="14"/>
                <w:color w:val="auto"/>
              </w:rPr>
            </w:pPr>
          </w:p>
        </w:tc>
        <w:tc>
          <w:tcPr>
            <w:tcW w:w="15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371,040</w:t>
            </w:r>
          </w:p>
        </w:tc>
        <w:tc>
          <w:tcPr>
            <w:tcW w:w="700" w:type="dxa"/>
            <w:vAlign w:val="bottom"/>
          </w:tcPr>
          <w:p>
            <w:pPr>
              <w:spacing w:after="0"/>
              <w:rPr>
                <w:sz w:val="14"/>
                <w:szCs w:val="14"/>
                <w:color w:val="auto"/>
              </w:rPr>
            </w:pP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426,065</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824,909</w:t>
            </w:r>
          </w:p>
        </w:tc>
        <w:tc>
          <w:tcPr>
            <w:tcW w:w="620" w:type="dxa"/>
            <w:vAlign w:val="bottom"/>
          </w:tcPr>
          <w:p>
            <w:pPr>
              <w:spacing w:after="0"/>
              <w:rPr>
                <w:sz w:val="14"/>
                <w:szCs w:val="14"/>
                <w:color w:val="auto"/>
              </w:rPr>
            </w:pP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5"/>
              </w:rPr>
              <w:t>18,454,462</w:t>
            </w:r>
          </w:p>
        </w:tc>
        <w:tc>
          <w:tcPr>
            <w:tcW w:w="700" w:type="dxa"/>
            <w:vAlign w:val="bottom"/>
          </w:tcPr>
          <w:p>
            <w:pPr>
              <w:spacing w:after="0"/>
              <w:rPr>
                <w:sz w:val="14"/>
                <w:szCs w:val="14"/>
                <w:color w:val="auto"/>
              </w:rPr>
            </w:pP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21,186,237</w:t>
            </w:r>
          </w:p>
        </w:tc>
      </w:tr>
      <w:tr>
        <w:trPr>
          <w:trHeight w:val="505"/>
        </w:trPr>
        <w:tc>
          <w:tcPr>
            <w:tcW w:w="1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R&amp;D</w:t>
            </w: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1360" w:type="dxa"/>
            <w:vAlign w:val="bottom"/>
          </w:tcPr>
          <w:p>
            <w:pPr>
              <w:spacing w:after="0"/>
              <w:rPr>
                <w:sz w:val="14"/>
                <w:szCs w:val="14"/>
                <w:color w:val="auto"/>
              </w:rPr>
            </w:pPr>
          </w:p>
        </w:tc>
        <w:tc>
          <w:tcPr>
            <w:tcW w:w="670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rPr>
              <w:t>ANNUALIZED</w:t>
            </w:r>
          </w:p>
        </w:tc>
      </w:tr>
      <w:tr>
        <w:trPr>
          <w:trHeight w:val="168"/>
        </w:trPr>
        <w:tc>
          <w:tcPr>
            <w:tcW w:w="1360" w:type="dxa"/>
            <w:vAlign w:val="bottom"/>
          </w:tcPr>
          <w:p>
            <w:pPr>
              <w:spacing w:after="0"/>
              <w:rPr>
                <w:sz w:val="14"/>
                <w:szCs w:val="14"/>
                <w:color w:val="auto"/>
              </w:rPr>
            </w:pPr>
          </w:p>
        </w:tc>
        <w:tc>
          <w:tcPr>
            <w:tcW w:w="2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RENTABLE SQUARE</w:t>
            </w:r>
          </w:p>
        </w:tc>
        <w:tc>
          <w:tcPr>
            <w:tcW w:w="22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CURRENT ANNUALIZED</w:t>
            </w:r>
          </w:p>
        </w:tc>
        <w:tc>
          <w:tcPr>
            <w:tcW w:w="23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REVENUES UNDER</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2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REVENUES UNDER</w:t>
            </w:r>
          </w:p>
        </w:tc>
        <w:tc>
          <w:tcPr>
            <w:tcW w:w="23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EXPIRING LEASES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EXPIRATION</w:t>
            </w:r>
          </w:p>
        </w:tc>
        <w:tc>
          <w:tcPr>
            <w:tcW w:w="2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EXPIRING LEASES</w:t>
            </w:r>
          </w:p>
        </w:tc>
        <w:tc>
          <w:tcPr>
            <w:tcW w:w="2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EXPIRING LEASES</w:t>
            </w:r>
          </w:p>
        </w:tc>
        <w:tc>
          <w:tcPr>
            <w:tcW w:w="2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WITH FUTURE STEP-UPS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ind w:left="540"/>
              <w:spacing w:after="0"/>
              <w:rPr>
                <w:sz w:val="20"/>
                <w:szCs w:val="20"/>
                <w:color w:val="auto"/>
              </w:rPr>
            </w:pPr>
            <w:r>
              <w:rPr>
                <w:rFonts w:ascii="Courier New" w:cs="Courier New" w:eastAsia="Courier New" w:hAnsi="Courier New"/>
                <w:sz w:val="14"/>
                <w:szCs w:val="14"/>
                <w:color w:val="auto"/>
                <w:w w:val="70"/>
              </w:rPr>
              <w:t>$</w:t>
            </w:r>
          </w:p>
        </w:tc>
        <w:tc>
          <w:tcPr>
            <w:tcW w:w="1580" w:type="dxa"/>
            <w:vAlign w:val="bottom"/>
          </w:tcPr>
          <w:p>
            <w:pPr>
              <w:jc w:val="center"/>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600"/>
              <w:spacing w:after="0"/>
              <w:rPr>
                <w:sz w:val="20"/>
                <w:szCs w:val="20"/>
                <w:color w:val="auto"/>
              </w:rPr>
            </w:pPr>
            <w:r>
              <w:rPr>
                <w:rFonts w:ascii="Courier New" w:cs="Courier New" w:eastAsia="Courier New" w:hAnsi="Courier New"/>
                <w:sz w:val="15"/>
                <w:szCs w:val="15"/>
                <w:color w:val="auto"/>
                <w:w w:val="88"/>
              </w:rPr>
              <w:t>$</w:t>
            </w:r>
          </w:p>
        </w:tc>
        <w:tc>
          <w:tcPr>
            <w:tcW w:w="166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88"/>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15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66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2002</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15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66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2003</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15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66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2004</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15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66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2005</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15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66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2006</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15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66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2007</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15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66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2008</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15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66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2009</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15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66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15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66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88"/>
              </w:rPr>
              <w:t>-</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INDUSTRIAL</w:t>
            </w: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6260" w:type="dxa"/>
            <w:vAlign w:val="bottom"/>
            <w:gridSpan w:val="5"/>
          </w:tcPr>
          <w:p>
            <w:pPr>
              <w:jc w:val="right"/>
              <w:ind w:right="112"/>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5"/>
              </w:rPr>
              <w:t>ANNUALIZED</w:t>
            </w:r>
          </w:p>
        </w:tc>
        <w:tc>
          <w:tcPr>
            <w:tcW w:w="70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RENTABLE SQUARE</w:t>
            </w:r>
          </w:p>
        </w:tc>
        <w:tc>
          <w:tcPr>
            <w:tcW w:w="2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CURRENT ANNUALIZED</w:t>
            </w:r>
          </w:p>
        </w:tc>
        <w:tc>
          <w:tcPr>
            <w:tcW w:w="20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REVENUES UNDER</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21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REVENUES UNDER</w:t>
            </w:r>
          </w:p>
        </w:tc>
        <w:tc>
          <w:tcPr>
            <w:tcW w:w="20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EXPIRING LEASES</w:t>
            </w:r>
          </w:p>
        </w:tc>
      </w:tr>
      <w:tr>
        <w:trPr>
          <w:trHeight w:val="168"/>
        </w:trPr>
        <w:tc>
          <w:tcPr>
            <w:tcW w:w="136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7"/>
              </w:rPr>
              <w:t>EXPIRATION</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EXPIRING LEASES</w:t>
            </w:r>
          </w:p>
        </w:tc>
        <w:tc>
          <w:tcPr>
            <w:tcW w:w="21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EXPIRING LEASES</w:t>
            </w:r>
          </w:p>
        </w:tc>
        <w:tc>
          <w:tcPr>
            <w:tcW w:w="2060" w:type="dxa"/>
            <w:vAlign w:val="bottom"/>
            <w:gridSpan w:val="2"/>
          </w:tcPr>
          <w:p>
            <w:pPr>
              <w:jc w:val="right"/>
              <w:ind w:right="112"/>
              <w:spacing w:after="0" w:line="168" w:lineRule="exact"/>
              <w:rPr>
                <w:sz w:val="20"/>
                <w:szCs w:val="20"/>
                <w:color w:val="auto"/>
              </w:rPr>
            </w:pPr>
            <w:r>
              <w:rPr>
                <w:rFonts w:ascii="Courier New" w:cs="Courier New" w:eastAsia="Courier New" w:hAnsi="Courier New"/>
                <w:sz w:val="15"/>
                <w:szCs w:val="15"/>
                <w:color w:val="auto"/>
              </w:rPr>
              <w:t>WITH FUTURE STEP-UPS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360" w:type="dxa"/>
            <w:vAlign w:val="bottom"/>
          </w:tcPr>
          <w:p>
            <w:pPr>
              <w:jc w:val="center"/>
              <w:ind w:right="387"/>
              <w:spacing w:after="0"/>
              <w:rPr>
                <w:sz w:val="20"/>
                <w:szCs w:val="20"/>
                <w:color w:val="auto"/>
              </w:rPr>
            </w:pPr>
            <w:r>
              <w:rPr>
                <w:rFonts w:ascii="Courier New" w:cs="Courier New" w:eastAsia="Courier New" w:hAnsi="Courier New"/>
                <w:sz w:val="15"/>
                <w:szCs w:val="15"/>
                <w:color w:val="auto"/>
                <w:w w:val="94"/>
              </w:rPr>
              <w:t>2000</w:t>
            </w:r>
          </w:p>
        </w:tc>
        <w:tc>
          <w:tcPr>
            <w:tcW w:w="2020" w:type="dxa"/>
            <w:vAlign w:val="bottom"/>
          </w:tcPr>
          <w:p>
            <w:pPr>
              <w:jc w:val="center"/>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52"/>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36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4"/>
              </w:rPr>
              <w:t>2001</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700" w:type="dxa"/>
            <w:vAlign w:val="bottom"/>
          </w:tcPr>
          <w:p>
            <w:pPr>
              <w:jc w:val="right"/>
              <w:ind w:right="552"/>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36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4"/>
              </w:rPr>
              <w:t>2002</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700" w:type="dxa"/>
            <w:vAlign w:val="bottom"/>
          </w:tcPr>
          <w:p>
            <w:pPr>
              <w:jc w:val="right"/>
              <w:ind w:right="552"/>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36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4"/>
              </w:rPr>
              <w:t>2003</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700" w:type="dxa"/>
            <w:vAlign w:val="bottom"/>
          </w:tcPr>
          <w:p>
            <w:pPr>
              <w:jc w:val="right"/>
              <w:ind w:right="552"/>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36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4"/>
              </w:rPr>
              <w:t>2004</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700" w:type="dxa"/>
            <w:vAlign w:val="bottom"/>
          </w:tcPr>
          <w:p>
            <w:pPr>
              <w:jc w:val="right"/>
              <w:ind w:right="552"/>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36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4"/>
              </w:rPr>
              <w:t>2005</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700" w:type="dxa"/>
            <w:vAlign w:val="bottom"/>
          </w:tcPr>
          <w:p>
            <w:pPr>
              <w:jc w:val="right"/>
              <w:ind w:right="552"/>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36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4"/>
              </w:rPr>
              <w:t>2006</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700" w:type="dxa"/>
            <w:vAlign w:val="bottom"/>
          </w:tcPr>
          <w:p>
            <w:pPr>
              <w:jc w:val="right"/>
              <w:ind w:right="552"/>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36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4"/>
              </w:rPr>
              <w:t>2007</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700" w:type="dxa"/>
            <w:vAlign w:val="bottom"/>
          </w:tcPr>
          <w:p>
            <w:pPr>
              <w:jc w:val="right"/>
              <w:ind w:right="552"/>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36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4"/>
              </w:rPr>
              <w:t>2008</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700" w:type="dxa"/>
            <w:vAlign w:val="bottom"/>
          </w:tcPr>
          <w:p>
            <w:pPr>
              <w:jc w:val="right"/>
              <w:ind w:right="552"/>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36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4"/>
              </w:rPr>
              <w:t>2009</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700" w:type="dxa"/>
            <w:vAlign w:val="bottom"/>
          </w:tcPr>
          <w:p>
            <w:pPr>
              <w:jc w:val="right"/>
              <w:ind w:right="552"/>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36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7"/>
              </w:rPr>
              <w:t>Thereafter</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700" w:type="dxa"/>
            <w:vAlign w:val="bottom"/>
          </w:tcPr>
          <w:p>
            <w:pPr>
              <w:jc w:val="right"/>
              <w:ind w:right="552"/>
              <w:spacing w:after="0"/>
              <w:rPr>
                <w:sz w:val="20"/>
                <w:szCs w:val="20"/>
                <w:color w:val="auto"/>
              </w:rPr>
            </w:pPr>
            <w:r>
              <w:rPr>
                <w:rFonts w:ascii="Courier New" w:cs="Courier New" w:eastAsia="Courier New" w:hAnsi="Courier New"/>
                <w:sz w:val="14"/>
                <w:szCs w:val="14"/>
                <w:color w:val="auto"/>
                <w:w w:val="70"/>
              </w:rPr>
              <w:t>-</w:t>
            </w:r>
          </w:p>
        </w:tc>
      </w:tr>
      <w:tr>
        <w:trPr>
          <w:trHeight w:val="673"/>
        </w:trPr>
        <w:tc>
          <w:tcPr>
            <w:tcW w:w="1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27</w:t>
            </w: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31" w:name="page32"/>
    <w:bookmarkEnd w:id="31"/>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IN-SERVICE OTHER PROPERTIES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LEASE EXPIRATIONS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OTHER PROPERTIES (RICHMOND VA, BALTIMORE MD, BUCKS COUNTY, PA)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OFFICE</w:t>
            </w: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6860" w:type="dxa"/>
            <w:vAlign w:val="bottom"/>
            <w:gridSpan w:val="5"/>
          </w:tcPr>
          <w:p>
            <w:pPr>
              <w:ind w:left="120"/>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8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rPr>
              <w:t>ANNUALIZED</w:t>
            </w:r>
          </w:p>
        </w:tc>
      </w:tr>
      <w:tr>
        <w:trPr>
          <w:trHeight w:val="168"/>
        </w:trPr>
        <w:tc>
          <w:tcPr>
            <w:tcW w:w="1460" w:type="dxa"/>
            <w:vAlign w:val="bottom"/>
          </w:tcPr>
          <w:p>
            <w:pPr>
              <w:spacing w:after="0"/>
              <w:rPr>
                <w:sz w:val="14"/>
                <w:szCs w:val="14"/>
                <w:color w:val="auto"/>
              </w:rPr>
            </w:pPr>
          </w:p>
        </w:tc>
        <w:tc>
          <w:tcPr>
            <w:tcW w:w="2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RENTABLE SQUARE</w:t>
            </w:r>
          </w:p>
        </w:tc>
        <w:tc>
          <w:tcPr>
            <w:tcW w:w="2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CURRENT ANNUALIZED</w:t>
            </w:r>
          </w:p>
        </w:tc>
        <w:tc>
          <w:tcPr>
            <w:tcW w:w="2580" w:type="dxa"/>
            <w:vAlign w:val="bottom"/>
            <w:gridSpan w:val="2"/>
          </w:tcPr>
          <w:p>
            <w:pPr>
              <w:ind w:left="820"/>
              <w:spacing w:after="0" w:line="168" w:lineRule="exact"/>
              <w:rPr>
                <w:sz w:val="20"/>
                <w:szCs w:val="20"/>
                <w:color w:val="auto"/>
              </w:rPr>
            </w:pPr>
            <w:r>
              <w:rPr>
                <w:rFonts w:ascii="Courier New" w:cs="Courier New" w:eastAsia="Courier New" w:hAnsi="Courier New"/>
                <w:sz w:val="15"/>
                <w:szCs w:val="15"/>
                <w:color w:val="auto"/>
              </w:rPr>
              <w:t>REVENUES UNDER</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2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700" w:type="dxa"/>
            <w:vAlign w:val="bottom"/>
          </w:tcPr>
          <w:p>
            <w:pPr>
              <w:spacing w:after="0"/>
              <w:rPr>
                <w:sz w:val="14"/>
                <w:szCs w:val="14"/>
                <w:color w:val="auto"/>
              </w:rPr>
            </w:pPr>
          </w:p>
        </w:tc>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 UNDER</w:t>
            </w:r>
          </w:p>
        </w:tc>
        <w:tc>
          <w:tcPr>
            <w:tcW w:w="2580" w:type="dxa"/>
            <w:vAlign w:val="bottom"/>
            <w:gridSpan w:val="2"/>
          </w:tcPr>
          <w:p>
            <w:pPr>
              <w:ind w:left="820"/>
              <w:spacing w:after="0" w:line="168" w:lineRule="exact"/>
              <w:rPr>
                <w:sz w:val="20"/>
                <w:szCs w:val="20"/>
                <w:color w:val="auto"/>
              </w:rPr>
            </w:pPr>
            <w:r>
              <w:rPr>
                <w:rFonts w:ascii="Courier New" w:cs="Courier New" w:eastAsia="Courier New" w:hAnsi="Courier New"/>
                <w:sz w:val="15"/>
                <w:szCs w:val="15"/>
                <w:color w:val="auto"/>
              </w:rPr>
              <w:t>EXPIRING LEASES</w:t>
            </w:r>
          </w:p>
        </w:tc>
      </w:tr>
      <w:tr>
        <w:trPr>
          <w:trHeight w:val="168"/>
        </w:trPr>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EXPIRATION</w:t>
            </w:r>
          </w:p>
        </w:tc>
        <w:tc>
          <w:tcPr>
            <w:tcW w:w="20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EXPIRING LEASES</w:t>
            </w:r>
          </w:p>
        </w:tc>
        <w:tc>
          <w:tcPr>
            <w:tcW w:w="700" w:type="dxa"/>
            <w:vAlign w:val="bottom"/>
          </w:tcPr>
          <w:p>
            <w:pPr>
              <w:spacing w:after="0"/>
              <w:rPr>
                <w:sz w:val="14"/>
                <w:szCs w:val="14"/>
                <w:color w:val="auto"/>
              </w:rPr>
            </w:pPr>
          </w:p>
        </w:tc>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EXPIRING LEASES</w:t>
            </w:r>
          </w:p>
        </w:tc>
        <w:tc>
          <w:tcPr>
            <w:tcW w:w="2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WITH FUTURE STEP-UPS</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ind w:left="8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4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2000</w:t>
            </w:r>
          </w:p>
        </w:tc>
        <w:tc>
          <w:tcPr>
            <w:tcW w:w="2040" w:type="dxa"/>
            <w:vAlign w:val="bottom"/>
          </w:tcPr>
          <w:p>
            <w:pPr>
              <w:ind w:left="740"/>
              <w:spacing w:after="0"/>
              <w:rPr>
                <w:sz w:val="20"/>
                <w:szCs w:val="20"/>
                <w:color w:val="auto"/>
              </w:rPr>
            </w:pPr>
            <w:r>
              <w:rPr>
                <w:rFonts w:ascii="Courier New" w:cs="Courier New" w:eastAsia="Courier New" w:hAnsi="Courier New"/>
                <w:sz w:val="15"/>
                <w:szCs w:val="15"/>
                <w:color w:val="auto"/>
              </w:rPr>
              <w:t>33,045</w:t>
            </w:r>
          </w:p>
        </w:tc>
        <w:tc>
          <w:tcPr>
            <w:tcW w:w="700" w:type="dxa"/>
            <w:vAlign w:val="bottom"/>
          </w:tcPr>
          <w:p>
            <w:pPr>
              <w:spacing w:after="0"/>
              <w:rPr>
                <w:sz w:val="24"/>
                <w:szCs w:val="24"/>
                <w:color w:val="auto"/>
              </w:rPr>
            </w:pP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$ 766,735</w:t>
            </w:r>
          </w:p>
        </w:tc>
        <w:tc>
          <w:tcPr>
            <w:tcW w:w="1100" w:type="dxa"/>
            <w:vAlign w:val="bottom"/>
          </w:tcPr>
          <w:p>
            <w:pPr>
              <w:ind w:left="1000"/>
              <w:spacing w:after="0"/>
              <w:rPr>
                <w:sz w:val="20"/>
                <w:szCs w:val="20"/>
                <w:color w:val="auto"/>
              </w:rPr>
            </w:pPr>
            <w:r>
              <w:rPr>
                <w:rFonts w:ascii="Courier New" w:cs="Courier New" w:eastAsia="Courier New" w:hAnsi="Courier New"/>
                <w:sz w:val="15"/>
                <w:szCs w:val="15"/>
                <w:color w:val="auto"/>
                <w:w w:val="88"/>
              </w:rPr>
              <w:t>$</w:t>
            </w:r>
          </w:p>
        </w:tc>
        <w:tc>
          <w:tcPr>
            <w:tcW w:w="14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766,735</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2001</w:t>
            </w:r>
          </w:p>
        </w:tc>
        <w:tc>
          <w:tcPr>
            <w:tcW w:w="20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155,876</w:t>
            </w:r>
          </w:p>
        </w:tc>
        <w:tc>
          <w:tcPr>
            <w:tcW w:w="70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3,532,417</w:t>
            </w:r>
          </w:p>
        </w:tc>
        <w:tc>
          <w:tcPr>
            <w:tcW w:w="110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3,560,519</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2002</w:t>
            </w:r>
          </w:p>
        </w:tc>
        <w:tc>
          <w:tcPr>
            <w:tcW w:w="20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180,875</w:t>
            </w:r>
          </w:p>
        </w:tc>
        <w:tc>
          <w:tcPr>
            <w:tcW w:w="70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4,025,038</w:t>
            </w:r>
          </w:p>
        </w:tc>
        <w:tc>
          <w:tcPr>
            <w:tcW w:w="110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4,112,825</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2003</w:t>
            </w:r>
          </w:p>
        </w:tc>
        <w:tc>
          <w:tcPr>
            <w:tcW w:w="20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184,048</w:t>
            </w:r>
          </w:p>
        </w:tc>
        <w:tc>
          <w:tcPr>
            <w:tcW w:w="70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3,724,009</w:t>
            </w:r>
          </w:p>
        </w:tc>
        <w:tc>
          <w:tcPr>
            <w:tcW w:w="110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3,885,863</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2004</w:t>
            </w:r>
          </w:p>
        </w:tc>
        <w:tc>
          <w:tcPr>
            <w:tcW w:w="20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119,994</w:t>
            </w:r>
          </w:p>
        </w:tc>
        <w:tc>
          <w:tcPr>
            <w:tcW w:w="70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2,455,700</w:t>
            </w:r>
          </w:p>
        </w:tc>
        <w:tc>
          <w:tcPr>
            <w:tcW w:w="110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2,654,508</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2005</w:t>
            </w:r>
          </w:p>
        </w:tc>
        <w:tc>
          <w:tcPr>
            <w:tcW w:w="20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319,495</w:t>
            </w:r>
          </w:p>
        </w:tc>
        <w:tc>
          <w:tcPr>
            <w:tcW w:w="70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7,083,831</w:t>
            </w:r>
          </w:p>
        </w:tc>
        <w:tc>
          <w:tcPr>
            <w:tcW w:w="110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7,663,905</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2006</w:t>
            </w:r>
          </w:p>
        </w:tc>
        <w:tc>
          <w:tcPr>
            <w:tcW w:w="20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679,238</w:t>
            </w:r>
          </w:p>
        </w:tc>
        <w:tc>
          <w:tcPr>
            <w:tcW w:w="70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17,449,302</w:t>
            </w:r>
          </w:p>
        </w:tc>
        <w:tc>
          <w:tcPr>
            <w:tcW w:w="110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3"/>
              </w:rPr>
              <w:t>19,234,373</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2007</w:t>
            </w:r>
          </w:p>
        </w:tc>
        <w:tc>
          <w:tcPr>
            <w:tcW w:w="20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42,409</w:t>
            </w:r>
          </w:p>
        </w:tc>
        <w:tc>
          <w:tcPr>
            <w:tcW w:w="70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1,530,167</w:t>
            </w:r>
          </w:p>
        </w:tc>
        <w:tc>
          <w:tcPr>
            <w:tcW w:w="110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1,620,245</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2008</w:t>
            </w:r>
          </w:p>
        </w:tc>
        <w:tc>
          <w:tcPr>
            <w:tcW w:w="20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189,270</w:t>
            </w:r>
          </w:p>
        </w:tc>
        <w:tc>
          <w:tcPr>
            <w:tcW w:w="70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3,128,454</w:t>
            </w:r>
          </w:p>
        </w:tc>
        <w:tc>
          <w:tcPr>
            <w:tcW w:w="110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3,934,126</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2009</w:t>
            </w:r>
          </w:p>
        </w:tc>
        <w:tc>
          <w:tcPr>
            <w:tcW w:w="20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118,237</w:t>
            </w:r>
          </w:p>
        </w:tc>
        <w:tc>
          <w:tcPr>
            <w:tcW w:w="70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1,993,827</w:t>
            </w:r>
          </w:p>
        </w:tc>
        <w:tc>
          <w:tcPr>
            <w:tcW w:w="110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2,666,169</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0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13,557</w:t>
            </w:r>
          </w:p>
        </w:tc>
        <w:tc>
          <w:tcPr>
            <w:tcW w:w="70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141,729</w:t>
            </w:r>
          </w:p>
        </w:tc>
        <w:tc>
          <w:tcPr>
            <w:tcW w:w="110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141,729</w:t>
            </w:r>
          </w:p>
        </w:tc>
      </w:tr>
      <w:tr>
        <w:trPr>
          <w:trHeight w:val="505"/>
        </w:trPr>
        <w:tc>
          <w:tcPr>
            <w:tcW w:w="1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R&amp;D</w:t>
            </w: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1460" w:type="dxa"/>
            <w:vAlign w:val="bottom"/>
          </w:tcPr>
          <w:p>
            <w:pPr>
              <w:spacing w:after="0"/>
              <w:rPr>
                <w:sz w:val="14"/>
                <w:szCs w:val="14"/>
                <w:color w:val="auto"/>
              </w:rPr>
            </w:pPr>
          </w:p>
        </w:tc>
        <w:tc>
          <w:tcPr>
            <w:tcW w:w="6860" w:type="dxa"/>
            <w:vAlign w:val="bottom"/>
            <w:gridSpan w:val="5"/>
          </w:tcPr>
          <w:p>
            <w:pPr>
              <w:ind w:left="1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80" w:type="dxa"/>
            <w:vAlign w:val="bottom"/>
            <w:gridSpan w:val="2"/>
          </w:tcPr>
          <w:p>
            <w:pPr>
              <w:jc w:val="right"/>
              <w:ind w:right="1247"/>
              <w:spacing w:after="0" w:line="168" w:lineRule="exact"/>
              <w:rPr>
                <w:sz w:val="20"/>
                <w:szCs w:val="20"/>
                <w:color w:val="auto"/>
              </w:rPr>
            </w:pPr>
            <w:r>
              <w:rPr>
                <w:rFonts w:ascii="Courier New" w:cs="Courier New" w:eastAsia="Courier New" w:hAnsi="Courier New"/>
                <w:sz w:val="15"/>
                <w:szCs w:val="15"/>
                <w:color w:val="auto"/>
              </w:rPr>
              <w:t>ANNUALIZED</w:t>
            </w:r>
          </w:p>
        </w:tc>
      </w:tr>
      <w:tr>
        <w:trPr>
          <w:trHeight w:val="168"/>
        </w:trPr>
        <w:tc>
          <w:tcPr>
            <w:tcW w:w="1460" w:type="dxa"/>
            <w:vAlign w:val="bottom"/>
          </w:tcPr>
          <w:p>
            <w:pPr>
              <w:spacing w:after="0"/>
              <w:rPr>
                <w:sz w:val="14"/>
                <w:szCs w:val="14"/>
                <w:color w:val="auto"/>
              </w:rPr>
            </w:pPr>
          </w:p>
        </w:tc>
        <w:tc>
          <w:tcPr>
            <w:tcW w:w="2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RENTABLE SQUARE</w:t>
            </w:r>
          </w:p>
        </w:tc>
        <w:tc>
          <w:tcPr>
            <w:tcW w:w="22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CURRENT ANNUALIZED</w:t>
            </w:r>
          </w:p>
        </w:tc>
        <w:tc>
          <w:tcPr>
            <w:tcW w:w="25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REVENUES UNDER</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2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22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REVENUES UNDER</w:t>
            </w:r>
          </w:p>
        </w:tc>
        <w:tc>
          <w:tcPr>
            <w:tcW w:w="25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EXPIRING LEASES</w:t>
            </w:r>
          </w:p>
        </w:tc>
      </w:tr>
      <w:tr>
        <w:trPr>
          <w:trHeight w:val="168"/>
        </w:trPr>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EXPIRATION</w:t>
            </w:r>
          </w:p>
        </w:tc>
        <w:tc>
          <w:tcPr>
            <w:tcW w:w="2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EXPIRING LEASES</w:t>
            </w:r>
          </w:p>
        </w:tc>
        <w:tc>
          <w:tcPr>
            <w:tcW w:w="22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EXPIRING LEASES</w:t>
            </w:r>
          </w:p>
        </w:tc>
        <w:tc>
          <w:tcPr>
            <w:tcW w:w="25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w w:val="98"/>
              </w:rPr>
              <w:t>WITH FUTURE STEP-UPS</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2000</w:t>
            </w:r>
          </w:p>
        </w:tc>
        <w:tc>
          <w:tcPr>
            <w:tcW w:w="20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2001</w:t>
            </w:r>
          </w:p>
        </w:tc>
        <w:tc>
          <w:tcPr>
            <w:tcW w:w="20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spacing w:after="0"/>
              <w:rPr>
                <w:sz w:val="14"/>
                <w:szCs w:val="14"/>
                <w:color w:val="auto"/>
              </w:rPr>
            </w:pPr>
          </w:p>
        </w:tc>
        <w:tc>
          <w:tcPr>
            <w:tcW w:w="15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4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2002</w:t>
            </w:r>
          </w:p>
        </w:tc>
        <w:tc>
          <w:tcPr>
            <w:tcW w:w="20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spacing w:after="0"/>
              <w:rPr>
                <w:sz w:val="14"/>
                <w:szCs w:val="14"/>
                <w:color w:val="auto"/>
              </w:rPr>
            </w:pPr>
          </w:p>
        </w:tc>
        <w:tc>
          <w:tcPr>
            <w:tcW w:w="15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4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2003</w:t>
            </w:r>
          </w:p>
        </w:tc>
        <w:tc>
          <w:tcPr>
            <w:tcW w:w="20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spacing w:after="0"/>
              <w:rPr>
                <w:sz w:val="14"/>
                <w:szCs w:val="14"/>
                <w:color w:val="auto"/>
              </w:rPr>
            </w:pPr>
          </w:p>
        </w:tc>
        <w:tc>
          <w:tcPr>
            <w:tcW w:w="15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4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2004</w:t>
            </w:r>
          </w:p>
        </w:tc>
        <w:tc>
          <w:tcPr>
            <w:tcW w:w="20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spacing w:after="0"/>
              <w:rPr>
                <w:sz w:val="14"/>
                <w:szCs w:val="14"/>
                <w:color w:val="auto"/>
              </w:rPr>
            </w:pPr>
          </w:p>
        </w:tc>
        <w:tc>
          <w:tcPr>
            <w:tcW w:w="15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4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2005</w:t>
            </w:r>
          </w:p>
        </w:tc>
        <w:tc>
          <w:tcPr>
            <w:tcW w:w="20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spacing w:after="0"/>
              <w:rPr>
                <w:sz w:val="14"/>
                <w:szCs w:val="14"/>
                <w:color w:val="auto"/>
              </w:rPr>
            </w:pPr>
          </w:p>
        </w:tc>
        <w:tc>
          <w:tcPr>
            <w:tcW w:w="15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4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2006</w:t>
            </w:r>
          </w:p>
        </w:tc>
        <w:tc>
          <w:tcPr>
            <w:tcW w:w="20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spacing w:after="0"/>
              <w:rPr>
                <w:sz w:val="14"/>
                <w:szCs w:val="14"/>
                <w:color w:val="auto"/>
              </w:rPr>
            </w:pPr>
          </w:p>
        </w:tc>
        <w:tc>
          <w:tcPr>
            <w:tcW w:w="15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4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2007</w:t>
            </w:r>
          </w:p>
        </w:tc>
        <w:tc>
          <w:tcPr>
            <w:tcW w:w="20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spacing w:after="0"/>
              <w:rPr>
                <w:sz w:val="14"/>
                <w:szCs w:val="14"/>
                <w:color w:val="auto"/>
              </w:rPr>
            </w:pPr>
          </w:p>
        </w:tc>
        <w:tc>
          <w:tcPr>
            <w:tcW w:w="15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4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2008</w:t>
            </w:r>
          </w:p>
        </w:tc>
        <w:tc>
          <w:tcPr>
            <w:tcW w:w="20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spacing w:after="0"/>
              <w:rPr>
                <w:sz w:val="14"/>
                <w:szCs w:val="14"/>
                <w:color w:val="auto"/>
              </w:rPr>
            </w:pPr>
          </w:p>
        </w:tc>
        <w:tc>
          <w:tcPr>
            <w:tcW w:w="15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4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2009</w:t>
            </w:r>
          </w:p>
        </w:tc>
        <w:tc>
          <w:tcPr>
            <w:tcW w:w="20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spacing w:after="0"/>
              <w:rPr>
                <w:sz w:val="14"/>
                <w:szCs w:val="14"/>
                <w:color w:val="auto"/>
              </w:rPr>
            </w:pPr>
          </w:p>
        </w:tc>
        <w:tc>
          <w:tcPr>
            <w:tcW w:w="15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4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0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spacing w:after="0"/>
              <w:rPr>
                <w:sz w:val="14"/>
                <w:szCs w:val="14"/>
                <w:color w:val="auto"/>
              </w:rPr>
            </w:pPr>
          </w:p>
        </w:tc>
        <w:tc>
          <w:tcPr>
            <w:tcW w:w="15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4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1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INDUSTRIAL</w:t>
            </w:r>
          </w:p>
        </w:tc>
        <w:tc>
          <w:tcPr>
            <w:tcW w:w="210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616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ANNUALIZED</w:t>
            </w:r>
          </w:p>
        </w:tc>
      </w:tr>
      <w:tr>
        <w:trPr>
          <w:trHeight w:val="168"/>
        </w:trPr>
        <w:tc>
          <w:tcPr>
            <w:tcW w:w="1460" w:type="dxa"/>
            <w:vAlign w:val="bottom"/>
          </w:tcPr>
          <w:p>
            <w:pPr>
              <w:spacing w:after="0"/>
              <w:rPr>
                <w:sz w:val="14"/>
                <w:szCs w:val="14"/>
                <w:color w:val="auto"/>
              </w:rPr>
            </w:pP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RENTABLE SQUARE</w:t>
            </w: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CURRENT ANNUALIZED</w:t>
            </w:r>
          </w:p>
        </w:tc>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REVENUES UNDER</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OF LEASE</w:t>
            </w:r>
          </w:p>
        </w:tc>
        <w:tc>
          <w:tcPr>
            <w:tcW w:w="1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FOOTAGE SUBJECT TO</w:t>
            </w:r>
          </w:p>
        </w:tc>
        <w:tc>
          <w:tcPr>
            <w:tcW w:w="21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REVENUES UNDER</w:t>
            </w:r>
          </w:p>
        </w:tc>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EXPIRING LEASES</w:t>
            </w:r>
          </w:p>
        </w:tc>
      </w:tr>
      <w:tr>
        <w:trPr>
          <w:trHeight w:val="168"/>
        </w:trPr>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EXPIRATION</w:t>
            </w: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EXPIRING LEASES</w:t>
            </w:r>
          </w:p>
        </w:tc>
        <w:tc>
          <w:tcPr>
            <w:tcW w:w="21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EXPIRING LEASES</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WITH FUTURE STEP-UPS</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46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4"/>
              </w:rPr>
              <w:t>2000</w:t>
            </w:r>
          </w:p>
        </w:tc>
        <w:tc>
          <w:tcPr>
            <w:tcW w:w="19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161,000</w:t>
            </w:r>
          </w:p>
        </w:tc>
        <w:tc>
          <w:tcPr>
            <w:tcW w:w="21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$ 611,800</w:t>
            </w:r>
          </w:p>
        </w:tc>
        <w:tc>
          <w:tcPr>
            <w:tcW w:w="2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$ 611,800</w:t>
            </w:r>
          </w:p>
        </w:tc>
      </w:tr>
      <w:tr>
        <w:trPr>
          <w:trHeight w:val="168"/>
        </w:trPr>
        <w:tc>
          <w:tcPr>
            <w:tcW w:w="146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2001</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2002</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2003</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2004</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2005</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2006</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2007</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2008</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2009</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7"/>
              </w:rPr>
              <w:t>Thereafter</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40" w:type="dxa"/>
            <w:vAlign w:val="bottom"/>
          </w:tcPr>
          <w:p>
            <w:pPr>
              <w:jc w:val="right"/>
              <w:ind w:right="1847"/>
              <w:spacing w:after="0"/>
              <w:rPr>
                <w:sz w:val="20"/>
                <w:szCs w:val="20"/>
                <w:color w:val="auto"/>
              </w:rPr>
            </w:pPr>
            <w:r>
              <w:rPr>
                <w:rFonts w:ascii="Courier New" w:cs="Courier New" w:eastAsia="Courier New" w:hAnsi="Courier New"/>
                <w:sz w:val="15"/>
                <w:szCs w:val="15"/>
                <w:color w:val="auto"/>
              </w:rPr>
              <w:t>28</w:t>
            </w:r>
          </w:p>
        </w:tc>
        <w:tc>
          <w:tcPr>
            <w:tcW w:w="210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32" w:name="page33"/>
    <w:bookmarkEnd w:id="32"/>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HOTEL PERFORMANCE</w:t>
      </w:r>
    </w:p>
    <w:p>
      <w:pPr>
        <w:spacing w:after="0" w:line="166"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SAME PROPERTY HOTELS</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LONG WHARF MARRIOTT - BOSTON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2220" w:type="dxa"/>
            <w:vAlign w:val="bottom"/>
          </w:tcPr>
          <w:p>
            <w:pPr>
              <w:ind w:left="780"/>
              <w:spacing w:after="0"/>
              <w:rPr>
                <w:sz w:val="20"/>
                <w:szCs w:val="20"/>
                <w:color w:val="auto"/>
              </w:rPr>
            </w:pPr>
            <w:r>
              <w:rPr>
                <w:rFonts w:ascii="Courier New" w:cs="Courier New" w:eastAsia="Courier New" w:hAnsi="Courier New"/>
                <w:sz w:val="15"/>
                <w:szCs w:val="15"/>
                <w:color w:val="auto"/>
              </w:rPr>
              <w:t>FIRST QUARTER</w:t>
            </w:r>
          </w:p>
        </w:tc>
        <w:tc>
          <w:tcPr>
            <w:tcW w:w="1800" w:type="dxa"/>
            <w:vAlign w:val="bottom"/>
          </w:tcPr>
          <w:p>
            <w:pPr>
              <w:ind w:left="320"/>
              <w:spacing w:after="0"/>
              <w:rPr>
                <w:sz w:val="20"/>
                <w:szCs w:val="20"/>
                <w:color w:val="auto"/>
              </w:rPr>
            </w:pPr>
            <w:r>
              <w:rPr>
                <w:rFonts w:ascii="Courier New" w:cs="Courier New" w:eastAsia="Courier New" w:hAnsi="Courier New"/>
                <w:sz w:val="15"/>
                <w:szCs w:val="15"/>
                <w:color w:val="auto"/>
              </w:rPr>
              <w:t>FIRST QUARTER</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PERCENT</w:t>
            </w:r>
          </w:p>
        </w:tc>
        <w:tc>
          <w:tcPr>
            <w:tcW w:w="1540" w:type="dxa"/>
            <w:vAlign w:val="bottom"/>
          </w:tcPr>
          <w:p>
            <w:pPr>
              <w:ind w:left="780"/>
              <w:spacing w:after="0"/>
              <w:rPr>
                <w:sz w:val="20"/>
                <w:szCs w:val="20"/>
                <w:color w:val="auto"/>
              </w:rPr>
            </w:pPr>
            <w:r>
              <w:rPr>
                <w:rFonts w:ascii="Courier New" w:cs="Courier New" w:eastAsia="Courier New" w:hAnsi="Courier New"/>
                <w:sz w:val="15"/>
                <w:szCs w:val="15"/>
                <w:color w:val="auto"/>
              </w:rPr>
              <w:t>YTD</w:t>
            </w:r>
          </w:p>
        </w:tc>
        <w:tc>
          <w:tcPr>
            <w:tcW w:w="42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YTD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PERCENT</w:t>
            </w:r>
          </w:p>
        </w:tc>
      </w:tr>
      <w:tr>
        <w:trPr>
          <w:trHeight w:val="168"/>
        </w:trPr>
        <w:tc>
          <w:tcPr>
            <w:tcW w:w="1760" w:type="dxa"/>
            <w:vAlign w:val="bottom"/>
          </w:tcPr>
          <w:p>
            <w:pPr>
              <w:spacing w:after="0"/>
              <w:rPr>
                <w:sz w:val="14"/>
                <w:szCs w:val="14"/>
                <w:color w:val="auto"/>
              </w:rPr>
            </w:pPr>
          </w:p>
        </w:tc>
        <w:tc>
          <w:tcPr>
            <w:tcW w:w="22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2000</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CHANGE</w:t>
            </w:r>
          </w:p>
        </w:tc>
        <w:tc>
          <w:tcPr>
            <w:tcW w:w="1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2000</w:t>
            </w:r>
          </w:p>
        </w:tc>
        <w:tc>
          <w:tcPr>
            <w:tcW w:w="420" w:type="dxa"/>
            <w:vAlign w:val="bottom"/>
          </w:tcPr>
          <w:p>
            <w:pPr>
              <w:spacing w:after="0"/>
              <w:rPr>
                <w:sz w:val="14"/>
                <w:szCs w:val="14"/>
                <w:color w:val="auto"/>
              </w:rPr>
            </w:pPr>
          </w:p>
        </w:tc>
        <w:tc>
          <w:tcPr>
            <w:tcW w:w="88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1999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CHANGE</w:t>
            </w:r>
          </w:p>
        </w:tc>
      </w:tr>
      <w:tr>
        <w:trPr>
          <w:trHeight w:val="168"/>
        </w:trPr>
        <w:tc>
          <w:tcPr>
            <w:tcW w:w="1760" w:type="dxa"/>
            <w:vAlign w:val="bottom"/>
          </w:tcPr>
          <w:p>
            <w:pPr>
              <w:spacing w:after="0"/>
              <w:rPr>
                <w:sz w:val="14"/>
                <w:szCs w:val="14"/>
                <w:color w:val="auto"/>
              </w:rPr>
            </w:pPr>
          </w:p>
        </w:tc>
        <w:tc>
          <w:tcPr>
            <w:tcW w:w="22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88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Occupancy</w:t>
            </w:r>
          </w:p>
        </w:tc>
        <w:tc>
          <w:tcPr>
            <w:tcW w:w="2220" w:type="dxa"/>
            <w:vAlign w:val="bottom"/>
          </w:tcPr>
          <w:p>
            <w:pPr>
              <w:ind w:left="1220"/>
              <w:spacing w:after="0"/>
              <w:rPr>
                <w:sz w:val="20"/>
                <w:szCs w:val="20"/>
                <w:color w:val="auto"/>
              </w:rPr>
            </w:pPr>
            <w:r>
              <w:rPr>
                <w:rFonts w:ascii="Courier New" w:cs="Courier New" w:eastAsia="Courier New" w:hAnsi="Courier New"/>
                <w:sz w:val="15"/>
                <w:szCs w:val="15"/>
                <w:color w:val="auto"/>
              </w:rPr>
              <w:t>86.80%</w:t>
            </w:r>
          </w:p>
        </w:tc>
        <w:tc>
          <w:tcPr>
            <w:tcW w:w="1800" w:type="dxa"/>
            <w:vAlign w:val="bottom"/>
          </w:tcPr>
          <w:p>
            <w:pPr>
              <w:ind w:left="660"/>
              <w:spacing w:after="0"/>
              <w:rPr>
                <w:sz w:val="20"/>
                <w:szCs w:val="20"/>
                <w:color w:val="auto"/>
              </w:rPr>
            </w:pPr>
            <w:r>
              <w:rPr>
                <w:rFonts w:ascii="Courier New" w:cs="Courier New" w:eastAsia="Courier New" w:hAnsi="Courier New"/>
                <w:sz w:val="15"/>
                <w:szCs w:val="15"/>
                <w:color w:val="auto"/>
              </w:rPr>
              <w:t>85.60%</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1.4%</w:t>
            </w: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86.80%</w:t>
            </w:r>
          </w:p>
        </w:tc>
        <w:tc>
          <w:tcPr>
            <w:tcW w:w="42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85.60%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Average Daily Rate</w:t>
            </w:r>
          </w:p>
        </w:tc>
        <w:tc>
          <w:tcPr>
            <w:tcW w:w="2220" w:type="dxa"/>
            <w:vAlign w:val="bottom"/>
          </w:tcPr>
          <w:p>
            <w:pPr>
              <w:ind w:left="960"/>
              <w:spacing w:after="0"/>
              <w:rPr>
                <w:sz w:val="20"/>
                <w:szCs w:val="20"/>
                <w:color w:val="auto"/>
              </w:rPr>
            </w:pPr>
            <w:r>
              <w:rPr>
                <w:rFonts w:ascii="Courier New" w:cs="Courier New" w:eastAsia="Courier New" w:hAnsi="Courier New"/>
                <w:sz w:val="15"/>
                <w:szCs w:val="15"/>
                <w:color w:val="auto"/>
              </w:rPr>
              <w:t>$ 200.95</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$ 189.10</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6.3%</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$ 200.95</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189.10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REVPAR</w:t>
            </w:r>
          </w:p>
        </w:tc>
        <w:tc>
          <w:tcPr>
            <w:tcW w:w="2220" w:type="dxa"/>
            <w:vAlign w:val="bottom"/>
          </w:tcPr>
          <w:p>
            <w:pPr>
              <w:ind w:left="960"/>
              <w:spacing w:after="0"/>
              <w:rPr>
                <w:sz w:val="20"/>
                <w:szCs w:val="20"/>
                <w:color w:val="auto"/>
              </w:rPr>
            </w:pPr>
            <w:r>
              <w:rPr>
                <w:rFonts w:ascii="Courier New" w:cs="Courier New" w:eastAsia="Courier New" w:hAnsi="Courier New"/>
                <w:sz w:val="15"/>
                <w:szCs w:val="15"/>
                <w:color w:val="auto"/>
              </w:rPr>
              <w:t>$ 174.42</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$ 161.79</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7.8%</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$ 174.42</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161.79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673"/>
        </w:trPr>
        <w:tc>
          <w:tcPr>
            <w:tcW w:w="1760" w:type="dxa"/>
            <w:vAlign w:val="bottom"/>
          </w:tcPr>
          <w:p>
            <w:pPr>
              <w:spacing w:after="0"/>
              <w:rPr>
                <w:sz w:val="24"/>
                <w:szCs w:val="24"/>
                <w:color w:val="auto"/>
              </w:rPr>
            </w:pPr>
          </w:p>
        </w:tc>
        <w:tc>
          <w:tcPr>
            <w:tcW w:w="4020" w:type="dxa"/>
            <w:vAlign w:val="bottom"/>
            <w:gridSpan w:val="2"/>
          </w:tcPr>
          <w:p>
            <w:pPr>
              <w:jc w:val="center"/>
              <w:ind w:right="367"/>
              <w:spacing w:after="0"/>
              <w:rPr>
                <w:sz w:val="20"/>
                <w:szCs w:val="20"/>
                <w:color w:val="auto"/>
              </w:rPr>
            </w:pPr>
            <w:r>
              <w:rPr>
                <w:rFonts w:ascii="Courier New" w:cs="Courier New" w:eastAsia="Courier New" w:hAnsi="Courier New"/>
                <w:sz w:val="15"/>
                <w:szCs w:val="15"/>
                <w:color w:val="auto"/>
                <w:w w:val="96"/>
              </w:rPr>
              <w:t>CAMBRIDGE CENTER MARRIOTT</w:t>
            </w: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41"/>
        </w:trPr>
        <w:tc>
          <w:tcPr>
            <w:tcW w:w="1760" w:type="dxa"/>
            <w:vAlign w:val="bottom"/>
          </w:tcPr>
          <w:p>
            <w:pPr>
              <w:spacing w:after="0"/>
              <w:rPr>
                <w:sz w:val="24"/>
                <w:szCs w:val="24"/>
                <w:color w:val="auto"/>
              </w:rPr>
            </w:pPr>
          </w:p>
        </w:tc>
        <w:tc>
          <w:tcPr>
            <w:tcW w:w="2220" w:type="dxa"/>
            <w:vAlign w:val="bottom"/>
          </w:tcPr>
          <w:p>
            <w:pPr>
              <w:ind w:left="780"/>
              <w:spacing w:after="0"/>
              <w:rPr>
                <w:sz w:val="20"/>
                <w:szCs w:val="20"/>
                <w:color w:val="auto"/>
              </w:rPr>
            </w:pPr>
            <w:r>
              <w:rPr>
                <w:rFonts w:ascii="Courier New" w:cs="Courier New" w:eastAsia="Courier New" w:hAnsi="Courier New"/>
                <w:sz w:val="15"/>
                <w:szCs w:val="15"/>
                <w:color w:val="auto"/>
              </w:rPr>
              <w:t>FIRST QUARTER</w:t>
            </w:r>
          </w:p>
        </w:tc>
        <w:tc>
          <w:tcPr>
            <w:tcW w:w="1800" w:type="dxa"/>
            <w:vAlign w:val="bottom"/>
          </w:tcPr>
          <w:p>
            <w:pPr>
              <w:ind w:left="320"/>
              <w:spacing w:after="0"/>
              <w:rPr>
                <w:sz w:val="20"/>
                <w:szCs w:val="20"/>
                <w:color w:val="auto"/>
              </w:rPr>
            </w:pPr>
            <w:r>
              <w:rPr>
                <w:rFonts w:ascii="Courier New" w:cs="Courier New" w:eastAsia="Courier New" w:hAnsi="Courier New"/>
                <w:sz w:val="15"/>
                <w:szCs w:val="15"/>
                <w:color w:val="auto"/>
              </w:rPr>
              <w:t>FIRST QUARTER</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PERCENT</w:t>
            </w:r>
          </w:p>
        </w:tc>
        <w:tc>
          <w:tcPr>
            <w:tcW w:w="1540" w:type="dxa"/>
            <w:vAlign w:val="bottom"/>
          </w:tcPr>
          <w:p>
            <w:pPr>
              <w:ind w:left="780"/>
              <w:spacing w:after="0"/>
              <w:rPr>
                <w:sz w:val="20"/>
                <w:szCs w:val="20"/>
                <w:color w:val="auto"/>
              </w:rPr>
            </w:pPr>
            <w:r>
              <w:rPr>
                <w:rFonts w:ascii="Courier New" w:cs="Courier New" w:eastAsia="Courier New" w:hAnsi="Courier New"/>
                <w:sz w:val="15"/>
                <w:szCs w:val="15"/>
                <w:color w:val="auto"/>
              </w:rPr>
              <w:t>YTD</w:t>
            </w:r>
          </w:p>
        </w:tc>
        <w:tc>
          <w:tcPr>
            <w:tcW w:w="420" w:type="dxa"/>
            <w:vAlign w:val="bottom"/>
          </w:tcPr>
          <w:p>
            <w:pPr>
              <w:spacing w:after="0"/>
              <w:rPr>
                <w:sz w:val="24"/>
                <w:szCs w:val="2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YTD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PERCENT</w:t>
            </w:r>
          </w:p>
        </w:tc>
      </w:tr>
      <w:tr>
        <w:trPr>
          <w:trHeight w:val="168"/>
        </w:trPr>
        <w:tc>
          <w:tcPr>
            <w:tcW w:w="1760" w:type="dxa"/>
            <w:vAlign w:val="bottom"/>
          </w:tcPr>
          <w:p>
            <w:pPr>
              <w:spacing w:after="0"/>
              <w:rPr>
                <w:sz w:val="14"/>
                <w:szCs w:val="14"/>
                <w:color w:val="auto"/>
              </w:rPr>
            </w:pPr>
          </w:p>
        </w:tc>
        <w:tc>
          <w:tcPr>
            <w:tcW w:w="22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2000</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CHANGE</w:t>
            </w:r>
          </w:p>
        </w:tc>
        <w:tc>
          <w:tcPr>
            <w:tcW w:w="1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2000</w:t>
            </w:r>
          </w:p>
        </w:tc>
        <w:tc>
          <w:tcPr>
            <w:tcW w:w="420" w:type="dxa"/>
            <w:vAlign w:val="bottom"/>
          </w:tcPr>
          <w:p>
            <w:pPr>
              <w:spacing w:after="0"/>
              <w:rPr>
                <w:sz w:val="14"/>
                <w:szCs w:val="14"/>
                <w:color w:val="auto"/>
              </w:rPr>
            </w:pPr>
          </w:p>
        </w:tc>
        <w:tc>
          <w:tcPr>
            <w:tcW w:w="88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1999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CHANGE</w:t>
            </w:r>
          </w:p>
        </w:tc>
      </w:tr>
      <w:tr>
        <w:trPr>
          <w:trHeight w:val="168"/>
        </w:trPr>
        <w:tc>
          <w:tcPr>
            <w:tcW w:w="1760" w:type="dxa"/>
            <w:vAlign w:val="bottom"/>
          </w:tcPr>
          <w:p>
            <w:pPr>
              <w:spacing w:after="0"/>
              <w:rPr>
                <w:sz w:val="14"/>
                <w:szCs w:val="14"/>
                <w:color w:val="auto"/>
              </w:rPr>
            </w:pPr>
          </w:p>
        </w:tc>
        <w:tc>
          <w:tcPr>
            <w:tcW w:w="22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88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Occupancy</w:t>
            </w:r>
          </w:p>
        </w:tc>
        <w:tc>
          <w:tcPr>
            <w:tcW w:w="2220" w:type="dxa"/>
            <w:vAlign w:val="bottom"/>
          </w:tcPr>
          <w:p>
            <w:pPr>
              <w:ind w:left="1220"/>
              <w:spacing w:after="0"/>
              <w:rPr>
                <w:sz w:val="20"/>
                <w:szCs w:val="20"/>
                <w:color w:val="auto"/>
              </w:rPr>
            </w:pPr>
            <w:r>
              <w:rPr>
                <w:rFonts w:ascii="Courier New" w:cs="Courier New" w:eastAsia="Courier New" w:hAnsi="Courier New"/>
                <w:sz w:val="15"/>
                <w:szCs w:val="15"/>
                <w:color w:val="auto"/>
              </w:rPr>
              <w:t>81.40%</w:t>
            </w:r>
          </w:p>
        </w:tc>
        <w:tc>
          <w:tcPr>
            <w:tcW w:w="1800" w:type="dxa"/>
            <w:vAlign w:val="bottom"/>
          </w:tcPr>
          <w:p>
            <w:pPr>
              <w:ind w:left="660"/>
              <w:spacing w:after="0"/>
              <w:rPr>
                <w:sz w:val="20"/>
                <w:szCs w:val="20"/>
                <w:color w:val="auto"/>
              </w:rPr>
            </w:pPr>
            <w:r>
              <w:rPr>
                <w:rFonts w:ascii="Courier New" w:cs="Courier New" w:eastAsia="Courier New" w:hAnsi="Courier New"/>
                <w:sz w:val="15"/>
                <w:szCs w:val="15"/>
                <w:color w:val="auto"/>
              </w:rPr>
              <w:t>82.80%</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w:t>
            </w: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81.40%</w:t>
            </w:r>
          </w:p>
        </w:tc>
        <w:tc>
          <w:tcPr>
            <w:tcW w:w="42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82.80%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Average Daily Rate</w:t>
            </w:r>
          </w:p>
        </w:tc>
        <w:tc>
          <w:tcPr>
            <w:tcW w:w="2220" w:type="dxa"/>
            <w:vAlign w:val="bottom"/>
          </w:tcPr>
          <w:p>
            <w:pPr>
              <w:ind w:left="960"/>
              <w:spacing w:after="0"/>
              <w:rPr>
                <w:sz w:val="20"/>
                <w:szCs w:val="20"/>
                <w:color w:val="auto"/>
              </w:rPr>
            </w:pPr>
            <w:r>
              <w:rPr>
                <w:rFonts w:ascii="Courier New" w:cs="Courier New" w:eastAsia="Courier New" w:hAnsi="Courier New"/>
                <w:sz w:val="15"/>
                <w:szCs w:val="15"/>
                <w:color w:val="auto"/>
              </w:rPr>
              <w:t>$ 174.05</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$ 158.79</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9.6%</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$ 174.05</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158.79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REVPAR</w:t>
            </w:r>
          </w:p>
        </w:tc>
        <w:tc>
          <w:tcPr>
            <w:tcW w:w="2220" w:type="dxa"/>
            <w:vAlign w:val="bottom"/>
          </w:tcPr>
          <w:p>
            <w:pPr>
              <w:ind w:left="960"/>
              <w:spacing w:after="0"/>
              <w:rPr>
                <w:sz w:val="20"/>
                <w:szCs w:val="20"/>
                <w:color w:val="auto"/>
              </w:rPr>
            </w:pPr>
            <w:r>
              <w:rPr>
                <w:rFonts w:ascii="Courier New" w:cs="Courier New" w:eastAsia="Courier New" w:hAnsi="Courier New"/>
                <w:sz w:val="15"/>
                <w:szCs w:val="15"/>
                <w:color w:val="auto"/>
              </w:rPr>
              <w:t>$ 141.68</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$ 131.48</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$ 141.68</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131.48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673"/>
        </w:trPr>
        <w:tc>
          <w:tcPr>
            <w:tcW w:w="1760" w:type="dxa"/>
            <w:vAlign w:val="bottom"/>
          </w:tcPr>
          <w:p>
            <w:pPr>
              <w:spacing w:after="0"/>
              <w:rPr>
                <w:sz w:val="24"/>
                <w:szCs w:val="24"/>
                <w:color w:val="auto"/>
              </w:rPr>
            </w:pPr>
          </w:p>
        </w:tc>
        <w:tc>
          <w:tcPr>
            <w:tcW w:w="4020" w:type="dxa"/>
            <w:vAlign w:val="bottom"/>
            <w:gridSpan w:val="2"/>
          </w:tcPr>
          <w:p>
            <w:pPr>
              <w:jc w:val="center"/>
              <w:ind w:right="347"/>
              <w:spacing w:after="0"/>
              <w:rPr>
                <w:sz w:val="20"/>
                <w:szCs w:val="20"/>
                <w:color w:val="auto"/>
              </w:rPr>
            </w:pPr>
            <w:r>
              <w:rPr>
                <w:rFonts w:ascii="Courier New" w:cs="Courier New" w:eastAsia="Courier New" w:hAnsi="Courier New"/>
                <w:sz w:val="15"/>
                <w:szCs w:val="15"/>
                <w:color w:val="auto"/>
                <w:w w:val="97"/>
              </w:rPr>
              <w:t>TOTAL SAME PROPERTY HOTEL PERFORMANCE</w:t>
            </w: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41"/>
        </w:trPr>
        <w:tc>
          <w:tcPr>
            <w:tcW w:w="1760" w:type="dxa"/>
            <w:vAlign w:val="bottom"/>
          </w:tcPr>
          <w:p>
            <w:pPr>
              <w:spacing w:after="0"/>
              <w:rPr>
                <w:sz w:val="24"/>
                <w:szCs w:val="24"/>
                <w:color w:val="auto"/>
              </w:rPr>
            </w:pPr>
          </w:p>
        </w:tc>
        <w:tc>
          <w:tcPr>
            <w:tcW w:w="2220" w:type="dxa"/>
            <w:vAlign w:val="bottom"/>
          </w:tcPr>
          <w:p>
            <w:pPr>
              <w:ind w:left="780"/>
              <w:spacing w:after="0"/>
              <w:rPr>
                <w:sz w:val="20"/>
                <w:szCs w:val="20"/>
                <w:color w:val="auto"/>
              </w:rPr>
            </w:pPr>
            <w:r>
              <w:rPr>
                <w:rFonts w:ascii="Courier New" w:cs="Courier New" w:eastAsia="Courier New" w:hAnsi="Courier New"/>
                <w:sz w:val="15"/>
                <w:szCs w:val="15"/>
                <w:color w:val="auto"/>
              </w:rPr>
              <w:t>FIRST QUARTER</w:t>
            </w:r>
          </w:p>
        </w:tc>
        <w:tc>
          <w:tcPr>
            <w:tcW w:w="1800" w:type="dxa"/>
            <w:vAlign w:val="bottom"/>
          </w:tcPr>
          <w:p>
            <w:pPr>
              <w:ind w:left="320"/>
              <w:spacing w:after="0"/>
              <w:rPr>
                <w:sz w:val="20"/>
                <w:szCs w:val="20"/>
                <w:color w:val="auto"/>
              </w:rPr>
            </w:pPr>
            <w:r>
              <w:rPr>
                <w:rFonts w:ascii="Courier New" w:cs="Courier New" w:eastAsia="Courier New" w:hAnsi="Courier New"/>
                <w:sz w:val="15"/>
                <w:szCs w:val="15"/>
                <w:color w:val="auto"/>
              </w:rPr>
              <w:t>FIRST QUARTER</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PERCENT</w:t>
            </w:r>
          </w:p>
        </w:tc>
        <w:tc>
          <w:tcPr>
            <w:tcW w:w="1540" w:type="dxa"/>
            <w:vAlign w:val="bottom"/>
          </w:tcPr>
          <w:p>
            <w:pPr>
              <w:ind w:left="780"/>
              <w:spacing w:after="0"/>
              <w:rPr>
                <w:sz w:val="20"/>
                <w:szCs w:val="20"/>
                <w:color w:val="auto"/>
              </w:rPr>
            </w:pPr>
            <w:r>
              <w:rPr>
                <w:rFonts w:ascii="Courier New" w:cs="Courier New" w:eastAsia="Courier New" w:hAnsi="Courier New"/>
                <w:sz w:val="15"/>
                <w:szCs w:val="15"/>
                <w:color w:val="auto"/>
              </w:rPr>
              <w:t>YTD</w:t>
            </w:r>
          </w:p>
        </w:tc>
        <w:tc>
          <w:tcPr>
            <w:tcW w:w="420" w:type="dxa"/>
            <w:vAlign w:val="bottom"/>
          </w:tcPr>
          <w:p>
            <w:pPr>
              <w:spacing w:after="0"/>
              <w:rPr>
                <w:sz w:val="24"/>
                <w:szCs w:val="2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YTD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PERCENT</w:t>
            </w:r>
          </w:p>
        </w:tc>
      </w:tr>
      <w:tr>
        <w:trPr>
          <w:trHeight w:val="168"/>
        </w:trPr>
        <w:tc>
          <w:tcPr>
            <w:tcW w:w="1760" w:type="dxa"/>
            <w:vAlign w:val="bottom"/>
          </w:tcPr>
          <w:p>
            <w:pPr>
              <w:spacing w:after="0"/>
              <w:rPr>
                <w:sz w:val="14"/>
                <w:szCs w:val="14"/>
                <w:color w:val="auto"/>
              </w:rPr>
            </w:pPr>
          </w:p>
        </w:tc>
        <w:tc>
          <w:tcPr>
            <w:tcW w:w="22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2000</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CHANGE</w:t>
            </w:r>
          </w:p>
        </w:tc>
        <w:tc>
          <w:tcPr>
            <w:tcW w:w="1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2000</w:t>
            </w:r>
          </w:p>
        </w:tc>
        <w:tc>
          <w:tcPr>
            <w:tcW w:w="420" w:type="dxa"/>
            <w:vAlign w:val="bottom"/>
          </w:tcPr>
          <w:p>
            <w:pPr>
              <w:spacing w:after="0"/>
              <w:rPr>
                <w:sz w:val="14"/>
                <w:szCs w:val="14"/>
                <w:color w:val="auto"/>
              </w:rPr>
            </w:pPr>
          </w:p>
        </w:tc>
        <w:tc>
          <w:tcPr>
            <w:tcW w:w="88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1999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CHANGE</w:t>
            </w:r>
          </w:p>
        </w:tc>
      </w:tr>
      <w:tr>
        <w:trPr>
          <w:trHeight w:val="168"/>
        </w:trPr>
        <w:tc>
          <w:tcPr>
            <w:tcW w:w="1760" w:type="dxa"/>
            <w:vAlign w:val="bottom"/>
          </w:tcPr>
          <w:p>
            <w:pPr>
              <w:spacing w:after="0"/>
              <w:rPr>
                <w:sz w:val="14"/>
                <w:szCs w:val="14"/>
                <w:color w:val="auto"/>
              </w:rPr>
            </w:pPr>
          </w:p>
        </w:tc>
        <w:tc>
          <w:tcPr>
            <w:tcW w:w="22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88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Occupancy</w:t>
            </w:r>
          </w:p>
        </w:tc>
        <w:tc>
          <w:tcPr>
            <w:tcW w:w="2220" w:type="dxa"/>
            <w:vAlign w:val="bottom"/>
          </w:tcPr>
          <w:p>
            <w:pPr>
              <w:ind w:left="1220"/>
              <w:spacing w:after="0"/>
              <w:rPr>
                <w:sz w:val="20"/>
                <w:szCs w:val="20"/>
                <w:color w:val="auto"/>
              </w:rPr>
            </w:pPr>
            <w:r>
              <w:rPr>
                <w:rFonts w:ascii="Courier New" w:cs="Courier New" w:eastAsia="Courier New" w:hAnsi="Courier New"/>
                <w:sz w:val="15"/>
                <w:szCs w:val="15"/>
                <w:color w:val="auto"/>
              </w:rPr>
              <w:t>84.00%</w:t>
            </w:r>
          </w:p>
        </w:tc>
        <w:tc>
          <w:tcPr>
            <w:tcW w:w="1800" w:type="dxa"/>
            <w:vAlign w:val="bottom"/>
          </w:tcPr>
          <w:p>
            <w:pPr>
              <w:ind w:left="660"/>
              <w:spacing w:after="0"/>
              <w:rPr>
                <w:sz w:val="20"/>
                <w:szCs w:val="20"/>
                <w:color w:val="auto"/>
              </w:rPr>
            </w:pPr>
            <w:r>
              <w:rPr>
                <w:rFonts w:ascii="Courier New" w:cs="Courier New" w:eastAsia="Courier New" w:hAnsi="Courier New"/>
                <w:sz w:val="15"/>
                <w:szCs w:val="15"/>
                <w:color w:val="auto"/>
              </w:rPr>
              <w:t>84.20%</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-0.2%</w:t>
            </w: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84.00%</w:t>
            </w:r>
          </w:p>
        </w:tc>
        <w:tc>
          <w:tcPr>
            <w:tcW w:w="42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84.20%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Average Daily Rate</w:t>
            </w:r>
          </w:p>
        </w:tc>
        <w:tc>
          <w:tcPr>
            <w:tcW w:w="2220" w:type="dxa"/>
            <w:vAlign w:val="bottom"/>
          </w:tcPr>
          <w:p>
            <w:pPr>
              <w:ind w:left="960"/>
              <w:spacing w:after="0"/>
              <w:rPr>
                <w:sz w:val="20"/>
                <w:szCs w:val="20"/>
                <w:color w:val="auto"/>
              </w:rPr>
            </w:pPr>
            <w:r>
              <w:rPr>
                <w:rFonts w:ascii="Courier New" w:cs="Courier New" w:eastAsia="Courier New" w:hAnsi="Courier New"/>
                <w:sz w:val="15"/>
                <w:szCs w:val="15"/>
                <w:color w:val="auto"/>
              </w:rPr>
              <w:t>$ 187.03</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$ 173.37</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7.9%</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$ 187.03</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173.37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REVPAR</w:t>
            </w:r>
          </w:p>
        </w:tc>
        <w:tc>
          <w:tcPr>
            <w:tcW w:w="2220" w:type="dxa"/>
            <w:vAlign w:val="bottom"/>
          </w:tcPr>
          <w:p>
            <w:pPr>
              <w:ind w:left="960"/>
              <w:spacing w:after="0"/>
              <w:rPr>
                <w:sz w:val="20"/>
                <w:szCs w:val="20"/>
                <w:color w:val="auto"/>
              </w:rPr>
            </w:pPr>
            <w:r>
              <w:rPr>
                <w:rFonts w:ascii="Courier New" w:cs="Courier New" w:eastAsia="Courier New" w:hAnsi="Courier New"/>
                <w:sz w:val="15"/>
                <w:szCs w:val="15"/>
                <w:color w:val="auto"/>
              </w:rPr>
              <w:t>$ 157.48</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$ 146.11</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$ 157.48</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146.11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673"/>
        </w:trPr>
        <w:tc>
          <w:tcPr>
            <w:tcW w:w="1760" w:type="dxa"/>
            <w:vAlign w:val="bottom"/>
          </w:tcPr>
          <w:p>
            <w:pPr>
              <w:spacing w:after="0"/>
              <w:rPr>
                <w:sz w:val="24"/>
                <w:szCs w:val="24"/>
                <w:color w:val="auto"/>
              </w:rPr>
            </w:pPr>
          </w:p>
        </w:tc>
        <w:tc>
          <w:tcPr>
            <w:tcW w:w="40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1999 PLACED-IN-SERVICE HOTEL</w:t>
            </w: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1760" w:type="dxa"/>
            <w:vAlign w:val="bottom"/>
          </w:tcPr>
          <w:p>
            <w:pPr>
              <w:spacing w:after="0"/>
              <w:rPr>
                <w:sz w:val="14"/>
                <w:szCs w:val="14"/>
                <w:color w:val="auto"/>
              </w:rPr>
            </w:pPr>
          </w:p>
        </w:tc>
        <w:tc>
          <w:tcPr>
            <w:tcW w:w="4020" w:type="dxa"/>
            <w:vAlign w:val="bottom"/>
            <w:gridSpan w:val="2"/>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RESIDENCE INN BY MARRIOTT</w:t>
            </w:r>
          </w:p>
        </w:tc>
        <w:tc>
          <w:tcPr>
            <w:tcW w:w="1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841"/>
        </w:trPr>
        <w:tc>
          <w:tcPr>
            <w:tcW w:w="1760" w:type="dxa"/>
            <w:vAlign w:val="bottom"/>
          </w:tcPr>
          <w:p>
            <w:pPr>
              <w:spacing w:after="0"/>
              <w:rPr>
                <w:sz w:val="24"/>
                <w:szCs w:val="24"/>
                <w:color w:val="auto"/>
              </w:rPr>
            </w:pPr>
          </w:p>
        </w:tc>
        <w:tc>
          <w:tcPr>
            <w:tcW w:w="2220" w:type="dxa"/>
            <w:vAlign w:val="bottom"/>
          </w:tcPr>
          <w:p>
            <w:pPr>
              <w:ind w:left="780"/>
              <w:spacing w:after="0"/>
              <w:rPr>
                <w:sz w:val="20"/>
                <w:szCs w:val="20"/>
                <w:color w:val="auto"/>
              </w:rPr>
            </w:pPr>
            <w:r>
              <w:rPr>
                <w:rFonts w:ascii="Courier New" w:cs="Courier New" w:eastAsia="Courier New" w:hAnsi="Courier New"/>
                <w:sz w:val="15"/>
                <w:szCs w:val="15"/>
                <w:color w:val="auto"/>
              </w:rPr>
              <w:t>FIRST QUARTER</w:t>
            </w:r>
          </w:p>
        </w:tc>
        <w:tc>
          <w:tcPr>
            <w:tcW w:w="1800" w:type="dxa"/>
            <w:vAlign w:val="bottom"/>
          </w:tcPr>
          <w:p>
            <w:pPr>
              <w:ind w:left="320"/>
              <w:spacing w:after="0"/>
              <w:rPr>
                <w:sz w:val="20"/>
                <w:szCs w:val="20"/>
                <w:color w:val="auto"/>
              </w:rPr>
            </w:pPr>
            <w:r>
              <w:rPr>
                <w:rFonts w:ascii="Courier New" w:cs="Courier New" w:eastAsia="Courier New" w:hAnsi="Courier New"/>
                <w:sz w:val="15"/>
                <w:szCs w:val="15"/>
                <w:color w:val="auto"/>
              </w:rPr>
              <w:t>FIRST QUARTER</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PERCENT</w:t>
            </w:r>
          </w:p>
        </w:tc>
        <w:tc>
          <w:tcPr>
            <w:tcW w:w="1540" w:type="dxa"/>
            <w:vAlign w:val="bottom"/>
          </w:tcPr>
          <w:p>
            <w:pPr>
              <w:ind w:left="780"/>
              <w:spacing w:after="0"/>
              <w:rPr>
                <w:sz w:val="20"/>
                <w:szCs w:val="20"/>
                <w:color w:val="auto"/>
              </w:rPr>
            </w:pPr>
            <w:r>
              <w:rPr>
                <w:rFonts w:ascii="Courier New" w:cs="Courier New" w:eastAsia="Courier New" w:hAnsi="Courier New"/>
                <w:sz w:val="15"/>
                <w:szCs w:val="15"/>
                <w:color w:val="auto"/>
              </w:rPr>
              <w:t>YTD</w:t>
            </w:r>
          </w:p>
        </w:tc>
        <w:tc>
          <w:tcPr>
            <w:tcW w:w="420" w:type="dxa"/>
            <w:vAlign w:val="bottom"/>
          </w:tcPr>
          <w:p>
            <w:pPr>
              <w:spacing w:after="0"/>
              <w:rPr>
                <w:sz w:val="24"/>
                <w:szCs w:val="2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YTD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PERCENT</w:t>
            </w:r>
          </w:p>
        </w:tc>
      </w:tr>
      <w:tr>
        <w:trPr>
          <w:trHeight w:val="168"/>
        </w:trPr>
        <w:tc>
          <w:tcPr>
            <w:tcW w:w="1760" w:type="dxa"/>
            <w:vAlign w:val="bottom"/>
          </w:tcPr>
          <w:p>
            <w:pPr>
              <w:spacing w:after="0"/>
              <w:rPr>
                <w:sz w:val="14"/>
                <w:szCs w:val="14"/>
                <w:color w:val="auto"/>
              </w:rPr>
            </w:pPr>
          </w:p>
        </w:tc>
        <w:tc>
          <w:tcPr>
            <w:tcW w:w="22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2000</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CHANGE</w:t>
            </w:r>
          </w:p>
        </w:tc>
        <w:tc>
          <w:tcPr>
            <w:tcW w:w="1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2000</w:t>
            </w:r>
          </w:p>
        </w:tc>
        <w:tc>
          <w:tcPr>
            <w:tcW w:w="420" w:type="dxa"/>
            <w:vAlign w:val="bottom"/>
          </w:tcPr>
          <w:p>
            <w:pPr>
              <w:spacing w:after="0"/>
              <w:rPr>
                <w:sz w:val="14"/>
                <w:szCs w:val="14"/>
                <w:color w:val="auto"/>
              </w:rPr>
            </w:pPr>
          </w:p>
        </w:tc>
        <w:tc>
          <w:tcPr>
            <w:tcW w:w="88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1999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CHANGE</w:t>
            </w:r>
          </w:p>
        </w:tc>
      </w:tr>
      <w:tr>
        <w:trPr>
          <w:trHeight w:val="168"/>
        </w:trPr>
        <w:tc>
          <w:tcPr>
            <w:tcW w:w="1760" w:type="dxa"/>
            <w:vAlign w:val="bottom"/>
          </w:tcPr>
          <w:p>
            <w:pPr>
              <w:spacing w:after="0"/>
              <w:rPr>
                <w:sz w:val="14"/>
                <w:szCs w:val="14"/>
                <w:color w:val="auto"/>
              </w:rPr>
            </w:pPr>
          </w:p>
        </w:tc>
        <w:tc>
          <w:tcPr>
            <w:tcW w:w="22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88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Occupancy</w:t>
            </w:r>
          </w:p>
        </w:tc>
        <w:tc>
          <w:tcPr>
            <w:tcW w:w="2220" w:type="dxa"/>
            <w:vAlign w:val="bottom"/>
          </w:tcPr>
          <w:p>
            <w:pPr>
              <w:ind w:left="1220"/>
              <w:spacing w:after="0"/>
              <w:rPr>
                <w:sz w:val="20"/>
                <w:szCs w:val="20"/>
                <w:color w:val="auto"/>
              </w:rPr>
            </w:pPr>
            <w:r>
              <w:rPr>
                <w:rFonts w:ascii="Courier New" w:cs="Courier New" w:eastAsia="Courier New" w:hAnsi="Courier New"/>
                <w:sz w:val="15"/>
                <w:szCs w:val="15"/>
                <w:color w:val="auto"/>
              </w:rPr>
              <w:t>88.70%</w:t>
            </w:r>
          </w:p>
        </w:tc>
        <w:tc>
          <w:tcPr>
            <w:tcW w:w="1800" w:type="dxa"/>
            <w:vAlign w:val="bottom"/>
          </w:tcPr>
          <w:p>
            <w:pPr>
              <w:ind w:left="660"/>
              <w:spacing w:after="0"/>
              <w:rPr>
                <w:sz w:val="20"/>
                <w:szCs w:val="20"/>
                <w:color w:val="auto"/>
              </w:rPr>
            </w:pPr>
            <w:r>
              <w:rPr>
                <w:rFonts w:ascii="Courier New" w:cs="Courier New" w:eastAsia="Courier New" w:hAnsi="Courier New"/>
                <w:sz w:val="15"/>
                <w:szCs w:val="15"/>
                <w:color w:val="auto"/>
              </w:rPr>
              <w:t>67.40%</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88.70%</w:t>
            </w:r>
          </w:p>
        </w:tc>
        <w:tc>
          <w:tcPr>
            <w:tcW w:w="42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64.70%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N/A</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Average Daily Rate</w:t>
            </w:r>
          </w:p>
        </w:tc>
        <w:tc>
          <w:tcPr>
            <w:tcW w:w="2220" w:type="dxa"/>
            <w:vAlign w:val="bottom"/>
          </w:tcPr>
          <w:p>
            <w:pPr>
              <w:ind w:left="960"/>
              <w:spacing w:after="0"/>
              <w:rPr>
                <w:sz w:val="20"/>
                <w:szCs w:val="20"/>
                <w:color w:val="auto"/>
              </w:rPr>
            </w:pPr>
            <w:r>
              <w:rPr>
                <w:rFonts w:ascii="Courier New" w:cs="Courier New" w:eastAsia="Courier New" w:hAnsi="Courier New"/>
                <w:sz w:val="15"/>
                <w:szCs w:val="15"/>
                <w:color w:val="auto"/>
              </w:rPr>
              <w:t>$ 144.00</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$ 134.18</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$ 144.00</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134.18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N/A</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REVPAR</w:t>
            </w:r>
          </w:p>
        </w:tc>
        <w:tc>
          <w:tcPr>
            <w:tcW w:w="2220" w:type="dxa"/>
            <w:vAlign w:val="bottom"/>
          </w:tcPr>
          <w:p>
            <w:pPr>
              <w:ind w:left="960"/>
              <w:spacing w:after="0"/>
              <w:rPr>
                <w:sz w:val="20"/>
                <w:szCs w:val="20"/>
                <w:color w:val="auto"/>
              </w:rPr>
            </w:pPr>
            <w:r>
              <w:rPr>
                <w:rFonts w:ascii="Courier New" w:cs="Courier New" w:eastAsia="Courier New" w:hAnsi="Courier New"/>
                <w:sz w:val="15"/>
                <w:szCs w:val="15"/>
                <w:color w:val="auto"/>
              </w:rPr>
              <w:t>$ 127.73</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$ 90.44</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$ 127.73</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90.44</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N/A</w:t>
            </w:r>
          </w:p>
        </w:tc>
      </w:tr>
    </w:tbl>
    <w:p>
      <w:pPr>
        <w:spacing w:after="0" w:line="3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Only Operational as of 2/01/99</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860"/>
          </w:cols>
          <w:pgMar w:left="220" w:top="785" w:right="819" w:bottom="1440" w:gutter="0" w:footer="0" w:header="0"/>
        </w:sectPr>
      </w:pPr>
    </w:p>
    <w:bookmarkStart w:id="33" w:name="page34"/>
    <w:bookmarkEnd w:id="33"/>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5"/>
          <w:szCs w:val="15"/>
          <w:color w:val="auto"/>
        </w:rPr>
        <w:t>SAME PROPERTY PERFORMANCE</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OFFICE, R&amp;D, INDUSTRIAL AND HOTEL PROPERTIES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OFFICE</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R&amp;D</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INDUSTRIAL</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HOTEL</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GARAGE</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9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Number of Properties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Square feet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19,332,388</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2,072,497</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925,726</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750,400</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332,442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23,413,453</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 of in-service properties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85.7%</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80.0%</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87.2%</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Occupancy @ 03/31/99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98.8%</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99.1%</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89.3%</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98.4%</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Occupancy @ 03/31/00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99.5%</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94.0%</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92.5%</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98.7%</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 change from 1st quarter 2000</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over 1st quarter 1999:</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Revenue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12.5%</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14.0%</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Expense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16.1%</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16.8%</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r>
        <w:trPr>
          <w:trHeight w:val="673"/>
        </w:trPr>
        <w:tc>
          <w:tcPr>
            <w:tcW w:w="618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SAME PROPERTY LEASE ANALYSIS - QUARTER ENDED MARCH 31, 2000</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841"/>
        </w:trPr>
        <w:tc>
          <w:tcPr>
            <w:tcW w:w="3900" w:type="dxa"/>
            <w:vAlign w:val="bottom"/>
          </w:tcPr>
          <w:p>
            <w:pPr>
              <w:spacing w:after="0"/>
              <w:rPr>
                <w:sz w:val="24"/>
                <w:szCs w:val="2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OFFICE</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R&amp;D</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INDUSTRIAL</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TOTAL</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9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Vacant space available @ 1/01/00 (sf)</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360,902</w:t>
            </w: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144,545</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89,099</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594,546</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Square footage of leases expiring or</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terminated 01/01/00-03/31/00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1,012,850</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235,859</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1,248,709</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space for lease (sf)</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1,373,752</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380,404</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89,099</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1,843,255</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tenants (sf)</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772,603</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167,459</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960,062</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Renewals (sf)</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509,930</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87,971</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597,901</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space leased (sf)</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1,282,533</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255,430</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1,557,963</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Space available @ 3/31/00 (sf)</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91,219</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124,974</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69,099</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285,292</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increase (decrease) in leased space (sf)</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269,683</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19,571</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309,254</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lease term (months)</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47</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74</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2nd generation TI/Comm PSF</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$ 12.12</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$ 0.71</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$ 11.04</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$ 10.23</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2nd generation net rents (1)</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50.6%</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n/a</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46.9%</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left="440" w:right="4540" w:hanging="430"/>
        <w:spacing w:after="0" w:line="234"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increase in net rents on a "cash to cash" basis. (Actual net rent at time of expiration vs. initial net rent of new lease.)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1200"/>
          </w:cols>
          <w:pgMar w:left="220" w:top="785" w:right="479" w:bottom="1440" w:gutter="0" w:footer="0" w:header="0"/>
        </w:sectPr>
      </w:pPr>
    </w:p>
    <w:bookmarkStart w:id="34" w:name="page35"/>
    <w:bookmarkEnd w:id="34"/>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ALL "IN-SERVICE" PROPERTIES - QUARTER ENDED MARCH 31,2000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OFFICE</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R&amp;D</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INDUSTRIAL</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9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Vacant space available @ 1/01/00 (sf)</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508,964</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144,545</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89,099</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742,608</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Square footage of leases expiring or</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terminated 1/01/00-3/31/00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1,070,356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235,859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1,306,215</w:t>
            </w:r>
          </w:p>
        </w:tc>
      </w:tr>
      <w:tr>
        <w:trPr>
          <w:trHeight w:val="168"/>
        </w:trPr>
        <w:tc>
          <w:tcPr>
            <w:tcW w:w="390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space for lease (sf)</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1,579,320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380,404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89,099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2,048,823</w:t>
            </w:r>
          </w:p>
        </w:tc>
      </w:tr>
      <w:tr>
        <w:trPr>
          <w:trHeight w:val="168"/>
        </w:trPr>
        <w:tc>
          <w:tcPr>
            <w:tcW w:w="390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tenants (sf)</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852,455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167,459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1,039,914</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Renewals (sf)</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532,149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87,971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620,120</w:t>
            </w:r>
          </w:p>
        </w:tc>
      </w:tr>
      <w:tr>
        <w:trPr>
          <w:trHeight w:val="168"/>
        </w:trPr>
        <w:tc>
          <w:tcPr>
            <w:tcW w:w="390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space leased (sf)</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1,384,604</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255,430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1,660,034</w:t>
            </w:r>
          </w:p>
        </w:tc>
      </w:tr>
      <w:tr>
        <w:trPr>
          <w:trHeight w:val="168"/>
        </w:trPr>
        <w:tc>
          <w:tcPr>
            <w:tcW w:w="390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Space available @ 3/31/00 (sf)</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194,716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124,974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69,099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388,789</w:t>
            </w:r>
          </w:p>
        </w:tc>
      </w:tr>
      <w:tr>
        <w:trPr>
          <w:trHeight w:val="168"/>
        </w:trPr>
        <w:tc>
          <w:tcPr>
            <w:tcW w:w="390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increase/(decrease) in leased space (sf)</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314,248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19,571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353,819</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lease term (months)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2nd generation TI/Comm PSF</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$ 12.38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$ 0.71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$ 11.04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$ 10.57</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2nd generation net rents (1)</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52.2%</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w:t>
            </w:r>
          </w:p>
        </w:tc>
      </w:tr>
    </w:tbl>
    <w:p>
      <w:pPr>
        <w:spacing w:after="0" w:line="200" w:lineRule="exact"/>
        <w:rPr>
          <w:sz w:val="20"/>
          <w:szCs w:val="20"/>
          <w:color w:val="auto"/>
        </w:rPr>
      </w:pPr>
    </w:p>
    <w:p>
      <w:pPr>
        <w:spacing w:after="0" w:line="309" w:lineRule="exact"/>
        <w:rPr>
          <w:sz w:val="20"/>
          <w:szCs w:val="20"/>
          <w:color w:val="auto"/>
        </w:rPr>
      </w:pPr>
    </w:p>
    <w:p>
      <w:pPr>
        <w:ind w:left="440" w:right="3239" w:hanging="430"/>
        <w:spacing w:after="0" w:line="234"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increase in net rents on a "cash to cash" basis (actual net rent at time of expiration vs. initial net rent of new lease).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785" w:right="1440" w:bottom="1440" w:gutter="0" w:footer="0" w:header="0"/>
        </w:sectPr>
      </w:pPr>
    </w:p>
    <w:bookmarkStart w:id="35" w:name="page36"/>
    <w:bookmarkEnd w:id="35"/>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HISTORICALLY GENERATED CAPITAL EXPENDITURES,</w:t>
      </w:r>
    </w:p>
    <w:p>
      <w:pPr>
        <w:jc w:val="center"/>
        <w:ind w:right="4440"/>
        <w:spacing w:after="0" w:line="237" w:lineRule="auto"/>
        <w:rPr>
          <w:sz w:val="20"/>
          <w:szCs w:val="20"/>
          <w:color w:val="auto"/>
        </w:rPr>
      </w:pPr>
      <w:r>
        <w:rPr>
          <w:rFonts w:ascii="Courier New" w:cs="Courier New" w:eastAsia="Courier New" w:hAnsi="Courier New"/>
          <w:sz w:val="15"/>
          <w:szCs w:val="15"/>
          <w:color w:val="auto"/>
        </w:rPr>
        <w:t>TENANT IMPROVEMENT COSTS AND LEASING COMMISSIONS</w:t>
      </w:r>
    </w:p>
    <w:p>
      <w:pPr>
        <w:jc w:val="center"/>
        <w:ind w:right="4440"/>
        <w:spacing w:after="0" w:line="238" w:lineRule="auto"/>
        <w:rPr>
          <w:sz w:val="20"/>
          <w:szCs w:val="20"/>
          <w:color w:val="auto"/>
        </w:rPr>
      </w:pPr>
      <w:r>
        <w:rPr>
          <w:rFonts w:ascii="Courier New" w:cs="Courier New" w:eastAsia="Courier New" w:hAnsi="Courier New"/>
          <w:sz w:val="15"/>
          <w:szCs w:val="15"/>
          <w:color w:val="auto"/>
        </w:rPr>
        <w:t>(IN THOUSANDS)</w:t>
      </w:r>
    </w:p>
    <w:p>
      <w:pPr>
        <w:ind w:left="2200"/>
        <w:spacing w:after="0" w:line="237" w:lineRule="auto"/>
        <w:rPr>
          <w:sz w:val="20"/>
          <w:szCs w:val="20"/>
          <w:color w:val="auto"/>
        </w:rPr>
      </w:pPr>
      <w:r>
        <w:rPr>
          <w:rFonts w:ascii="Courier New" w:cs="Courier New" w:eastAsia="Courier New" w:hAnsi="Courier New"/>
          <w:sz w:val="15"/>
          <w:szCs w:val="15"/>
          <w:color w:val="auto"/>
        </w:rPr>
        <w:t>HISTORICAL CAPITAL EXPENDITURES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122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Q1 2000</w:t>
            </w:r>
          </w:p>
        </w:tc>
      </w:tr>
      <w:tr>
        <w:trPr>
          <w:trHeight w:val="168"/>
        </w:trPr>
        <w:tc>
          <w:tcPr>
            <w:tcW w:w="356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Recurring capital expenditures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$ 1,618</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$ 1,083</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$ 1,125</w:t>
            </w:r>
          </w:p>
        </w:tc>
        <w:tc>
          <w:tcPr>
            <w:tcW w:w="1220" w:type="dxa"/>
            <w:vAlign w:val="bottom"/>
          </w:tcPr>
          <w:p>
            <w:pPr>
              <w:ind w:left="340"/>
              <w:spacing w:after="0"/>
              <w:rPr>
                <w:sz w:val="20"/>
                <w:szCs w:val="20"/>
                <w:color w:val="auto"/>
              </w:rPr>
            </w:pPr>
            <w:r>
              <w:rPr>
                <w:rFonts w:ascii="Courier New" w:cs="Courier New" w:eastAsia="Courier New" w:hAnsi="Courier New"/>
                <w:sz w:val="15"/>
                <w:szCs w:val="15"/>
                <w:color w:val="auto"/>
              </w:rPr>
              <w:t>$ 3,543</w:t>
            </w: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$ 11,611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$ 1,995</w:t>
            </w:r>
          </w:p>
        </w:tc>
      </w:tr>
      <w:tr>
        <w:trPr>
          <w:trHeight w:val="168"/>
        </w:trPr>
        <w:tc>
          <w:tcPr>
            <w:tcW w:w="356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Hotel improvements, equipment upgrades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$ 4,420</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$ 3,041</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$ 2,625</w:t>
            </w:r>
          </w:p>
        </w:tc>
        <w:tc>
          <w:tcPr>
            <w:tcW w:w="1220" w:type="dxa"/>
            <w:vAlign w:val="bottom"/>
          </w:tcPr>
          <w:p>
            <w:pPr>
              <w:ind w:left="340"/>
              <w:spacing w:after="0"/>
              <w:rPr>
                <w:sz w:val="20"/>
                <w:szCs w:val="20"/>
                <w:color w:val="auto"/>
              </w:rPr>
            </w:pPr>
            <w:r>
              <w:rPr>
                <w:rFonts w:ascii="Courier New" w:cs="Courier New" w:eastAsia="Courier New" w:hAnsi="Courier New"/>
                <w:sz w:val="15"/>
                <w:szCs w:val="15"/>
                <w:color w:val="auto"/>
              </w:rPr>
              <w:t>$ 3,872</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$ 2,346</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$ 789</w:t>
            </w:r>
          </w:p>
        </w:tc>
      </w:tr>
      <w:tr>
        <w:trPr>
          <w:trHeight w:val="168"/>
        </w:trPr>
        <w:tc>
          <w:tcPr>
            <w:tcW w:w="356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replacements</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2ND GENERATION TENANT IMPROVEMENTS AND LEASING COMMISSIONS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Q1 2000</w:t>
            </w:r>
          </w:p>
        </w:tc>
      </w:tr>
      <w:tr>
        <w:trPr>
          <w:trHeight w:val="168"/>
        </w:trPr>
        <w:tc>
          <w:tcPr>
            <w:tcW w:w="50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Office</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Square feet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768,459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970,072</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1,016,427</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648,291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2,115,281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1,384,604</w:t>
            </w:r>
          </w:p>
        </w:tc>
      </w:tr>
      <w:tr>
        <w:trPr>
          <w:trHeight w:val="168"/>
        </w:trPr>
        <w:tc>
          <w:tcPr>
            <w:tcW w:w="50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Tenant improvement and lease commissions p.s.f.</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$ 10.66</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$ 11.40</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$ 10.83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$ 9.82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$ 10.60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$ 12.38</w:t>
            </w:r>
          </w:p>
        </w:tc>
      </w:tr>
      <w:tr>
        <w:trPr>
          <w:trHeight w:val="168"/>
        </w:trPr>
        <w:tc>
          <w:tcPr>
            <w:tcW w:w="50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R&amp;D</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Square feet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177,073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337,676</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169,878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113,428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167,231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255,430</w:t>
            </w:r>
          </w:p>
        </w:tc>
      </w:tr>
      <w:tr>
        <w:trPr>
          <w:trHeight w:val="168"/>
        </w:trPr>
        <w:tc>
          <w:tcPr>
            <w:tcW w:w="50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Tenant improvement and lease commissions p.s.f.</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$ 6.99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$ 10.45</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$ 2.22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$ 3.32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$ 1.94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$ 0.71</w:t>
            </w:r>
          </w:p>
        </w:tc>
      </w:tr>
      <w:tr>
        <w:trPr>
          <w:trHeight w:val="168"/>
        </w:trPr>
        <w:tc>
          <w:tcPr>
            <w:tcW w:w="50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Industrial</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Square feet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308,388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128,148</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258,795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320,608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163,962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50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Tenant improvement and lease commissions p.s.f.</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$ 1.00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$ 1.71</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$ 0.99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$ 0.60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$ 11.04</w:t>
            </w:r>
          </w:p>
        </w:tc>
      </w:tr>
      <w:tr>
        <w:trPr>
          <w:trHeight w:val="168"/>
        </w:trPr>
        <w:tc>
          <w:tcPr>
            <w:tcW w:w="50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Average tenant improvement and lease commission p.s.f.</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$ 7.77</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$ 10.31</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$ 8.06</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$ 6.57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$ 9.34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$ 10.57</w:t>
            </w:r>
          </w:p>
        </w:tc>
      </w:tr>
      <w:tr>
        <w:trPr>
          <w:trHeight w:val="168"/>
        </w:trPr>
        <w:tc>
          <w:tcPr>
            <w:tcW w:w="50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040" w:type="dxa"/>
            <w:vAlign w:val="bottom"/>
          </w:tcPr>
          <w:p>
            <w:pPr>
              <w:ind w:left="3420"/>
              <w:spacing w:after="0"/>
              <w:rPr>
                <w:sz w:val="20"/>
                <w:szCs w:val="20"/>
                <w:color w:val="auto"/>
              </w:rPr>
            </w:pPr>
            <w:r>
              <w:rPr>
                <w:rFonts w:ascii="Courier New" w:cs="Courier New" w:eastAsia="Courier New" w:hAnsi="Courier New"/>
                <w:sz w:val="15"/>
                <w:szCs w:val="15"/>
                <w:color w:val="auto"/>
              </w:rPr>
              <w:t>32</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60"/>
          </w:cols>
          <w:pgMar w:left="220" w:top="785" w:right="219" w:bottom="1440" w:gutter="0" w:footer="0" w:header="0"/>
        </w:sectPr>
      </w:pPr>
    </w:p>
    <w:bookmarkStart w:id="36" w:name="page37"/>
    <w:bookmarkEnd w:id="36"/>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VALUE CREATION PIPELINE - ACQUISITIONS/DISPOSITIONS</w:t>
      </w:r>
    </w:p>
    <w:p>
      <w:pPr>
        <w:jc w:val="center"/>
        <w:ind w:right="4520"/>
        <w:spacing w:after="0" w:line="237" w:lineRule="auto"/>
        <w:rPr>
          <w:sz w:val="20"/>
          <w:szCs w:val="20"/>
          <w:color w:val="auto"/>
        </w:rPr>
      </w:pPr>
      <w:r>
        <w:rPr>
          <w:rFonts w:ascii="Courier New" w:cs="Courier New" w:eastAsia="Courier New" w:hAnsi="Courier New"/>
          <w:sz w:val="15"/>
          <w:szCs w:val="15"/>
          <w:color w:val="auto"/>
        </w:rPr>
        <w:t>AS OF MARCH 31, 2000</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ACQUISITIONS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ANTICIPATED</w:t>
            </w:r>
          </w:p>
        </w:tc>
        <w:tc>
          <w:tcPr>
            <w:tcW w:w="18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INITIAL</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FUTURE</w:t>
            </w:r>
          </w:p>
        </w:tc>
        <w:tc>
          <w:tcPr>
            <w:tcW w:w="400" w:type="dxa"/>
            <w:vAlign w:val="bottom"/>
          </w:tcPr>
          <w:p>
            <w:pPr>
              <w:spacing w:after="0"/>
              <w:rPr>
                <w:sz w:val="14"/>
                <w:szCs w:val="14"/>
                <w:color w:val="auto"/>
              </w:rPr>
            </w:pPr>
          </w:p>
        </w:tc>
        <w:tc>
          <w:tcPr>
            <w:tcW w:w="18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TOTAL</w:t>
            </w:r>
          </w:p>
        </w:tc>
        <w:tc>
          <w:tcPr>
            <w:tcW w:w="9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CURRENT</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w:t>
            </w:r>
          </w:p>
        </w:tc>
        <w:tc>
          <w:tcPr>
            <w:tcW w:w="6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DATE ACQUIRED</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SQUARE FEET</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INVESTMENT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INVESTMENT</w:t>
            </w:r>
          </w:p>
        </w:tc>
        <w:tc>
          <w:tcPr>
            <w:tcW w:w="400" w:type="dxa"/>
            <w:vAlign w:val="bottom"/>
          </w:tcPr>
          <w:p>
            <w:pPr>
              <w:spacing w:after="0"/>
              <w:rPr>
                <w:sz w:val="14"/>
                <w:szCs w:val="14"/>
                <w:color w:val="auto"/>
              </w:rPr>
            </w:pP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INVESTMENT</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OCCUPANCY</w:t>
            </w:r>
          </w:p>
        </w:tc>
      </w:tr>
      <w:tr>
        <w:trPr>
          <w:trHeight w:val="168"/>
        </w:trPr>
        <w:tc>
          <w:tcPr>
            <w:tcW w:w="220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ACQUISITIONS</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A OFFICE BUILDINGS</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28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One and Two Reston Overlook</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Jan-00</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444,286</w:t>
            </w:r>
          </w:p>
        </w:tc>
        <w:tc>
          <w:tcPr>
            <w:tcW w:w="1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$ 15,200,000</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88"/>
              </w:rPr>
              <w:t>-</w:t>
            </w:r>
          </w:p>
        </w:tc>
        <w:tc>
          <w:tcPr>
            <w:tcW w:w="1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$ 15,200,000 (1)</w:t>
            </w:r>
          </w:p>
        </w:tc>
        <w:tc>
          <w:tcPr>
            <w:tcW w:w="9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28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504, 506, 508 Carnegie Center</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Mar-00</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408,163</w:t>
            </w:r>
          </w:p>
        </w:tc>
        <w:tc>
          <w:tcPr>
            <w:tcW w:w="1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66,500,000</w:t>
            </w:r>
          </w:p>
        </w:tc>
        <w:tc>
          <w:tcPr>
            <w:tcW w:w="1140" w:type="dxa"/>
            <w:vAlign w:val="bottom"/>
          </w:tcPr>
          <w:p>
            <w:pPr>
              <w:spacing w:after="0"/>
              <w:rPr>
                <w:sz w:val="14"/>
                <w:szCs w:val="14"/>
                <w:color w:val="auto"/>
              </w:rPr>
            </w:pPr>
          </w:p>
        </w:tc>
        <w:tc>
          <w:tcPr>
            <w:tcW w:w="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88"/>
              </w:rPr>
              <w:t>-</w:t>
            </w: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66,500,000</w:t>
            </w:r>
          </w:p>
        </w:tc>
        <w:tc>
          <w:tcPr>
            <w:tcW w:w="9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2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TOTAL VALUE CREATION PIPELINE -</w:t>
            </w:r>
          </w:p>
        </w:tc>
        <w:tc>
          <w:tcPr>
            <w:tcW w:w="124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852,449</w:t>
            </w:r>
          </w:p>
        </w:tc>
        <w:tc>
          <w:tcPr>
            <w:tcW w:w="1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$ 81,700,000</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88"/>
              </w:rPr>
              <w:t>-</w:t>
            </w: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$ 81,700,000</w:t>
            </w:r>
          </w:p>
        </w:tc>
        <w:tc>
          <w:tcPr>
            <w:tcW w:w="9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ACQUISITIONS</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2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DISPOSITIONS</w:t>
            </w: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841"/>
        </w:trPr>
        <w:tc>
          <w:tcPr>
            <w:tcW w:w="2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8"/>
              </w:rPr>
              <w:t>CLOSING</w:t>
            </w:r>
          </w:p>
        </w:tc>
        <w:tc>
          <w:tcPr>
            <w:tcW w:w="400" w:type="dxa"/>
            <w:vAlign w:val="bottom"/>
          </w:tcPr>
          <w:p>
            <w:pPr>
              <w:spacing w:after="0"/>
              <w:rPr>
                <w:sz w:val="24"/>
                <w:szCs w:val="24"/>
                <w:color w:val="auto"/>
              </w:rPr>
            </w:pPr>
          </w:p>
        </w:tc>
        <w:tc>
          <w:tcPr>
            <w:tcW w:w="18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NET</w:t>
            </w:r>
          </w:p>
        </w:tc>
        <w:tc>
          <w:tcPr>
            <w:tcW w:w="940" w:type="dxa"/>
            <w:vAlign w:val="bottom"/>
          </w:tcPr>
          <w:p>
            <w:pPr>
              <w:spacing w:after="0"/>
              <w:rPr>
                <w:sz w:val="24"/>
                <w:szCs w:val="2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w:t>
            </w:r>
          </w:p>
        </w:tc>
        <w:tc>
          <w:tcPr>
            <w:tcW w:w="18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DATE DISPOSED</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SQUARE FEET</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SALE PRICE</w:t>
            </w:r>
          </w:p>
        </w:tc>
        <w:tc>
          <w:tcPr>
            <w:tcW w:w="114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COSTS</w:t>
            </w:r>
          </w:p>
        </w:tc>
        <w:tc>
          <w:tcPr>
            <w:tcW w:w="400" w:type="dxa"/>
            <w:vAlign w:val="bottom"/>
          </w:tcPr>
          <w:p>
            <w:pPr>
              <w:spacing w:after="0"/>
              <w:rPr>
                <w:sz w:val="14"/>
                <w:szCs w:val="14"/>
                <w:color w:val="auto"/>
              </w:rPr>
            </w:pP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BOOK VALUE</w:t>
            </w:r>
          </w:p>
        </w:tc>
        <w:tc>
          <w:tcPr>
            <w:tcW w:w="9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GAIN</w:t>
            </w:r>
          </w:p>
        </w:tc>
      </w:tr>
      <w:tr>
        <w:trPr>
          <w:trHeight w:val="168"/>
        </w:trPr>
        <w:tc>
          <w:tcPr>
            <w:tcW w:w="220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w w:val="95"/>
              </w:rPr>
              <w:t>- --------</w:t>
            </w: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ACTIVITY</w:t>
      </w:r>
    </w:p>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acquisition of the joint venture partner's 75% interest.</w:t>
      </w:r>
    </w:p>
    <w:p>
      <w:pPr>
        <w:spacing w:after="0" w:line="334" w:lineRule="exact"/>
        <w:rPr>
          <w:rFonts w:ascii="Courier New" w:cs="Courier New" w:eastAsia="Courier New" w:hAnsi="Courier New"/>
          <w:sz w:val="15"/>
          <w:szCs w:val="15"/>
          <w:color w:val="auto"/>
        </w:rPr>
      </w:pPr>
    </w:p>
    <w:p>
      <w:pPr>
        <w:ind w:left="3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w:t>
      </w:r>
    </w:p>
    <w:p>
      <w:pPr>
        <w:sectPr>
          <w:pgSz w:w="11900" w:h="16838" w:orient="portrait"/>
          <w:cols w:equalWidth="0" w:num="1">
            <w:col w:w="11540"/>
          </w:cols>
          <w:pgMar w:left="220" w:top="785" w:right="139" w:bottom="1440" w:gutter="0" w:footer="0" w:header="0"/>
        </w:sectPr>
      </w:pPr>
    </w:p>
    <w:bookmarkStart w:id="37" w:name="page38"/>
    <w:bookmarkEnd w:id="37"/>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VALUE CREATION PIPELINE - CONSTRUCTION IN PROGRESS</w:t>
      </w:r>
    </w:p>
    <w:p>
      <w:pPr>
        <w:jc w:val="center"/>
        <w:ind w:right="3840"/>
        <w:spacing w:after="0" w:line="237" w:lineRule="auto"/>
        <w:rPr>
          <w:sz w:val="20"/>
          <w:szCs w:val="20"/>
          <w:color w:val="auto"/>
        </w:rPr>
      </w:pPr>
      <w:r>
        <w:rPr>
          <w:rFonts w:ascii="Courier New" w:cs="Courier New" w:eastAsia="Courier New" w:hAnsi="Courier New"/>
          <w:sz w:val="15"/>
          <w:szCs w:val="15"/>
          <w:color w:val="auto"/>
        </w:rPr>
        <w:t>AS OF MARCH 31, 2000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 OF</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DEVELOPMENT PROPERTIES</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INITIAL OCCUPANCY</w:t>
            </w:r>
          </w:p>
        </w:tc>
        <w:tc>
          <w:tcPr>
            <w:tcW w:w="220" w:type="dxa"/>
            <w:vAlign w:val="bottom"/>
          </w:tcPr>
          <w:p>
            <w:pPr>
              <w:spacing w:after="0"/>
              <w:rPr>
                <w:sz w:val="14"/>
                <w:szCs w:val="14"/>
                <w:color w:val="auto"/>
              </w:rPr>
            </w:pPr>
          </w:p>
        </w:tc>
        <w:tc>
          <w:tcPr>
            <w:tcW w:w="214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STABILIZATION DATE</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LOCATION</w:t>
            </w: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BUILDINGS</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8"/>
              </w:rPr>
              <w:t>-----------------</w:t>
            </w:r>
          </w:p>
        </w:tc>
        <w:tc>
          <w:tcPr>
            <w:tcW w:w="2140" w:type="dxa"/>
            <w:vAlign w:val="bottom"/>
            <w:gridSpan w:val="3"/>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CLASS A OFFICE BUILDINGS</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 Square North (50% ownership)</w:t>
            </w:r>
          </w:p>
        </w:tc>
        <w:tc>
          <w:tcPr>
            <w:tcW w:w="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88"/>
              </w:rPr>
              <w:t>Q1</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Q4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2000</w:t>
            </w:r>
          </w:p>
        </w:tc>
        <w:tc>
          <w:tcPr>
            <w:tcW w:w="2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Washington, DC</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Orbital Sciences Phase I - Building 1 &amp; 3</w:t>
            </w:r>
          </w:p>
        </w:tc>
        <w:tc>
          <w:tcPr>
            <w:tcW w:w="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88"/>
              </w:rPr>
              <w:t>Q2</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Q2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2000</w:t>
            </w:r>
          </w:p>
        </w:tc>
        <w:tc>
          <w:tcPr>
            <w:tcW w:w="2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Dulles, VA</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Dominion Tech Park - Building 1</w:t>
            </w:r>
          </w:p>
        </w:tc>
        <w:tc>
          <w:tcPr>
            <w:tcW w:w="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88"/>
              </w:rPr>
              <w:t>Q4</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Q4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2000</w:t>
            </w:r>
          </w:p>
        </w:tc>
        <w:tc>
          <w:tcPr>
            <w:tcW w:w="2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Herndon, VA</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302 Carnegie Center</w:t>
            </w:r>
          </w:p>
        </w:tc>
        <w:tc>
          <w:tcPr>
            <w:tcW w:w="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88"/>
              </w:rPr>
              <w:t>Q4</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Q2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2001</w:t>
            </w:r>
          </w:p>
        </w:tc>
        <w:tc>
          <w:tcPr>
            <w:tcW w:w="2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Princeton, NJ</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2600 Tower Oaks Boulevard</w:t>
            </w:r>
          </w:p>
        </w:tc>
        <w:tc>
          <w:tcPr>
            <w:tcW w:w="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88"/>
              </w:rPr>
              <w:t>Q4</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Q3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2001</w:t>
            </w:r>
          </w:p>
        </w:tc>
        <w:tc>
          <w:tcPr>
            <w:tcW w:w="2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Rockville, MD</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140 Kendrick Street</w:t>
            </w:r>
          </w:p>
        </w:tc>
        <w:tc>
          <w:tcPr>
            <w:tcW w:w="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88"/>
              </w:rPr>
              <w:t>Q1</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Q1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2001</w:t>
            </w:r>
          </w:p>
        </w:tc>
        <w:tc>
          <w:tcPr>
            <w:tcW w:w="2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Needham, MA</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Orbital Sciences Phase II - Building 2</w:t>
            </w:r>
          </w:p>
        </w:tc>
        <w:tc>
          <w:tcPr>
            <w:tcW w:w="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88"/>
              </w:rPr>
              <w:t>Q2</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Q2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2001</w:t>
            </w:r>
          </w:p>
        </w:tc>
        <w:tc>
          <w:tcPr>
            <w:tcW w:w="2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Dulles, VA</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111 Huntington Avenue - Prudential Center</w:t>
            </w:r>
          </w:p>
        </w:tc>
        <w:tc>
          <w:tcPr>
            <w:tcW w:w="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88"/>
              </w:rPr>
              <w:t>Q3</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Q4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2002</w:t>
            </w:r>
          </w:p>
        </w:tc>
        <w:tc>
          <w:tcPr>
            <w:tcW w:w="2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Boston, MA</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 Times Square</w:t>
            </w:r>
          </w:p>
        </w:tc>
        <w:tc>
          <w:tcPr>
            <w:tcW w:w="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88"/>
              </w:rPr>
              <w:t>Q4</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Q2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2002</w:t>
            </w:r>
          </w:p>
        </w:tc>
        <w:tc>
          <w:tcPr>
            <w:tcW w:w="2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New York, NY</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TOTAL DEVELOPMENT PROPERTIES</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ind w:left="540"/>
              <w:spacing w:after="0"/>
              <w:rPr>
                <w:sz w:val="20"/>
                <w:szCs w:val="20"/>
                <w:color w:val="auto"/>
              </w:rPr>
            </w:pPr>
            <w:r>
              <w:rPr>
                <w:rFonts w:ascii="Courier New" w:cs="Courier New" w:eastAsia="Courier New" w:hAnsi="Courier New"/>
                <w:sz w:val="15"/>
                <w:szCs w:val="15"/>
                <w:color w:val="auto"/>
              </w:rPr>
              <w:t>12</w:t>
            </w:r>
          </w:p>
        </w:tc>
      </w:tr>
      <w:tr>
        <w:trPr>
          <w:trHeight w:val="168"/>
        </w:trPr>
        <w:tc>
          <w:tcPr>
            <w:tcW w:w="3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ANTICIPATED</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CURRENT</w:t>
            </w:r>
          </w:p>
        </w:tc>
      </w:tr>
      <w:tr>
        <w:trPr>
          <w:trHeight w:val="168"/>
        </w:trPr>
        <w:tc>
          <w:tcPr>
            <w:tcW w:w="3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INVESTMENT</w:t>
            </w:r>
          </w:p>
        </w:tc>
        <w:tc>
          <w:tcPr>
            <w:tcW w:w="78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TOTAL</w:t>
            </w:r>
          </w:p>
        </w:tc>
        <w:tc>
          <w:tcPr>
            <w:tcW w:w="15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PERCENTAGE</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DEVELOPMENT PROPERTIES</w:t>
            </w:r>
          </w:p>
        </w:tc>
        <w:tc>
          <w:tcPr>
            <w:tcW w:w="16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SQUARE FEET</w:t>
            </w:r>
          </w:p>
        </w:tc>
        <w:tc>
          <w:tcPr>
            <w:tcW w:w="2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 DATE</w:t>
            </w:r>
          </w:p>
        </w:tc>
        <w:tc>
          <w:tcPr>
            <w:tcW w:w="340" w:type="dxa"/>
            <w:vAlign w:val="bottom"/>
          </w:tcPr>
          <w:p>
            <w:pPr>
              <w:spacing w:after="0"/>
              <w:rPr>
                <w:sz w:val="14"/>
                <w:szCs w:val="14"/>
                <w:color w:val="auto"/>
              </w:rPr>
            </w:pPr>
          </w:p>
        </w:tc>
        <w:tc>
          <w:tcPr>
            <w:tcW w:w="2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INVESTMENT</w:t>
            </w:r>
          </w:p>
        </w:tc>
        <w:tc>
          <w:tcPr>
            <w:tcW w:w="15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LEASED</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CLASS A OFFICE BUILDINGS</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Market Square North (50% ownership)</w:t>
            </w:r>
          </w:p>
        </w:tc>
        <w:tc>
          <w:tcPr>
            <w:tcW w:w="16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409,843</w:t>
            </w:r>
          </w:p>
        </w:tc>
        <w:tc>
          <w:tcPr>
            <w:tcW w:w="2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$ 47,332,951</w:t>
            </w:r>
          </w:p>
        </w:tc>
        <w:tc>
          <w:tcPr>
            <w:tcW w:w="7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w w:val="95"/>
              </w:rPr>
              <w:t>$ 61,631,239 (1)</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87%</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Orbital Sciences Phase I - Building 1 &amp; 3</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174,832</w:t>
            </w:r>
          </w:p>
        </w:tc>
        <w:tc>
          <w:tcPr>
            <w:tcW w:w="22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23,535,844</w:t>
            </w:r>
          </w:p>
        </w:tc>
        <w:tc>
          <w:tcPr>
            <w:tcW w:w="7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33,100,000</w:t>
            </w:r>
          </w:p>
        </w:tc>
        <w:tc>
          <w:tcPr>
            <w:tcW w:w="15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Dominion Tech Park - Building 1</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235,201</w:t>
            </w:r>
          </w:p>
        </w:tc>
        <w:tc>
          <w:tcPr>
            <w:tcW w:w="22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18,656,698</w:t>
            </w:r>
          </w:p>
        </w:tc>
        <w:tc>
          <w:tcPr>
            <w:tcW w:w="7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48,800,000</w:t>
            </w:r>
          </w:p>
        </w:tc>
        <w:tc>
          <w:tcPr>
            <w:tcW w:w="15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302 Carnegie Center</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64,565</w:t>
            </w:r>
          </w:p>
        </w:tc>
        <w:tc>
          <w:tcPr>
            <w:tcW w:w="22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4,385,684</w:t>
            </w:r>
          </w:p>
        </w:tc>
        <w:tc>
          <w:tcPr>
            <w:tcW w:w="7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12,900,000</w:t>
            </w:r>
          </w:p>
        </w:tc>
        <w:tc>
          <w:tcPr>
            <w:tcW w:w="15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2600 Tower Oaks Boulevard</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178,216</w:t>
            </w:r>
          </w:p>
        </w:tc>
        <w:tc>
          <w:tcPr>
            <w:tcW w:w="22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7,369,012</w:t>
            </w:r>
          </w:p>
        </w:tc>
        <w:tc>
          <w:tcPr>
            <w:tcW w:w="7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38,295,000</w:t>
            </w:r>
          </w:p>
        </w:tc>
        <w:tc>
          <w:tcPr>
            <w:tcW w:w="15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140 Kendrick Street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381,000</w:t>
            </w:r>
          </w:p>
        </w:tc>
        <w:tc>
          <w:tcPr>
            <w:tcW w:w="22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45,416,596</w:t>
            </w:r>
          </w:p>
        </w:tc>
        <w:tc>
          <w:tcPr>
            <w:tcW w:w="78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80,856,000 (2)</w:t>
            </w:r>
          </w:p>
        </w:tc>
        <w:tc>
          <w:tcPr>
            <w:tcW w:w="15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Orbital Sciences Phase II - Building 2</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160,502</w:t>
            </w:r>
          </w:p>
        </w:tc>
        <w:tc>
          <w:tcPr>
            <w:tcW w:w="22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3,576,929</w:t>
            </w:r>
          </w:p>
        </w:tc>
        <w:tc>
          <w:tcPr>
            <w:tcW w:w="7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28,018,000</w:t>
            </w:r>
          </w:p>
        </w:tc>
        <w:tc>
          <w:tcPr>
            <w:tcW w:w="15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111 Huntington Avenue - Prudential Center</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890,000</w:t>
            </w:r>
          </w:p>
        </w:tc>
        <w:tc>
          <w:tcPr>
            <w:tcW w:w="22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93,395,401</w:t>
            </w:r>
          </w:p>
        </w:tc>
        <w:tc>
          <w:tcPr>
            <w:tcW w:w="7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290,000,000</w:t>
            </w:r>
          </w:p>
        </w:tc>
        <w:tc>
          <w:tcPr>
            <w:tcW w:w="15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 Times Square</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1,099,154</w:t>
            </w:r>
          </w:p>
        </w:tc>
        <w:tc>
          <w:tcPr>
            <w:tcW w:w="22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206,015,236</w:t>
            </w:r>
          </w:p>
        </w:tc>
        <w:tc>
          <w:tcPr>
            <w:tcW w:w="7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536,100,000</w:t>
            </w:r>
          </w:p>
        </w:tc>
        <w:tc>
          <w:tcPr>
            <w:tcW w:w="15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940" w:type="dxa"/>
            <w:vAlign w:val="bottom"/>
          </w:tcPr>
          <w:p>
            <w:pPr>
              <w:spacing w:after="0"/>
              <w:rPr>
                <w:sz w:val="14"/>
                <w:szCs w:val="14"/>
                <w:color w:val="auto"/>
              </w:rPr>
            </w:pP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2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TOTAL DEVELOPMENT PROPERTIES</w:t>
            </w:r>
          </w:p>
        </w:tc>
        <w:tc>
          <w:tcPr>
            <w:tcW w:w="16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3,593,313</w:t>
            </w:r>
          </w:p>
        </w:tc>
        <w:tc>
          <w:tcPr>
            <w:tcW w:w="220" w:type="dxa"/>
            <w:vAlign w:val="bottom"/>
          </w:tcPr>
          <w:p>
            <w:pPr>
              <w:spacing w:after="0"/>
              <w:rPr>
                <w:sz w:val="24"/>
                <w:szCs w:val="24"/>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$ 449,684,351</w:t>
            </w:r>
          </w:p>
        </w:tc>
        <w:tc>
          <w:tcPr>
            <w:tcW w:w="2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$ 1,129,700,239</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76%</w:t>
            </w:r>
          </w:p>
        </w:tc>
      </w:tr>
      <w:tr>
        <w:trPr>
          <w:trHeight w:val="168"/>
        </w:trPr>
        <w:tc>
          <w:tcPr>
            <w:tcW w:w="3940" w:type="dxa"/>
            <w:vAlign w:val="bottom"/>
          </w:tcPr>
          <w:p>
            <w:pPr>
              <w:spacing w:after="0"/>
              <w:rPr>
                <w:sz w:val="14"/>
                <w:szCs w:val="14"/>
                <w:color w:val="auto"/>
              </w:rPr>
            </w:pP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2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673"/>
        </w:trPr>
        <w:tc>
          <w:tcPr>
            <w:tcW w:w="56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DEVELOPMENTS PLACED-IN-SERVICE DURING 2000</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841"/>
        </w:trPr>
        <w:tc>
          <w:tcPr>
            <w:tcW w:w="3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PLACED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 OF</w:t>
            </w:r>
          </w:p>
        </w:tc>
        <w:tc>
          <w:tcPr>
            <w:tcW w:w="1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INVESTMENT</w:t>
            </w:r>
          </w:p>
        </w:tc>
      </w:tr>
      <w:tr>
        <w:trPr>
          <w:trHeight w:val="168"/>
        </w:trPr>
        <w:tc>
          <w:tcPr>
            <w:tcW w:w="3940" w:type="dxa"/>
            <w:vAlign w:val="bottom"/>
          </w:tcPr>
          <w:p>
            <w:pPr>
              <w:spacing w:after="0"/>
              <w:rPr>
                <w:sz w:val="14"/>
                <w:szCs w:val="14"/>
                <w:color w:val="auto"/>
              </w:rPr>
            </w:pPr>
          </w:p>
        </w:tc>
        <w:tc>
          <w:tcPr>
            <w:tcW w:w="1880" w:type="dxa"/>
            <w:vAlign w:val="bottom"/>
            <w:gridSpan w:val="3"/>
          </w:tcPr>
          <w:p>
            <w:pPr>
              <w:ind w:left="540"/>
              <w:spacing w:after="0" w:line="168" w:lineRule="exact"/>
              <w:rPr>
                <w:sz w:val="20"/>
                <w:szCs w:val="20"/>
                <w:color w:val="auto"/>
              </w:rPr>
            </w:pPr>
            <w:r>
              <w:rPr>
                <w:rFonts w:ascii="Courier New" w:cs="Courier New" w:eastAsia="Courier New" w:hAnsi="Courier New"/>
                <w:sz w:val="15"/>
                <w:szCs w:val="15"/>
                <w:color w:val="auto"/>
                <w:w w:val="97"/>
              </w:rPr>
              <w:t>IN SERVICE DATE</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LOCATION</w:t>
            </w:r>
          </w:p>
        </w:tc>
        <w:tc>
          <w:tcPr>
            <w:tcW w:w="34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BUILDINGS</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SQUARE FEET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 DATE</w:t>
            </w:r>
          </w:p>
        </w:tc>
      </w:tr>
      <w:tr>
        <w:trPr>
          <w:trHeight w:val="168"/>
        </w:trPr>
        <w:tc>
          <w:tcPr>
            <w:tcW w:w="3940" w:type="dxa"/>
            <w:vAlign w:val="bottom"/>
          </w:tcPr>
          <w:p>
            <w:pPr>
              <w:spacing w:after="0"/>
              <w:rPr>
                <w:sz w:val="14"/>
                <w:szCs w:val="14"/>
                <w:color w:val="auto"/>
              </w:rPr>
            </w:pPr>
          </w:p>
        </w:tc>
        <w:tc>
          <w:tcPr>
            <w:tcW w:w="1880" w:type="dxa"/>
            <w:vAlign w:val="bottom"/>
            <w:gridSpan w:val="3"/>
          </w:tcPr>
          <w:p>
            <w:pPr>
              <w:ind w:left="540"/>
              <w:spacing w:after="0" w:line="168" w:lineRule="exact"/>
              <w:rPr>
                <w:sz w:val="20"/>
                <w:szCs w:val="20"/>
                <w:color w:val="auto"/>
              </w:rPr>
            </w:pPr>
            <w:r>
              <w:rPr>
                <w:rFonts w:ascii="Courier New" w:cs="Courier New" w:eastAsia="Courier New" w:hAnsi="Courier New"/>
                <w:sz w:val="15"/>
                <w:szCs w:val="15"/>
                <w:color w:val="auto"/>
                <w:w w:val="97"/>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gridSpan w:val="3"/>
          </w:tcPr>
          <w:p>
            <w:pPr>
              <w:spacing w:after="0"/>
              <w:rPr>
                <w:sz w:val="20"/>
                <w:szCs w:val="20"/>
                <w:color w:val="auto"/>
              </w:rPr>
            </w:pPr>
            <w:r>
              <w:rPr>
                <w:rFonts w:ascii="Courier New" w:cs="Courier New" w:eastAsia="Courier New" w:hAnsi="Courier New"/>
                <w:sz w:val="15"/>
                <w:szCs w:val="15"/>
                <w:color w:val="auto"/>
                <w:w w:val="99"/>
              </w:rPr>
              <w:t>NO DEVELOPMENT PROPERTIES PLACED IN SERVICE DURING THIS PERIOD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05"/>
        </w:trPr>
        <w:tc>
          <w:tcPr>
            <w:tcW w:w="3940" w:type="dxa"/>
            <w:vAlign w:val="bottom"/>
          </w:tcPr>
          <w:p>
            <w:pPr>
              <w:spacing w:after="0"/>
              <w:rPr>
                <w:sz w:val="24"/>
                <w:szCs w:val="24"/>
                <w:color w:val="auto"/>
              </w:rPr>
            </w:pPr>
          </w:p>
        </w:tc>
        <w:tc>
          <w:tcPr>
            <w:tcW w:w="166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24"/>
                <w:szCs w:val="24"/>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PERCENTAGE</w:t>
            </w: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394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INVESTMENT</w:t>
            </w:r>
          </w:p>
        </w:tc>
        <w:tc>
          <w:tcPr>
            <w:tcW w:w="220" w:type="dxa"/>
            <w:vAlign w:val="bottom"/>
          </w:tcPr>
          <w:p>
            <w:pPr>
              <w:spacing w:after="0"/>
              <w:rPr>
                <w:sz w:val="14"/>
                <w:szCs w:val="14"/>
                <w:color w:val="auto"/>
              </w:rPr>
            </w:pPr>
          </w:p>
        </w:tc>
        <w:tc>
          <w:tcPr>
            <w:tcW w:w="10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LEASED</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66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DEVELOPMENT PROPERTIES PLACED IN SERVICE DURING THIS PERIOD</w:t>
      </w:r>
    </w:p>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50% of the total anticipated project-level investment. #REF!</w:t>
      </w:r>
    </w:p>
    <w:p>
      <w:pPr>
        <w:spacing w:after="0" w:line="172" w:lineRule="exact"/>
        <w:rPr>
          <w:rFonts w:ascii="Courier New" w:cs="Courier New" w:eastAsia="Courier New" w:hAnsi="Courier New"/>
          <w:sz w:val="15"/>
          <w:szCs w:val="15"/>
          <w:color w:val="auto"/>
        </w:rPr>
      </w:pPr>
    </w:p>
    <w:p>
      <w:pPr>
        <w:ind w:left="440" w:right="3860" w:hanging="430"/>
        <w:spacing w:after="0" w:line="234"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tenant work paid by the developer until completion that is estimated to be $16.4 million.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860"/>
          </w:cols>
          <w:pgMar w:left="220" w:top="785" w:right="819" w:bottom="1440" w:gutter="0" w:footer="0" w:header="0"/>
        </w:sectPr>
      </w:pPr>
    </w:p>
    <w:bookmarkStart w:id="38" w:name="page39"/>
    <w:bookmarkEnd w:id="38"/>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VALUE CREATION PIPELINE - OWNED LAND PARCELS</w:t>
      </w:r>
    </w:p>
    <w:p>
      <w:pPr>
        <w:jc w:val="center"/>
        <w:ind w:right="3219"/>
        <w:spacing w:after="0" w:line="237" w:lineRule="auto"/>
        <w:rPr>
          <w:sz w:val="20"/>
          <w:szCs w:val="20"/>
          <w:color w:val="auto"/>
        </w:rPr>
      </w:pPr>
      <w:r>
        <w:rPr>
          <w:rFonts w:ascii="Courier New" w:cs="Courier New" w:eastAsia="Courier New" w:hAnsi="Courier New"/>
          <w:sz w:val="15"/>
          <w:szCs w:val="15"/>
          <w:color w:val="auto"/>
        </w:rPr>
        <w:t>AS OF MARCH 31, 2000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12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NO. OF</w:t>
            </w:r>
          </w:p>
        </w:tc>
        <w:tc>
          <w:tcPr>
            <w:tcW w:w="130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DEVELOPABLE</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PARCELS</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ACREAGE</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SQUARE FEET</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S. San Francisco, CA</w:t>
            </w:r>
          </w:p>
        </w:tc>
        <w:tc>
          <w:tcPr>
            <w:tcW w:w="12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376,425</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Andover, MA</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230,000</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Boston, MA (1)</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839,000</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Waltham, MA</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418,000</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Rockville, MD (2)</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111.5</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1,378,216</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Dulles, VA</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1,061,500</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Herndon, VA</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25.2</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370,200</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Reston, VA</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775,000</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Gaithersburg, MD</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600,000</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Springfield, VA</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130,000</w:t>
            </w:r>
          </w:p>
        </w:tc>
      </w:tr>
      <w:tr>
        <w:trPr>
          <w:trHeight w:val="168"/>
        </w:trPr>
        <w:tc>
          <w:tcPr>
            <w:tcW w:w="190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00" w:type="dxa"/>
            <w:vAlign w:val="bottom"/>
          </w:tcPr>
          <w:p>
            <w:pPr>
              <w:spacing w:after="0"/>
              <w:rPr>
                <w:sz w:val="14"/>
                <w:szCs w:val="14"/>
                <w:color w:val="auto"/>
              </w:rPr>
            </w:pP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327.6</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6,178,341</w:t>
            </w:r>
          </w:p>
        </w:tc>
      </w:tr>
      <w:tr>
        <w:trPr>
          <w:trHeight w:val="168"/>
        </w:trPr>
        <w:tc>
          <w:tcPr>
            <w:tcW w:w="190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Boston Properties has a 50% ownership interest.</w:t>
      </w:r>
    </w:p>
    <w:p>
      <w:pPr>
        <w:spacing w:after="0" w:line="172" w:lineRule="exact"/>
        <w:rPr>
          <w:rFonts w:ascii="Courier New" w:cs="Courier New" w:eastAsia="Courier New" w:hAnsi="Courier New"/>
          <w:sz w:val="15"/>
          <w:szCs w:val="15"/>
          <w:color w:val="auto"/>
        </w:rPr>
      </w:pPr>
    </w:p>
    <w:p>
      <w:pPr>
        <w:ind w:left="440" w:right="3759" w:hanging="430"/>
        <w:spacing w:after="0" w:line="234"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254,000 square feet of building on a 7.5 acre parcel under a ground lease to a third party.</w:t>
      </w:r>
    </w:p>
    <w:p>
      <w:pPr>
        <w:spacing w:after="0" w:line="16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VALUE CREATION PIPELINE - LAND PURCHASE OPTIONS</w:t>
      </w:r>
    </w:p>
    <w:p>
      <w:pPr>
        <w:jc w:val="center"/>
        <w:ind w:right="3219"/>
        <w:spacing w:after="0" w:line="237" w:lineRule="auto"/>
        <w:rPr>
          <w:sz w:val="20"/>
          <w:szCs w:val="20"/>
          <w:color w:val="auto"/>
        </w:rPr>
      </w:pPr>
      <w:r>
        <w:rPr>
          <w:rFonts w:ascii="Courier New" w:cs="Courier New" w:eastAsia="Courier New" w:hAnsi="Courier New"/>
          <w:sz w:val="15"/>
          <w:szCs w:val="15"/>
          <w:color w:val="auto"/>
        </w:rPr>
        <w:t>AS OF MARCH 31, 2000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NO. OF</w:t>
            </w:r>
          </w:p>
        </w:tc>
        <w:tc>
          <w:tcPr>
            <w:tcW w:w="130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DEVELOPABLE</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PARCELS</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ACREAGE</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SQUARE FEET</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Princeton, NJ (1)</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149.9</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1,921,335</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Cambridge, MA (2)</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165,500</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NY (3)</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1,194,918</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Chelmsford, MA (4)</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259,918</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San Jose, CA (5)</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795,000</w:t>
            </w:r>
          </w:p>
        </w:tc>
      </w:tr>
      <w:tr>
        <w:trPr>
          <w:trHeight w:val="168"/>
        </w:trPr>
        <w:tc>
          <w:tcPr>
            <w:tcW w:w="180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182.7</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4,336,671</w:t>
            </w:r>
          </w:p>
        </w:tc>
      </w:tr>
      <w:tr>
        <w:trPr>
          <w:trHeight w:val="168"/>
        </w:trPr>
        <w:tc>
          <w:tcPr>
            <w:tcW w:w="180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$20.00/FAR plus an earnout calulation.</w:t>
      </w:r>
    </w:p>
    <w:p>
      <w:pPr>
        <w:spacing w:after="0" w:line="172" w:lineRule="exact"/>
        <w:rPr>
          <w:rFonts w:ascii="Courier New" w:cs="Courier New" w:eastAsia="Courier New" w:hAnsi="Courier New"/>
          <w:sz w:val="15"/>
          <w:szCs w:val="15"/>
          <w:color w:val="auto"/>
        </w:rPr>
      </w:pPr>
    </w:p>
    <w:p>
      <w:pPr>
        <w:ind w:left="440" w:right="3499" w:hanging="430"/>
        <w:spacing w:after="0" w:line="235" w:lineRule="auto"/>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January 23, 2001 the cost would be $25.02/ SF of land area then $25.92/ SF of land area prior to January 23, 2002. Land area is approximately 108,000 SF.</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$159.75 million for both leasehold interest and ESAC credits.</w:t>
      </w:r>
    </w:p>
    <w:p>
      <w:pPr>
        <w:spacing w:after="0" w:line="172"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$11.54/RSF plus an earnout calculation. Purchase subject to receiving all necessary permits and approvals.</w:t>
      </w:r>
    </w:p>
    <w:p>
      <w:pPr>
        <w:spacing w:after="0" w:line="173"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$ 26.3 million subject to receiving all necessary permits and approvals.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785"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8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BOSTON PROPERTIES, INC.</w:t>
            </w: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2880" w:type="dxa"/>
            <w:vAlign w:val="bottom"/>
            <w:gridSpan w:val="3"/>
          </w:tcPr>
          <w:p>
            <w:pPr>
              <w:ind w:left="700"/>
              <w:spacing w:after="0" w:line="168" w:lineRule="exact"/>
              <w:rPr>
                <w:sz w:val="20"/>
                <w:szCs w:val="20"/>
                <w:color w:val="auto"/>
              </w:rPr>
            </w:pPr>
            <w:r>
              <w:rPr>
                <w:rFonts w:ascii="Courier New" w:cs="Courier New" w:eastAsia="Courier New" w:hAnsi="Courier New"/>
                <w:sz w:val="15"/>
                <w:szCs w:val="15"/>
                <w:color w:val="auto"/>
              </w:rPr>
              <w:t>FIRST QUARTER 2000</w:t>
            </w: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2020" w:type="dxa"/>
            <w:vAlign w:val="bottom"/>
          </w:tcPr>
          <w:p>
            <w:pPr>
              <w:spacing w:after="0"/>
              <w:rPr>
                <w:sz w:val="24"/>
                <w:szCs w:val="24"/>
                <w:color w:val="auto"/>
              </w:rPr>
            </w:pPr>
          </w:p>
        </w:tc>
        <w:tc>
          <w:tcPr>
            <w:tcW w:w="288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ACQUISITION PROPERTY PROFILE</w:t>
            </w: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PROPERTY NAME:</w:t>
            </w:r>
          </w:p>
        </w:tc>
        <w:tc>
          <w:tcPr>
            <w:tcW w:w="4060" w:type="dxa"/>
            <w:vAlign w:val="bottom"/>
            <w:gridSpan w:val="4"/>
          </w:tcPr>
          <w:p>
            <w:pPr>
              <w:ind w:left="780"/>
              <w:spacing w:after="0"/>
              <w:rPr>
                <w:sz w:val="20"/>
                <w:szCs w:val="20"/>
                <w:color w:val="auto"/>
              </w:rPr>
            </w:pPr>
            <w:r>
              <w:rPr>
                <w:rFonts w:ascii="Courier New" w:cs="Courier New" w:eastAsia="Courier New" w:hAnsi="Courier New"/>
                <w:sz w:val="15"/>
                <w:szCs w:val="15"/>
                <w:color w:val="auto"/>
              </w:rPr>
              <w:t>One and Two Reston Overlook</w:t>
            </w: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PRODUCT TYPE:</w:t>
            </w:r>
          </w:p>
        </w:tc>
        <w:tc>
          <w:tcPr>
            <w:tcW w:w="4060" w:type="dxa"/>
            <w:vAlign w:val="bottom"/>
            <w:gridSpan w:val="4"/>
          </w:tcPr>
          <w:p>
            <w:pPr>
              <w:ind w:left="780"/>
              <w:spacing w:after="0"/>
              <w:rPr>
                <w:sz w:val="20"/>
                <w:szCs w:val="20"/>
                <w:color w:val="auto"/>
              </w:rPr>
            </w:pPr>
            <w:r>
              <w:rPr>
                <w:rFonts w:ascii="Courier New" w:cs="Courier New" w:eastAsia="Courier New" w:hAnsi="Courier New"/>
                <w:sz w:val="15"/>
                <w:szCs w:val="15"/>
                <w:color w:val="auto"/>
              </w:rPr>
              <w:t>Two Class A Office Buildings</w:t>
            </w: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28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Reston, Virginia</w:t>
            </w: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28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Class A Office Space</w:t>
            </w: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SIZE:</w:t>
            </w:r>
          </w:p>
        </w:tc>
        <w:tc>
          <w:tcPr>
            <w:tcW w:w="4060" w:type="dxa"/>
            <w:vAlign w:val="bottom"/>
            <w:gridSpan w:val="4"/>
          </w:tcPr>
          <w:p>
            <w:pPr>
              <w:ind w:left="780"/>
              <w:spacing w:after="0"/>
              <w:rPr>
                <w:sz w:val="20"/>
                <w:szCs w:val="20"/>
                <w:color w:val="auto"/>
              </w:rPr>
            </w:pPr>
            <w:r>
              <w:rPr>
                <w:rFonts w:ascii="Courier New" w:cs="Courier New" w:eastAsia="Courier New" w:hAnsi="Courier New"/>
                <w:sz w:val="15"/>
                <w:szCs w:val="15"/>
                <w:color w:val="auto"/>
              </w:rPr>
              <w:t>444,286 net rentable square feet</w:t>
            </w: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YEAR CONSTRUCTED:</w:t>
            </w:r>
          </w:p>
        </w:tc>
        <w:tc>
          <w:tcPr>
            <w:tcW w:w="1360" w:type="dxa"/>
            <w:vAlign w:val="bottom"/>
          </w:tcPr>
          <w:p>
            <w:pPr>
              <w:ind w:left="780"/>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20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$15.2 million</w:t>
            </w:r>
          </w:p>
        </w:tc>
        <w:tc>
          <w:tcPr>
            <w:tcW w:w="8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CLOSING DATE:</w:t>
            </w:r>
          </w:p>
        </w:tc>
        <w:tc>
          <w:tcPr>
            <w:tcW w:w="28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January 12, 2000</w:t>
            </w: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FUTURE INVESTMENT:</w:t>
            </w:r>
          </w:p>
        </w:tc>
        <w:tc>
          <w:tcPr>
            <w:tcW w:w="136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OCCUPANCY LEVEL:</w:t>
            </w:r>
          </w:p>
        </w:tc>
        <w:tc>
          <w:tcPr>
            <w:tcW w:w="1360" w:type="dxa"/>
            <w:vAlign w:val="bottom"/>
          </w:tcPr>
          <w:p>
            <w:pPr>
              <w:ind w:left="780"/>
              <w:spacing w:after="0"/>
              <w:rPr>
                <w:sz w:val="20"/>
                <w:szCs w:val="20"/>
                <w:color w:val="auto"/>
              </w:rPr>
            </w:pPr>
            <w:r>
              <w:rPr>
                <w:rFonts w:ascii="Courier New" w:cs="Courier New" w:eastAsia="Courier New" w:hAnsi="Courier New"/>
                <w:sz w:val="15"/>
                <w:szCs w:val="15"/>
                <w:color w:val="auto"/>
              </w:rPr>
              <w:t>100%</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NUMBER OF TENANTS:</w:t>
            </w:r>
          </w:p>
        </w:tc>
        <w:tc>
          <w:tcPr>
            <w:tcW w:w="1360" w:type="dxa"/>
            <w:vAlign w:val="bottom"/>
          </w:tcPr>
          <w:p>
            <w:pPr>
              <w:ind w:left="780"/>
              <w:spacing w:after="0"/>
              <w:rPr>
                <w:sz w:val="20"/>
                <w:szCs w:val="20"/>
                <w:color w:val="auto"/>
              </w:rPr>
            </w:pPr>
            <w:r>
              <w:rPr>
                <w:rFonts w:ascii="Courier New" w:cs="Courier New" w:eastAsia="Courier New" w:hAnsi="Courier New"/>
                <w:sz w:val="15"/>
                <w:szCs w:val="15"/>
                <w:color w:val="auto"/>
              </w:rPr>
              <w:t>Eight</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FUNDING SOURCE:</w:t>
            </w:r>
          </w:p>
        </w:tc>
        <w:tc>
          <w:tcPr>
            <w:tcW w:w="4060" w:type="dxa"/>
            <w:vAlign w:val="bottom"/>
            <w:gridSpan w:val="4"/>
          </w:tcPr>
          <w:p>
            <w:pPr>
              <w:ind w:left="780"/>
              <w:spacing w:after="0"/>
              <w:rPr>
                <w:sz w:val="20"/>
                <w:szCs w:val="20"/>
                <w:color w:val="auto"/>
              </w:rPr>
            </w:pPr>
            <w:r>
              <w:rPr>
                <w:rFonts w:ascii="Courier New" w:cs="Courier New" w:eastAsia="Courier New" w:hAnsi="Courier New"/>
                <w:sz w:val="15"/>
                <w:szCs w:val="15"/>
                <w:color w:val="auto"/>
              </w:rPr>
              <w:t>Cash and assumption of mortgage debt</w:t>
            </w: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LARGEST TENANT:</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2020" w:type="dxa"/>
            <w:vAlign w:val="bottom"/>
          </w:tcPr>
          <w:p>
            <w:pPr>
              <w:ind w:left="1060"/>
              <w:spacing w:after="0"/>
              <w:rPr>
                <w:sz w:val="20"/>
                <w:szCs w:val="20"/>
                <w:color w:val="auto"/>
              </w:rPr>
            </w:pPr>
            <w:r>
              <w:rPr>
                <w:rFonts w:ascii="Courier New" w:cs="Courier New" w:eastAsia="Courier New" w:hAnsi="Courier New"/>
                <w:sz w:val="15"/>
                <w:szCs w:val="15"/>
                <w:color w:val="auto"/>
              </w:rPr>
              <w:t>COMPANY:</w:t>
            </w:r>
          </w:p>
        </w:tc>
        <w:tc>
          <w:tcPr>
            <w:tcW w:w="1360" w:type="dxa"/>
            <w:vAlign w:val="bottom"/>
          </w:tcPr>
          <w:p>
            <w:pPr>
              <w:ind w:left="780"/>
              <w:spacing w:after="0"/>
              <w:rPr>
                <w:sz w:val="20"/>
                <w:szCs w:val="20"/>
                <w:color w:val="auto"/>
              </w:rPr>
            </w:pPr>
            <w:r>
              <w:rPr>
                <w:rFonts w:ascii="Courier New" w:cs="Courier New" w:eastAsia="Courier New" w:hAnsi="Courier New"/>
                <w:sz w:val="15"/>
                <w:szCs w:val="15"/>
                <w:color w:val="auto"/>
              </w:rPr>
              <w:t>TRW</w:t>
            </w:r>
          </w:p>
        </w:tc>
        <w:tc>
          <w:tcPr>
            <w:tcW w:w="6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SIZE:</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309,689</w:t>
            </w: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LEASE EXPIRATION:</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01/2011</w:t>
            </w:r>
          </w:p>
        </w:tc>
      </w:tr>
    </w:tbl>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acquisition of the joint venture partner's 75% interest.</w:t>
      </w:r>
    </w:p>
    <w:p>
      <w:pPr>
        <w:spacing w:after="0" w:line="334" w:lineRule="exact"/>
        <w:rPr>
          <w:rFonts w:ascii="Courier New" w:cs="Courier New" w:eastAsia="Courier New" w:hAnsi="Courier New"/>
          <w:sz w:val="15"/>
          <w:szCs w:val="15"/>
          <w:color w:val="auto"/>
        </w:rPr>
      </w:pPr>
    </w:p>
    <w:p>
      <w:pPr>
        <w:ind w:left="3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785" w:right="1440" w:bottom="1440" w:gutter="0" w:footer="0" w:header="0"/>
        </w:sectPr>
      </w:pPr>
    </w:p>
    <w:bookmarkStart w:id="40" w:name="page41"/>
    <w:bookmarkEnd w:id="40"/>
    <w:p>
      <w:pPr>
        <w:ind w:left="2460"/>
        <w:spacing w:after="0"/>
        <w:rPr>
          <w:sz w:val="20"/>
          <w:szCs w:val="20"/>
          <w:color w:val="auto"/>
        </w:rPr>
      </w:pPr>
      <w:r>
        <w:rPr>
          <w:rFonts w:ascii="Courier New" w:cs="Courier New" w:eastAsia="Courier New" w:hAnsi="Courier New"/>
          <w:sz w:val="15"/>
          <w:szCs w:val="15"/>
          <w:color w:val="auto"/>
        </w:rPr>
        <w:t>BOSTON PROPERTIES, INC.</w:t>
      </w:r>
    </w:p>
    <w:p>
      <w:pPr>
        <w:ind w:left="2720"/>
        <w:spacing w:after="0" w:line="237" w:lineRule="auto"/>
        <w:rPr>
          <w:sz w:val="20"/>
          <w:szCs w:val="20"/>
          <w:color w:val="auto"/>
        </w:rPr>
      </w:pPr>
      <w:r>
        <w:rPr>
          <w:rFonts w:ascii="Courier New" w:cs="Courier New" w:eastAsia="Courier New" w:hAnsi="Courier New"/>
          <w:sz w:val="15"/>
          <w:szCs w:val="15"/>
          <w:color w:val="auto"/>
        </w:rPr>
        <w:t>FIRST QUARTER 2000</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ACQUISITION PROPERTY PROFILE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PROPERTY NAME:</w:t>
            </w:r>
          </w:p>
        </w:tc>
        <w:tc>
          <w:tcPr>
            <w:tcW w:w="33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504, 506, 508 Carnegie Center</w:t>
            </w:r>
          </w:p>
        </w:tc>
        <w:tc>
          <w:tcPr>
            <w:tcW w:w="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PRODUCT TYPE:</w:t>
            </w:r>
          </w:p>
        </w:tc>
        <w:tc>
          <w:tcPr>
            <w:tcW w:w="33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Three Class A Office Buildings</w:t>
            </w:r>
          </w:p>
        </w:tc>
        <w:tc>
          <w:tcPr>
            <w:tcW w:w="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33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Carnegie Center, Princeton, NJ</w:t>
            </w:r>
          </w:p>
        </w:tc>
        <w:tc>
          <w:tcPr>
            <w:tcW w:w="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2360" w:type="dxa"/>
            <w:vAlign w:val="bottom"/>
          </w:tcPr>
          <w:p>
            <w:pPr>
              <w:ind w:left="520"/>
              <w:spacing w:after="0"/>
              <w:rPr>
                <w:sz w:val="20"/>
                <w:szCs w:val="20"/>
                <w:color w:val="auto"/>
              </w:rPr>
            </w:pPr>
            <w:r>
              <w:rPr>
                <w:rFonts w:ascii="Courier New" w:cs="Courier New" w:eastAsia="Courier New" w:hAnsi="Courier New"/>
                <w:sz w:val="15"/>
                <w:szCs w:val="15"/>
                <w:color w:val="auto"/>
              </w:rPr>
              <w:t>Class A Office Space</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SIZE:</w:t>
            </w:r>
          </w:p>
        </w:tc>
        <w:tc>
          <w:tcPr>
            <w:tcW w:w="332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6"/>
              </w:rPr>
              <w:t>408,163 net rentable square feet</w:t>
            </w:r>
          </w:p>
        </w:tc>
        <w:tc>
          <w:tcPr>
            <w:tcW w:w="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YEAR CONSTRUCTED:</w:t>
            </w:r>
          </w:p>
        </w:tc>
        <w:tc>
          <w:tcPr>
            <w:tcW w:w="2360" w:type="dxa"/>
            <w:vAlign w:val="bottom"/>
          </w:tcPr>
          <w:p>
            <w:pPr>
              <w:ind w:left="520"/>
              <w:spacing w:after="0"/>
              <w:rPr>
                <w:sz w:val="20"/>
                <w:szCs w:val="20"/>
                <w:color w:val="auto"/>
              </w:rPr>
            </w:pPr>
            <w:r>
              <w:rPr>
                <w:rFonts w:ascii="Courier New" w:cs="Courier New" w:eastAsia="Courier New" w:hAnsi="Courier New"/>
                <w:sz w:val="15"/>
                <w:szCs w:val="15"/>
                <w:color w:val="auto"/>
              </w:rPr>
              <w:t>1991</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2360" w:type="dxa"/>
            <w:vAlign w:val="bottom"/>
          </w:tcPr>
          <w:p>
            <w:pPr>
              <w:ind w:left="520"/>
              <w:spacing w:after="0"/>
              <w:rPr>
                <w:sz w:val="20"/>
                <w:szCs w:val="20"/>
                <w:color w:val="auto"/>
              </w:rPr>
            </w:pPr>
            <w:r>
              <w:rPr>
                <w:rFonts w:ascii="Courier New" w:cs="Courier New" w:eastAsia="Courier New" w:hAnsi="Courier New"/>
                <w:sz w:val="15"/>
                <w:szCs w:val="15"/>
                <w:color w:val="auto"/>
              </w:rPr>
              <w:t>$66.5 million</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CLOSING DATE:</w:t>
            </w:r>
          </w:p>
        </w:tc>
        <w:tc>
          <w:tcPr>
            <w:tcW w:w="2360" w:type="dxa"/>
            <w:vAlign w:val="bottom"/>
          </w:tcPr>
          <w:p>
            <w:pPr>
              <w:ind w:left="520"/>
              <w:spacing w:after="0"/>
              <w:rPr>
                <w:sz w:val="20"/>
                <w:szCs w:val="20"/>
                <w:color w:val="auto"/>
              </w:rPr>
            </w:pPr>
            <w:r>
              <w:rPr>
                <w:rFonts w:ascii="Courier New" w:cs="Courier New" w:eastAsia="Courier New" w:hAnsi="Courier New"/>
                <w:sz w:val="15"/>
                <w:szCs w:val="15"/>
                <w:color w:val="auto"/>
              </w:rPr>
              <w:t>March 1, 2000</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FUTURE INVESTMENT:</w:t>
            </w:r>
          </w:p>
        </w:tc>
        <w:tc>
          <w:tcPr>
            <w:tcW w:w="23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OCCUPANCY LEVEL:</w:t>
            </w:r>
          </w:p>
        </w:tc>
        <w:tc>
          <w:tcPr>
            <w:tcW w:w="2360" w:type="dxa"/>
            <w:vAlign w:val="bottom"/>
          </w:tcPr>
          <w:p>
            <w:pPr>
              <w:ind w:left="520"/>
              <w:spacing w:after="0"/>
              <w:rPr>
                <w:sz w:val="20"/>
                <w:szCs w:val="20"/>
                <w:color w:val="auto"/>
              </w:rPr>
            </w:pPr>
            <w:r>
              <w:rPr>
                <w:rFonts w:ascii="Courier New" w:cs="Courier New" w:eastAsia="Courier New" w:hAnsi="Courier New"/>
                <w:sz w:val="15"/>
                <w:szCs w:val="15"/>
                <w:color w:val="auto"/>
              </w:rPr>
              <w:t>100%</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NUMBER OF TENANTS:</w:t>
            </w:r>
          </w:p>
        </w:tc>
        <w:tc>
          <w:tcPr>
            <w:tcW w:w="2360" w:type="dxa"/>
            <w:vAlign w:val="bottom"/>
          </w:tcPr>
          <w:p>
            <w:pPr>
              <w:ind w:left="520"/>
              <w:spacing w:after="0"/>
              <w:rPr>
                <w:sz w:val="20"/>
                <w:szCs w:val="20"/>
                <w:color w:val="auto"/>
              </w:rPr>
            </w:pPr>
            <w:r>
              <w:rPr>
                <w:rFonts w:ascii="Courier New" w:cs="Courier New" w:eastAsia="Courier New" w:hAnsi="Courier New"/>
                <w:sz w:val="15"/>
                <w:szCs w:val="15"/>
                <w:color w:val="auto"/>
              </w:rPr>
              <w:t>Three</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FUNDING SOURCE:</w:t>
            </w:r>
          </w:p>
        </w:tc>
        <w:tc>
          <w:tcPr>
            <w:tcW w:w="7960" w:type="dxa"/>
            <w:vAlign w:val="bottom"/>
            <w:gridSpan w:val="5"/>
          </w:tcPr>
          <w:p>
            <w:pPr>
              <w:ind w:left="520"/>
              <w:spacing w:after="0"/>
              <w:rPr>
                <w:sz w:val="20"/>
                <w:szCs w:val="20"/>
                <w:color w:val="auto"/>
              </w:rPr>
            </w:pPr>
            <w:r>
              <w:rPr>
                <w:rFonts w:ascii="Courier New" w:cs="Courier New" w:eastAsia="Courier New" w:hAnsi="Courier New"/>
                <w:sz w:val="15"/>
                <w:szCs w:val="15"/>
                <w:color w:val="auto"/>
                <w:w w:val="96"/>
              </w:rPr>
              <w:t>Assumption of mortgage debt of $49.0 million and the issuance of 577,817 common units</w:t>
            </w:r>
          </w:p>
        </w:tc>
      </w:tr>
      <w:tr>
        <w:trPr>
          <w:trHeight w:val="168"/>
        </w:trPr>
        <w:tc>
          <w:tcPr>
            <w:tcW w:w="2280" w:type="dxa"/>
            <w:vAlign w:val="bottom"/>
          </w:tcPr>
          <w:p>
            <w:pPr>
              <w:spacing w:after="0"/>
              <w:rPr>
                <w:sz w:val="14"/>
                <w:szCs w:val="14"/>
                <w:color w:val="auto"/>
              </w:rPr>
            </w:pPr>
          </w:p>
        </w:tc>
        <w:tc>
          <w:tcPr>
            <w:tcW w:w="332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of the operating partnership</w:t>
            </w:r>
          </w:p>
        </w:tc>
        <w:tc>
          <w:tcPr>
            <w:tcW w:w="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LARGEST TENANT:</w:t>
            </w:r>
          </w:p>
        </w:tc>
        <w:tc>
          <w:tcPr>
            <w:tcW w:w="2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2280" w:type="dxa"/>
            <w:vAlign w:val="bottom"/>
          </w:tcPr>
          <w:p>
            <w:pPr>
              <w:ind w:left="1060"/>
              <w:spacing w:after="0"/>
              <w:rPr>
                <w:sz w:val="20"/>
                <w:szCs w:val="20"/>
                <w:color w:val="auto"/>
              </w:rPr>
            </w:pPr>
            <w:r>
              <w:rPr>
                <w:rFonts w:ascii="Courier New" w:cs="Courier New" w:eastAsia="Courier New" w:hAnsi="Courier New"/>
                <w:sz w:val="15"/>
                <w:szCs w:val="15"/>
                <w:color w:val="auto"/>
              </w:rPr>
              <w:t>COMPANY:</w:t>
            </w:r>
          </w:p>
        </w:tc>
        <w:tc>
          <w:tcPr>
            <w:tcW w:w="2360" w:type="dxa"/>
            <w:vAlign w:val="bottom"/>
          </w:tcPr>
          <w:p>
            <w:pPr>
              <w:ind w:left="520"/>
              <w:spacing w:after="0"/>
              <w:rPr>
                <w:sz w:val="20"/>
                <w:szCs w:val="20"/>
                <w:color w:val="auto"/>
              </w:rPr>
            </w:pPr>
            <w:r>
              <w:rPr>
                <w:rFonts w:ascii="Courier New" w:cs="Courier New" w:eastAsia="Courier New" w:hAnsi="Courier New"/>
                <w:sz w:val="15"/>
                <w:szCs w:val="15"/>
                <w:color w:val="auto"/>
              </w:rPr>
              <w:t>Raytheon</w:t>
            </w: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SIZE:</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131,085</w:t>
            </w:r>
          </w:p>
        </w:tc>
        <w:tc>
          <w:tcPr>
            <w:tcW w:w="2020" w:type="dxa"/>
            <w:vAlign w:val="bottom"/>
          </w:tcPr>
          <w:p>
            <w:pPr>
              <w:ind w:left="320"/>
              <w:spacing w:after="0"/>
              <w:rPr>
                <w:sz w:val="20"/>
                <w:szCs w:val="20"/>
                <w:color w:val="auto"/>
              </w:rPr>
            </w:pPr>
            <w:r>
              <w:rPr>
                <w:rFonts w:ascii="Courier New" w:cs="Courier New" w:eastAsia="Courier New" w:hAnsi="Courier New"/>
                <w:sz w:val="15"/>
                <w:szCs w:val="15"/>
                <w:color w:val="auto"/>
              </w:rPr>
              <w:t>LEASE EXPIRATION:</w:t>
            </w:r>
          </w:p>
        </w:tc>
        <w:tc>
          <w:tcPr>
            <w:tcW w:w="17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03/2011</w:t>
            </w:r>
          </w:p>
        </w:tc>
      </w:tr>
      <w:tr>
        <w:trPr>
          <w:trHeight w:val="168"/>
        </w:trPr>
        <w:tc>
          <w:tcPr>
            <w:tcW w:w="2280" w:type="dxa"/>
            <w:vAlign w:val="bottom"/>
          </w:tcPr>
          <w:p>
            <w:pPr>
              <w:spacing w:after="0"/>
              <w:rPr>
                <w:sz w:val="14"/>
                <w:szCs w:val="14"/>
                <w:color w:val="auto"/>
              </w:rPr>
            </w:pPr>
          </w:p>
        </w:tc>
        <w:tc>
          <w:tcPr>
            <w:tcW w:w="23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Raytheon</w:t>
            </w:r>
          </w:p>
        </w:tc>
        <w:tc>
          <w:tcPr>
            <w:tcW w:w="9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108,184</w:t>
            </w:r>
          </w:p>
        </w:tc>
        <w:tc>
          <w:tcPr>
            <w:tcW w:w="2020" w:type="dxa"/>
            <w:vAlign w:val="bottom"/>
          </w:tcPr>
          <w:p>
            <w:pPr>
              <w:spacing w:after="0"/>
              <w:rPr>
                <w:sz w:val="14"/>
                <w:szCs w:val="14"/>
                <w:color w:val="auto"/>
              </w:rPr>
            </w:pPr>
          </w:p>
        </w:tc>
        <w:tc>
          <w:tcPr>
            <w:tcW w:w="17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10/2013</w:t>
            </w:r>
          </w:p>
        </w:tc>
      </w:tr>
      <w:tr>
        <w:trPr>
          <w:trHeight w:val="673"/>
        </w:trPr>
        <w:tc>
          <w:tcPr>
            <w:tcW w:w="2280" w:type="dxa"/>
            <w:vAlign w:val="bottom"/>
          </w:tcPr>
          <w:p>
            <w:pPr>
              <w:spacing w:after="0"/>
              <w:rPr>
                <w:sz w:val="24"/>
                <w:szCs w:val="24"/>
                <w:color w:val="auto"/>
              </w:rPr>
            </w:pPr>
          </w:p>
        </w:tc>
        <w:tc>
          <w:tcPr>
            <w:tcW w:w="2360" w:type="dxa"/>
            <w:vAlign w:val="bottom"/>
          </w:tcPr>
          <w:p>
            <w:pPr>
              <w:ind w:left="1140"/>
              <w:spacing w:after="0"/>
              <w:rPr>
                <w:sz w:val="20"/>
                <w:szCs w:val="20"/>
                <w:color w:val="auto"/>
              </w:rPr>
            </w:pPr>
            <w:r>
              <w:rPr>
                <w:rFonts w:ascii="Courier New" w:cs="Courier New" w:eastAsia="Courier New" w:hAnsi="Courier New"/>
                <w:sz w:val="15"/>
                <w:szCs w:val="15"/>
                <w:color w:val="auto"/>
              </w:rPr>
              <w:t>37</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0240"/>
          </w:cols>
          <w:pgMar w:left="220" w:top="785" w:right="1439" w:bottom="1440" w:gutter="0" w:footer="0" w:header="0"/>
        </w:sectPr>
      </w:pPr>
    </w:p>
    <w:bookmarkStart w:id="41" w:name="page42"/>
    <w:bookmarkEnd w:id="41"/>
    <w:p>
      <w:pPr>
        <w:ind w:left="5960"/>
        <w:spacing w:after="0"/>
        <w:rPr>
          <w:sz w:val="20"/>
          <w:szCs w:val="20"/>
          <w:color w:val="auto"/>
        </w:rPr>
      </w:pPr>
      <w:r>
        <w:rPr>
          <w:rFonts w:ascii="Courier New" w:cs="Courier New" w:eastAsia="Courier New" w:hAnsi="Courier New"/>
          <w:sz w:val="14"/>
          <w:szCs w:val="14"/>
          <w:color w:val="auto"/>
        </w:rPr>
        <w:t>Exhibit 99.2</w:t>
      </w:r>
    </w:p>
    <w:p>
      <w:pPr>
        <w:spacing w:after="0" w:line="171"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BOSTON PROPERTIES, INC.</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800 BOYLSTON STREET, SUITE 400</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BOSTON, MA 02199</w:t>
      </w:r>
    </w:p>
    <w:p>
      <w:pPr>
        <w:ind w:left="4300"/>
        <w:spacing w:after="0" w:line="237" w:lineRule="auto"/>
        <w:rPr>
          <w:sz w:val="20"/>
          <w:szCs w:val="20"/>
          <w:color w:val="auto"/>
        </w:rPr>
      </w:pPr>
      <w:r>
        <w:rPr>
          <w:rFonts w:ascii="Courier New" w:cs="Courier New" w:eastAsia="Courier New" w:hAnsi="Courier New"/>
          <w:sz w:val="15"/>
          <w:szCs w:val="15"/>
          <w:color w:val="auto"/>
        </w:rPr>
        <w:t>(NYSE: BXP)</w:t>
      </w:r>
    </w:p>
    <w:p>
      <w:pPr>
        <w:sectPr>
          <w:pgSz w:w="11900" w:h="16838" w:orient="portrait"/>
          <w:cols w:equalWidth="0" w:num="1">
            <w:col w:w="10239"/>
          </w:cols>
          <w:pgMar w:left="220" w:top="478"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THE COMPANY</w:t>
      </w:r>
    </w:p>
    <w:p>
      <w:pPr>
        <w:spacing w:after="0" w:line="237" w:lineRule="auto"/>
        <w:rPr>
          <w:sz w:val="20"/>
          <w:szCs w:val="20"/>
          <w:color w:val="auto"/>
        </w:rPr>
      </w:pPr>
      <w:r>
        <w:rPr>
          <w:rFonts w:ascii="Courier New" w:cs="Courier New" w:eastAsia="Courier New" w:hAnsi="Courier New"/>
          <w:sz w:val="15"/>
          <w:szCs w:val="15"/>
          <w:color w:val="auto"/>
        </w:rPr>
        <w:t>Elaine Quinlan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 Relations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(617) 236-3300</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THE FINANCIAL RELATIONS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Marilynn Meek - General Info. (212) 661-8030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Claire Koeneman - Analyst (312) 266-7800</w:t>
      </w:r>
    </w:p>
    <w:p>
      <w:pPr>
        <w:spacing w:after="0" w:line="237" w:lineRule="auto"/>
        <w:rPr>
          <w:sz w:val="20"/>
          <w:szCs w:val="20"/>
          <w:color w:val="auto"/>
        </w:rPr>
      </w:pPr>
      <w:r>
        <w:rPr>
          <w:rFonts w:ascii="Courier New" w:cs="Courier New" w:eastAsia="Courier New" w:hAnsi="Courier New"/>
          <w:sz w:val="15"/>
          <w:szCs w:val="15"/>
          <w:color w:val="auto"/>
        </w:rPr>
        <w:t>Judith Sylk-Siegel - Media (212) 661-8030</w:t>
      </w:r>
    </w:p>
    <w:p>
      <w:pPr>
        <w:spacing w:after="0" w:line="200" w:lineRule="exact"/>
        <w:rPr>
          <w:sz w:val="20"/>
          <w:szCs w:val="20"/>
          <w:color w:val="auto"/>
        </w:rPr>
      </w:pPr>
    </w:p>
    <w:p>
      <w:pPr>
        <w:sectPr>
          <w:pgSz w:w="11900" w:h="16838" w:orient="portrait"/>
          <w:cols w:equalWidth="0" w:num="2">
            <w:col w:w="2440" w:space="720"/>
            <w:col w:w="7079"/>
          </w:cols>
          <w:pgMar w:left="220" w:top="478" w:right="1440" w:bottom="1440" w:gutter="0" w:footer="0" w:header="0"/>
          <w:type w:val="continuous"/>
        </w:sectPr>
      </w:pPr>
    </w:p>
    <w:p>
      <w:pPr>
        <w:spacing w:after="0" w:line="1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BOSTON PROPERTIES, INC. ANNOUNCES</w:t>
      </w:r>
    </w:p>
    <w:p>
      <w:pPr>
        <w:ind w:left="2380"/>
        <w:spacing w:after="0" w:line="237" w:lineRule="auto"/>
        <w:rPr>
          <w:sz w:val="20"/>
          <w:szCs w:val="20"/>
          <w:color w:val="auto"/>
        </w:rPr>
      </w:pPr>
      <w:r>
        <w:rPr>
          <w:rFonts w:ascii="Courier New" w:cs="Courier New" w:eastAsia="Courier New" w:hAnsi="Courier New"/>
          <w:sz w:val="15"/>
          <w:szCs w:val="15"/>
          <w:color w:val="auto"/>
        </w:rPr>
        <w:t>FIRST QUARTER 2000 RESULTS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REPORTS FFO PER SHARE OF $0.78</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BOSTON, MA, APRIL 25, 2000 - Boston Properties, Inc. (NYSE: BXP) today reported results for the first quarter ended March 31, 2000.</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Funds from Operations (FFO) for the quarter ended March 31, 2000 were $54.6 million, or $0.80 per share basic and $0.78 per share diluted, compared to FFO of $45.7 million, or $0.72 per share basic and $0.70 per share diluted for the quarter ended March 31, 1999. This represents 11.4% year to year increase in diluted FFO per share. The weighted average number of basic and diluted shares outstanding totaled 67,942,675 and 81,380,969, respectively, for the quarter ended March 31, 2000 and 63,533,638 and 75,862,001, respectively, for the same quarter last year.</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Revenues were $210.3 million for the quarter ended March 31, 2000, compared to revenues of $187.6 million for the same period in 1999. Net income available to common shareholders for the quarter ended March 31, 2000 was $31.0 million, compared to $24.9 million for the same period in 1999. Net income per share available to common shareholders for the quarter ended March 31, 2000 was $0.46 per share basic and $0.45 per share diluted, compared to $0.39 per share basic and diluted for the same period last year.</w:t>
      </w:r>
    </w:p>
    <w:p>
      <w:pPr>
        <w:spacing w:after="0" w:line="17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reported results are unaudited and there can be no assurance that the results will not vary from the final information for the quarter ended March 31, 2000. In the opinion of management, all adjustments considered necessary for a fair presentation of these reported results have been made.</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of March 31, 2000, the Company's portfolio consisted of 139 properties comprising more than 36.0 million square feet, including 12 properties under development totaling 3.6 million square feet. The overall occupancy rate for the properties in service as of March 31, 2000 was 98.5%.</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-MORE-</w:t>
      </w:r>
    </w:p>
    <w:p>
      <w:pPr>
        <w:sectPr>
          <w:pgSz w:w="11900" w:h="16838" w:orient="portrait"/>
          <w:cols w:equalWidth="0" w:num="1">
            <w:col w:w="10239"/>
          </w:cols>
          <w:pgMar w:left="220" w:top="478" w:right="1440" w:bottom="1440" w:gutter="0" w:footer="0" w:header="0"/>
          <w:type w:val="continuous"/>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Additional highlights of the first quarter include:</w:t>
      </w:r>
    </w:p>
    <w:p>
      <w:pPr>
        <w:spacing w:after="0" w:line="166" w:lineRule="exact"/>
        <w:rPr>
          <w:sz w:val="20"/>
          <w:szCs w:val="20"/>
          <w:color w:val="auto"/>
        </w:rPr>
      </w:pPr>
    </w:p>
    <w:p>
      <w:pPr>
        <w:ind w:left="180" w:hanging="170"/>
        <w:spacing w:after="0"/>
        <w:tabs>
          <w:tab w:leader="none" w:pos="1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acquisition of the Company's joint venture partner's 75% interest in</w:t>
      </w:r>
    </w:p>
    <w:p>
      <w:pPr>
        <w:spacing w:after="0" w:line="4" w:lineRule="exact"/>
        <w:rPr>
          <w:rFonts w:ascii="Courier New" w:cs="Courier New" w:eastAsia="Courier New" w:hAnsi="Courier New"/>
          <w:sz w:val="15"/>
          <w:szCs w:val="15"/>
          <w:color w:val="auto"/>
        </w:rPr>
      </w:pPr>
    </w:p>
    <w:p>
      <w:pPr>
        <w:ind w:left="440" w:right="35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One and Two Reston Overlook in Reston, Virginia on January 12, 2000 for cash of approximately $15.2 million.</w:t>
      </w:r>
    </w:p>
    <w:p>
      <w:pPr>
        <w:spacing w:after="0" w:line="173" w:lineRule="exact"/>
        <w:rPr>
          <w:rFonts w:ascii="Courier New" w:cs="Courier New" w:eastAsia="Courier New" w:hAnsi="Courier New"/>
          <w:sz w:val="15"/>
          <w:szCs w:val="15"/>
          <w:color w:val="auto"/>
        </w:rPr>
      </w:pPr>
    </w:p>
    <w:p>
      <w:pPr>
        <w:ind w:left="440" w:right="3499" w:hanging="430"/>
        <w:spacing w:after="0" w:line="235" w:lineRule="auto"/>
        <w:tabs>
          <w:tab w:leader="none" w:pos="17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of construction financing totaling $420.0 million collateralized by the Five Times Square development project in New York City. Such financing bears interest at a rate equal to LIBOR + 2.00% and matures in January 2003.</w:t>
      </w:r>
    </w:p>
    <w:p>
      <w:pPr>
        <w:spacing w:after="0" w:line="175" w:lineRule="exact"/>
        <w:rPr>
          <w:rFonts w:ascii="Courier New" w:cs="Courier New" w:eastAsia="Courier New" w:hAnsi="Courier New"/>
          <w:sz w:val="15"/>
          <w:szCs w:val="15"/>
          <w:color w:val="auto"/>
        </w:rPr>
      </w:pPr>
    </w:p>
    <w:p>
      <w:pPr>
        <w:ind w:left="440" w:right="3499" w:hanging="430"/>
        <w:spacing w:after="0" w:line="234" w:lineRule="auto"/>
        <w:tabs>
          <w:tab w:leader="none" w:pos="17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entering into of three interest rate hedge agreements with a major financial institution for a total of $450.0 million.</w:t>
      </w:r>
    </w:p>
    <w:p>
      <w:pPr>
        <w:spacing w:after="0" w:line="173" w:lineRule="exact"/>
        <w:rPr>
          <w:rFonts w:ascii="Courier New" w:cs="Courier New" w:eastAsia="Courier New" w:hAnsi="Courier New"/>
          <w:sz w:val="15"/>
          <w:szCs w:val="15"/>
          <w:color w:val="auto"/>
        </w:rPr>
      </w:pPr>
    </w:p>
    <w:p>
      <w:pPr>
        <w:ind w:left="440" w:right="3239" w:hanging="430"/>
        <w:spacing w:after="0" w:line="236" w:lineRule="auto"/>
        <w:tabs>
          <w:tab w:leader="none" w:pos="17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three Class A office buildings totaling approximately 408,000 square feet at Carnegie Center in Princeton, New Jersey, on March 1, 2000, under terms of the original Carnegie Center contribution agreement dated June 30, 1998. The properties are located within the existing Carnegie Center Portfolio. The properties were acquired from a related party for approximately $66.5 million, which was funded through the assumption of debt of approximately $49.0 million at a rate of 7.39% and the issuance of 577,817 common units of partnership interest in the operating partnership valued at approximately $17.5 million. The acquisition was approved by a vote of the independent directors of the Company.</w:t>
      </w:r>
    </w:p>
    <w:p>
      <w:pPr>
        <w:spacing w:after="0" w:line="180" w:lineRule="exact"/>
        <w:rPr>
          <w:rFonts w:ascii="Courier New" w:cs="Courier New" w:eastAsia="Courier New" w:hAnsi="Courier New"/>
          <w:sz w:val="15"/>
          <w:szCs w:val="15"/>
          <w:color w:val="auto"/>
        </w:rPr>
      </w:pPr>
    </w:p>
    <w:p>
      <w:pPr>
        <w:ind w:left="440" w:right="3059" w:hanging="430"/>
        <w:spacing w:after="0" w:line="235" w:lineRule="auto"/>
        <w:tabs>
          <w:tab w:leader="none" w:pos="17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of construction financing totaling $10.0 million collateralized by the 302 Carnegie Center development project in Princeton, New Jersey. Such financing bears interest at a rate equal to LIBOR + 1.90% and matures in March 2003.</w:t>
      </w:r>
    </w:p>
    <w:p>
      <w:pPr>
        <w:spacing w:after="0" w:line="175" w:lineRule="exact"/>
        <w:rPr>
          <w:rFonts w:ascii="Courier New" w:cs="Courier New" w:eastAsia="Courier New" w:hAnsi="Courier New"/>
          <w:sz w:val="15"/>
          <w:szCs w:val="15"/>
          <w:color w:val="auto"/>
        </w:rPr>
      </w:pPr>
    </w:p>
    <w:p>
      <w:pPr>
        <w:ind w:left="440" w:right="3139" w:hanging="430"/>
        <w:spacing w:after="0" w:line="235" w:lineRule="auto"/>
        <w:tabs>
          <w:tab w:leader="none" w:pos="17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an 8.9-acre site in Herndon, Virginia for approximately $3.2 million on March 23, 2000. The site will support approximately 135,000 square feet of development.</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17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and restatement of the Company's $500.0 million unsecured line of credit agreement extending the term to March 2003.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completed subsequent to March 31, 2000:</w:t>
      </w:r>
    </w:p>
    <w:p>
      <w:pPr>
        <w:spacing w:after="0" w:line="173" w:lineRule="exact"/>
        <w:rPr>
          <w:sz w:val="20"/>
          <w:szCs w:val="20"/>
          <w:color w:val="auto"/>
        </w:rPr>
      </w:pPr>
    </w:p>
    <w:p>
      <w:pPr>
        <w:ind w:left="440" w:right="3139" w:hanging="430"/>
        <w:spacing w:after="0" w:line="236" w:lineRule="auto"/>
        <w:tabs>
          <w:tab w:leader="none" w:pos="17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refinancing of the mortgage loan on Ten Cambridge Center and the North Garage which consisted of replacing the $40.0 million mortgage loan with a $36.0 million loan and removing the North Garage as collateral. The new financing bears interest at a rate equal to 8.27% and matures in April 2010.</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-MORE-</w:t>
      </w:r>
    </w:p>
    <w:p>
      <w:pPr>
        <w:sectPr>
          <w:pgSz w:w="11900" w:h="16838" w:orient="portrait"/>
          <w:cols w:equalWidth="0" w:num="1">
            <w:col w:w="10239"/>
          </w:cols>
          <w:pgMar w:left="220" w:top="617" w:right="1440" w:bottom="1440" w:gutter="0" w:footer="0" w:header="0"/>
        </w:sectPr>
      </w:pPr>
    </w:p>
    <w:bookmarkStart w:id="43" w:name="page44"/>
    <w:bookmarkEnd w:id="43"/>
    <w:p>
      <w:pPr>
        <w:ind w:left="440" w:right="3059" w:hanging="430"/>
        <w:spacing w:after="0" w:line="235" w:lineRule="auto"/>
        <w:tabs>
          <w:tab w:leader="none" w:pos="17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of construction financing totaling $32.0 million collateralized by the 2600 Tower Oaks Boulevard development project in Rockville, Maryland. Such financing bears interest at a rate equal to LIBOR + 1.90% and matures in October 2002.</w:t>
      </w:r>
    </w:p>
    <w:p>
      <w:pPr>
        <w:spacing w:after="0" w:line="175" w:lineRule="exact"/>
        <w:rPr>
          <w:rFonts w:ascii="Courier New" w:cs="Courier New" w:eastAsia="Courier New" w:hAnsi="Courier New"/>
          <w:sz w:val="15"/>
          <w:szCs w:val="15"/>
          <w:color w:val="auto"/>
        </w:rPr>
      </w:pPr>
    </w:p>
    <w:p>
      <w:pPr>
        <w:ind w:left="440" w:right="3059" w:hanging="430"/>
        <w:spacing w:after="0" w:line="235" w:lineRule="auto"/>
        <w:tabs>
          <w:tab w:leader="none" w:pos="17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refinancing of the mortgage loan on Metropolitan Square which consisted of replacing the $104.0 million mortgage loan with a $140.0 million loan. The new financing bears interest at a rate equal to 8.23% and matures in April 2010.</w:t>
      </w:r>
    </w:p>
    <w:p>
      <w:pPr>
        <w:spacing w:after="0" w:line="175" w:lineRule="exact"/>
        <w:rPr>
          <w:rFonts w:ascii="Courier New" w:cs="Courier New" w:eastAsia="Courier New" w:hAnsi="Courier New"/>
          <w:sz w:val="15"/>
          <w:szCs w:val="15"/>
          <w:color w:val="auto"/>
        </w:rPr>
      </w:pPr>
    </w:p>
    <w:p>
      <w:pPr>
        <w:ind w:left="540" w:right="3319" w:hanging="530"/>
        <w:spacing w:after="0" w:line="256" w:lineRule="auto"/>
        <w:tabs>
          <w:tab w:leader="none" w:pos="19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closing of construction financing totaling $78.0 million collateralized by the 140 Kendrick Street development project in Needham, Massachusetts. Such financing matures in July 2002 and consists of two tranches: $16.4 million bearing interest at a rate of LIBOR + 1.35% and $61.6 million bearing interest at a rate of LIBOR + 1.65%.</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Boston Properties is a fully integrated, self-administered and self-managed real estate investment trust that develops, redevelops, acquires, manages, operates and owns a diverse portfolio of Class A office, industrial and hotel properties. The Company is one of the largest owners and developers of Class A office properties in the United States, concentrated in the Northeast Corridor from Virginia to Greater Boston and in Greater San Francisco.</w:t>
      </w:r>
    </w:p>
    <w:p>
      <w:pPr>
        <w:spacing w:after="0" w:line="17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To receive Boston Properties' latest news and corporate developments via fax at no cost, please call 1-800-PRO-INFO; use Company code BXP. Visit the Company's web site at http://www.bostonproperties.com.</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THIS PRESS RELEASE CONTAINS FORWARD-LOOKING STATEMENTS WITHIN THE MEANING OF THE FEDERAL SECURITIES LAWS. YOU SHOULD EXERCISE CAUTION IN INTERPRETING AND RELYING ON FORWARD-LOOKING STATEMENTS BECAUSE THEY INVOLVE KNOWN AND UNKNOWN RISKS, UNCERTAINTIES AND OTHER FACTORS WHICH ARE, IN SOME CASES, BEYOND BOSTON PROPERTIES CONTROL AND COULD MATERIALLY AFFECT ACTUAL RESULTS, PERFORMANCE OR ACHIEVEMENTS. THESE FACTORS INCLUDE, WITHOUT LIMITATION, THE ABILITY TO ENTER INTO NEW LEASES OR RENEW LEASES ON FAVORABLE TERMS, DEPENDENCE ON TENANTS' FINANCIAL CONDITION, THE UNCERTAINTIES OF REAL ESTATE DEVELOPMENT AND ACQUISITION ACTIVITY, THE ABILITY TO EFFECTIVELY INTEGRATE ACQUISITIONS, THE COSTS AND AVAILABILITY OF FINANCING, THE EFFECTS OF LOCAL ECONOMIC AND MARKET CONDITIONS, REGULATORY CHANGES AND OTHER RISKS AND UNCERTAINTIES DETAILED FROM TIME TO TIME IN THE COMPANY'S FILINGS WITH THE SECURITIES AND EXCHANGE COMMISSION.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tables follow.</w:t>
      </w:r>
    </w:p>
    <w:p>
      <w:pPr>
        <w:sectPr>
          <w:pgSz w:w="11900" w:h="16838" w:orient="portrait"/>
          <w:cols w:equalWidth="0" w:num="1">
            <w:col w:w="10239"/>
          </w:cols>
          <w:pgMar w:left="220" w:top="624" w:right="1440" w:bottom="1440" w:gutter="0" w:footer="0" w:header="0"/>
        </w:sectPr>
      </w:pPr>
    </w:p>
    <w:bookmarkStart w:id="44" w:name="page45"/>
    <w:bookmarkEnd w:id="44"/>
    <w:p>
      <w:pPr>
        <w:jc w:val="center"/>
        <w:ind w:right="3760"/>
        <w:spacing w:after="0"/>
        <w:rPr>
          <w:sz w:val="20"/>
          <w:szCs w:val="20"/>
          <w:color w:val="auto"/>
        </w:rPr>
      </w:pPr>
      <w:r>
        <w:rPr>
          <w:rFonts w:ascii="Courier New" w:cs="Courier New" w:eastAsia="Courier New" w:hAnsi="Courier New"/>
          <w:sz w:val="15"/>
          <w:szCs w:val="15"/>
          <w:color w:val="auto"/>
        </w:rPr>
        <w:t>BOSTON PROPERTIES, INC.</w:t>
      </w:r>
    </w:p>
    <w:p>
      <w:pPr>
        <w:jc w:val="center"/>
        <w:ind w:right="3760"/>
        <w:spacing w:after="0" w:line="237" w:lineRule="auto"/>
        <w:rPr>
          <w:sz w:val="20"/>
          <w:szCs w:val="20"/>
          <w:color w:val="auto"/>
        </w:rPr>
      </w:pPr>
      <w:r>
        <w:rPr>
          <w:rFonts w:ascii="Courier New" w:cs="Courier New" w:eastAsia="Courier New" w:hAnsi="Courier New"/>
          <w:sz w:val="15"/>
          <w:szCs w:val="15"/>
          <w:color w:val="auto"/>
        </w:rPr>
        <w:t>CONSOLIDATED STATEMENTS OF OPERATIONS</w:t>
      </w:r>
    </w:p>
    <w:tbl>
      <w:tblPr>
        <w:tblLayout w:type="fixed"/>
        <w:tblInd w:w="0" w:type="dxa"/>
        <w:tblCellMar>
          <w:top w:w="0" w:type="dxa"/>
          <w:left w:w="0" w:type="dxa"/>
          <w:bottom w:w="0" w:type="dxa"/>
          <w:right w:w="0" w:type="dxa"/>
        </w:tblCellMar>
      </w:tblPr>
      <w:tr>
        <w:trPr>
          <w:trHeight w:val="169"/>
        </w:trPr>
        <w:tc>
          <w:tcPr>
            <w:tcW w:w="6940" w:type="dxa"/>
            <w:vAlign w:val="bottom"/>
          </w:tcPr>
          <w:p>
            <w:pPr>
              <w:ind w:left="860"/>
              <w:spacing w:after="0" w:line="169" w:lineRule="exact"/>
              <w:rPr>
                <w:sz w:val="20"/>
                <w:szCs w:val="20"/>
                <w:color w:val="auto"/>
              </w:rPr>
            </w:pPr>
            <w:r>
              <w:rPr>
                <w:rFonts w:ascii="Courier New" w:cs="Courier New" w:eastAsia="Courier New" w:hAnsi="Courier New"/>
                <w:sz w:val="15"/>
                <w:szCs w:val="15"/>
                <w:color w:val="auto"/>
              </w:rPr>
              <w:t>(unaudited and in thousands, except for per share amounts)</w:t>
            </w: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6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6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6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March 31,</w:t>
            </w:r>
          </w:p>
        </w:tc>
        <w:tc>
          <w:tcPr>
            <w:tcW w:w="700" w:type="dxa"/>
            <w:vAlign w:val="bottom"/>
          </w:tcPr>
          <w:p>
            <w:pPr>
              <w:spacing w:after="0"/>
              <w:rPr>
                <w:sz w:val="14"/>
                <w:szCs w:val="14"/>
                <w:color w:val="auto"/>
              </w:rPr>
            </w:pPr>
          </w:p>
        </w:tc>
      </w:tr>
      <w:tr>
        <w:trPr>
          <w:trHeight w:val="168"/>
        </w:trPr>
        <w:tc>
          <w:tcPr>
            <w:tcW w:w="6940" w:type="dxa"/>
            <w:vAlign w:val="bottom"/>
          </w:tcPr>
          <w:p>
            <w:pPr>
              <w:spacing w:after="0"/>
              <w:rPr>
                <w:sz w:val="14"/>
                <w:szCs w:val="14"/>
                <w:color w:val="auto"/>
              </w:rPr>
            </w:pPr>
          </w:p>
        </w:tc>
        <w:tc>
          <w:tcPr>
            <w:tcW w:w="35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940" w:type="dxa"/>
            <w:vAlign w:val="bottom"/>
          </w:tcPr>
          <w:p>
            <w:pPr>
              <w:spacing w:after="0"/>
              <w:rPr>
                <w:sz w:val="14"/>
                <w:szCs w:val="14"/>
                <w:color w:val="auto"/>
              </w:rPr>
            </w:pP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9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Rental:</w:t>
            </w: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Base rent</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$170,337</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$151,609</w:t>
            </w:r>
          </w:p>
        </w:tc>
      </w:tr>
      <w:tr>
        <w:trPr>
          <w:trHeight w:val="168"/>
        </w:trPr>
        <w:tc>
          <w:tcPr>
            <w:tcW w:w="6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Recoveries from tenants</w:t>
            </w:r>
          </w:p>
        </w:tc>
        <w:tc>
          <w:tcPr>
            <w:tcW w:w="1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23,336</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17,414</w:t>
            </w:r>
          </w:p>
        </w:tc>
      </w:tr>
      <w:tr>
        <w:trPr>
          <w:trHeight w:val="168"/>
        </w:trPr>
        <w:tc>
          <w:tcPr>
            <w:tcW w:w="6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Parking and other</w:t>
            </w:r>
          </w:p>
        </w:tc>
        <w:tc>
          <w:tcPr>
            <w:tcW w:w="1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13,008</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10,924</w:t>
            </w:r>
          </w:p>
        </w:tc>
      </w:tr>
      <w:tr>
        <w:trPr>
          <w:trHeight w:val="168"/>
        </w:trPr>
        <w:tc>
          <w:tcPr>
            <w:tcW w:w="6940" w:type="dxa"/>
            <w:vAlign w:val="bottom"/>
          </w:tcPr>
          <w:p>
            <w:pPr>
              <w:spacing w:after="0"/>
              <w:rPr>
                <w:sz w:val="14"/>
                <w:szCs w:val="14"/>
                <w:color w:val="auto"/>
              </w:rPr>
            </w:pP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Total rental revenue</w:t>
            </w:r>
          </w:p>
        </w:tc>
        <w:tc>
          <w:tcPr>
            <w:tcW w:w="1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206,681</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179,947</w:t>
            </w:r>
          </w:p>
        </w:tc>
      </w:tr>
      <w:tr>
        <w:trPr>
          <w:trHeight w:val="168"/>
        </w:trPr>
        <w:tc>
          <w:tcPr>
            <w:tcW w:w="69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Development and management services</w:t>
            </w:r>
          </w:p>
        </w:tc>
        <w:tc>
          <w:tcPr>
            <w:tcW w:w="1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2,863</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4,047</w:t>
            </w:r>
          </w:p>
        </w:tc>
      </w:tr>
      <w:tr>
        <w:trPr>
          <w:trHeight w:val="168"/>
        </w:trPr>
        <w:tc>
          <w:tcPr>
            <w:tcW w:w="69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Interest and other</w:t>
            </w:r>
          </w:p>
        </w:tc>
        <w:tc>
          <w:tcPr>
            <w:tcW w:w="1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710</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3,646</w:t>
            </w:r>
          </w:p>
        </w:tc>
      </w:tr>
      <w:tr>
        <w:trPr>
          <w:trHeight w:val="168"/>
        </w:trPr>
        <w:tc>
          <w:tcPr>
            <w:tcW w:w="6940" w:type="dxa"/>
            <w:vAlign w:val="bottom"/>
          </w:tcPr>
          <w:p>
            <w:pPr>
              <w:spacing w:after="0"/>
              <w:rPr>
                <w:sz w:val="14"/>
                <w:szCs w:val="14"/>
                <w:color w:val="auto"/>
              </w:rPr>
            </w:pP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Total revenue</w:t>
            </w:r>
          </w:p>
        </w:tc>
        <w:tc>
          <w:tcPr>
            <w:tcW w:w="1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210,254</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187,640</w:t>
            </w:r>
          </w:p>
        </w:tc>
      </w:tr>
      <w:tr>
        <w:trPr>
          <w:trHeight w:val="168"/>
        </w:trPr>
        <w:tc>
          <w:tcPr>
            <w:tcW w:w="6940" w:type="dxa"/>
            <w:vAlign w:val="bottom"/>
          </w:tcPr>
          <w:p>
            <w:pPr>
              <w:spacing w:after="0"/>
              <w:rPr>
                <w:sz w:val="14"/>
                <w:szCs w:val="14"/>
                <w:color w:val="auto"/>
              </w:rPr>
            </w:pP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9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Operating</w:t>
            </w:r>
          </w:p>
        </w:tc>
        <w:tc>
          <w:tcPr>
            <w:tcW w:w="1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65,177</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57,350</w:t>
            </w:r>
          </w:p>
        </w:tc>
      </w:tr>
      <w:tr>
        <w:trPr>
          <w:trHeight w:val="168"/>
        </w:trPr>
        <w:tc>
          <w:tcPr>
            <w:tcW w:w="69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7,408</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6,610</w:t>
            </w:r>
          </w:p>
        </w:tc>
      </w:tr>
      <w:tr>
        <w:trPr>
          <w:trHeight w:val="168"/>
        </w:trPr>
        <w:tc>
          <w:tcPr>
            <w:tcW w:w="69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Interest</w:t>
            </w:r>
          </w:p>
        </w:tc>
        <w:tc>
          <w:tcPr>
            <w:tcW w:w="1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55,215</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50,459</w:t>
            </w:r>
          </w:p>
        </w:tc>
      </w:tr>
      <w:tr>
        <w:trPr>
          <w:trHeight w:val="168"/>
        </w:trPr>
        <w:tc>
          <w:tcPr>
            <w:tcW w:w="69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32,231</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27,794</w:t>
            </w:r>
          </w:p>
        </w:tc>
      </w:tr>
      <w:tr>
        <w:trPr>
          <w:trHeight w:val="168"/>
        </w:trPr>
        <w:tc>
          <w:tcPr>
            <w:tcW w:w="6940" w:type="dxa"/>
            <w:vAlign w:val="bottom"/>
          </w:tcPr>
          <w:p>
            <w:pPr>
              <w:spacing w:after="0"/>
              <w:rPr>
                <w:sz w:val="14"/>
                <w:szCs w:val="14"/>
                <w:color w:val="auto"/>
              </w:rPr>
            </w:pP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Total expenses</w:t>
            </w:r>
          </w:p>
        </w:tc>
        <w:tc>
          <w:tcPr>
            <w:tcW w:w="1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160,031</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142,213</w:t>
            </w:r>
          </w:p>
        </w:tc>
      </w:tr>
      <w:tr>
        <w:trPr>
          <w:trHeight w:val="168"/>
        </w:trPr>
        <w:tc>
          <w:tcPr>
            <w:tcW w:w="6940" w:type="dxa"/>
            <w:vAlign w:val="bottom"/>
          </w:tcPr>
          <w:p>
            <w:pPr>
              <w:spacing w:after="0"/>
              <w:rPr>
                <w:sz w:val="14"/>
                <w:szCs w:val="14"/>
                <w:color w:val="auto"/>
              </w:rPr>
            </w:pP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minority interests and joint venture income</w:t>
            </w:r>
          </w:p>
        </w:tc>
        <w:tc>
          <w:tcPr>
            <w:tcW w:w="1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50,223</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45,427</w:t>
            </w:r>
          </w:p>
        </w:tc>
      </w:tr>
      <w:tr>
        <w:trPr>
          <w:trHeight w:val="168"/>
        </w:trPr>
        <w:tc>
          <w:tcPr>
            <w:tcW w:w="694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interests in property partnerships</w:t>
            </w:r>
          </w:p>
        </w:tc>
        <w:tc>
          <w:tcPr>
            <w:tcW w:w="1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w:t>
            </w:r>
          </w:p>
        </w:tc>
        <w:tc>
          <w:tcPr>
            <w:tcW w:w="9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(4,155)</w:t>
            </w:r>
          </w:p>
        </w:tc>
      </w:tr>
      <w:tr>
        <w:trPr>
          <w:trHeight w:val="168"/>
        </w:trPr>
        <w:tc>
          <w:tcPr>
            <w:tcW w:w="6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unconsolidated joint ventures</w:t>
            </w:r>
          </w:p>
        </w:tc>
        <w:tc>
          <w:tcPr>
            <w:tcW w:w="1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6940" w:type="dxa"/>
            <w:vAlign w:val="bottom"/>
          </w:tcPr>
          <w:p>
            <w:pPr>
              <w:spacing w:after="0"/>
              <w:rPr>
                <w:sz w:val="14"/>
                <w:szCs w:val="14"/>
                <w:color w:val="auto"/>
              </w:rPr>
            </w:pP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minority interest in Operating Partnership</w:t>
            </w:r>
          </w:p>
        </w:tc>
        <w:tc>
          <w:tcPr>
            <w:tcW w:w="1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50,172</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41,485</w:t>
            </w:r>
          </w:p>
        </w:tc>
      </w:tr>
      <w:tr>
        <w:trPr>
          <w:trHeight w:val="168"/>
        </w:trPr>
        <w:tc>
          <w:tcPr>
            <w:tcW w:w="694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in Operating Partnership</w:t>
            </w:r>
          </w:p>
        </w:tc>
        <w:tc>
          <w:tcPr>
            <w:tcW w:w="1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(17,552)</w:t>
            </w:r>
          </w:p>
        </w:tc>
        <w:tc>
          <w:tcPr>
            <w:tcW w:w="9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(15,712)</w:t>
            </w:r>
          </w:p>
        </w:tc>
      </w:tr>
      <w:tr>
        <w:trPr>
          <w:trHeight w:val="168"/>
        </w:trPr>
        <w:tc>
          <w:tcPr>
            <w:tcW w:w="6940" w:type="dxa"/>
            <w:vAlign w:val="bottom"/>
          </w:tcPr>
          <w:p>
            <w:pPr>
              <w:spacing w:after="0"/>
              <w:rPr>
                <w:sz w:val="14"/>
                <w:szCs w:val="14"/>
                <w:color w:val="auto"/>
              </w:rPr>
            </w:pP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before preferred dividend</w:t>
            </w:r>
          </w:p>
        </w:tc>
        <w:tc>
          <w:tcPr>
            <w:tcW w:w="1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32,620</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25,773</w:t>
            </w:r>
          </w:p>
        </w:tc>
      </w:tr>
      <w:tr>
        <w:trPr>
          <w:trHeight w:val="168"/>
        </w:trPr>
        <w:tc>
          <w:tcPr>
            <w:tcW w:w="694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dividend</w:t>
            </w:r>
          </w:p>
        </w:tc>
        <w:tc>
          <w:tcPr>
            <w:tcW w:w="1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(1,643)</w:t>
            </w:r>
          </w:p>
        </w:tc>
        <w:tc>
          <w:tcPr>
            <w:tcW w:w="9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(839)</w:t>
            </w:r>
          </w:p>
        </w:tc>
      </w:tr>
      <w:tr>
        <w:trPr>
          <w:trHeight w:val="168"/>
        </w:trPr>
        <w:tc>
          <w:tcPr>
            <w:tcW w:w="6940" w:type="dxa"/>
            <w:vAlign w:val="bottom"/>
          </w:tcPr>
          <w:p>
            <w:pPr>
              <w:spacing w:after="0"/>
              <w:rPr>
                <w:sz w:val="14"/>
                <w:szCs w:val="14"/>
                <w:color w:val="auto"/>
              </w:rPr>
            </w:pP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available to common shareholders</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$ 30,977</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$ 24,934</w:t>
            </w:r>
          </w:p>
        </w:tc>
      </w:tr>
      <w:tr>
        <w:trPr>
          <w:trHeight w:val="168"/>
        </w:trPr>
        <w:tc>
          <w:tcPr>
            <w:tcW w:w="6940" w:type="dxa"/>
            <w:vAlign w:val="bottom"/>
          </w:tcPr>
          <w:p>
            <w:pPr>
              <w:spacing w:after="0"/>
              <w:rPr>
                <w:sz w:val="14"/>
                <w:szCs w:val="14"/>
                <w:color w:val="auto"/>
              </w:rPr>
            </w:pP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9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Net income available to common shareholders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0.39</w:t>
            </w:r>
          </w:p>
        </w:tc>
      </w:tr>
      <w:tr>
        <w:trPr>
          <w:trHeight w:val="168"/>
        </w:trPr>
        <w:tc>
          <w:tcPr>
            <w:tcW w:w="6940" w:type="dxa"/>
            <w:vAlign w:val="bottom"/>
          </w:tcPr>
          <w:p>
            <w:pPr>
              <w:spacing w:after="0"/>
              <w:rPr>
                <w:sz w:val="14"/>
                <w:szCs w:val="14"/>
                <w:color w:val="auto"/>
              </w:rPr>
            </w:pP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Weighted average number of common shares outstanding</w:t>
            </w:r>
          </w:p>
        </w:tc>
        <w:tc>
          <w:tcPr>
            <w:tcW w:w="1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67,943</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63,534</w:t>
            </w:r>
          </w:p>
        </w:tc>
      </w:tr>
      <w:tr>
        <w:trPr>
          <w:trHeight w:val="168"/>
        </w:trPr>
        <w:tc>
          <w:tcPr>
            <w:tcW w:w="6940" w:type="dxa"/>
            <w:vAlign w:val="bottom"/>
          </w:tcPr>
          <w:p>
            <w:pPr>
              <w:spacing w:after="0"/>
              <w:rPr>
                <w:sz w:val="14"/>
                <w:szCs w:val="14"/>
                <w:color w:val="auto"/>
              </w:rPr>
            </w:pP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9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Net income available to common shareholders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0.39</w:t>
            </w:r>
          </w:p>
        </w:tc>
      </w:tr>
      <w:tr>
        <w:trPr>
          <w:trHeight w:val="168"/>
        </w:trPr>
        <w:tc>
          <w:tcPr>
            <w:tcW w:w="6940" w:type="dxa"/>
            <w:vAlign w:val="bottom"/>
          </w:tcPr>
          <w:p>
            <w:pPr>
              <w:spacing w:after="0"/>
              <w:rPr>
                <w:sz w:val="14"/>
                <w:szCs w:val="14"/>
                <w:color w:val="auto"/>
              </w:rPr>
            </w:pP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Weighted average number of common and common</w:t>
            </w: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equivalent shares outstanding</w:t>
            </w:r>
          </w:p>
        </w:tc>
        <w:tc>
          <w:tcPr>
            <w:tcW w:w="1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68,380</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64,078</w:t>
            </w:r>
          </w:p>
        </w:tc>
      </w:tr>
      <w:tr>
        <w:trPr>
          <w:trHeight w:val="168"/>
        </w:trPr>
        <w:tc>
          <w:tcPr>
            <w:tcW w:w="6940" w:type="dxa"/>
            <w:vAlign w:val="bottom"/>
          </w:tcPr>
          <w:p>
            <w:pPr>
              <w:spacing w:after="0"/>
              <w:rPr>
                <w:sz w:val="14"/>
                <w:szCs w:val="14"/>
                <w:color w:val="auto"/>
              </w:rPr>
            </w:pP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480"/>
          </w:cols>
          <w:pgMar w:left="500" w:top="617" w:right="919" w:bottom="1440" w:gutter="0" w:footer="0" w:header="0"/>
        </w:sectPr>
      </w:pPr>
    </w:p>
    <w:bookmarkStart w:id="45" w:name="page46"/>
    <w:bookmarkEnd w:id="45"/>
    <w:p>
      <w:pPr>
        <w:jc w:val="center"/>
        <w:ind w:right="3480"/>
        <w:spacing w:after="0"/>
        <w:rPr>
          <w:sz w:val="20"/>
          <w:szCs w:val="20"/>
          <w:color w:val="auto"/>
        </w:rPr>
      </w:pPr>
      <w:r>
        <w:rPr>
          <w:rFonts w:ascii="Courier New" w:cs="Courier New" w:eastAsia="Courier New" w:hAnsi="Courier New"/>
          <w:sz w:val="15"/>
          <w:szCs w:val="15"/>
          <w:color w:val="auto"/>
        </w:rPr>
        <w:t>BOSTON PROPERTIES, INC.</w:t>
      </w:r>
    </w:p>
    <w:p>
      <w:pPr>
        <w:jc w:val="center"/>
        <w:ind w:right="3480"/>
        <w:spacing w:after="0" w:line="237" w:lineRule="auto"/>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9"/>
        </w:trPr>
        <w:tc>
          <w:tcPr>
            <w:tcW w:w="6360" w:type="dxa"/>
            <w:vAlign w:val="bottom"/>
          </w:tcPr>
          <w:p>
            <w:pPr>
              <w:ind w:left="2100"/>
              <w:spacing w:after="0" w:line="169" w:lineRule="exact"/>
              <w:rPr>
                <w:sz w:val="20"/>
                <w:szCs w:val="20"/>
                <w:color w:val="auto"/>
              </w:rPr>
            </w:pPr>
            <w:r>
              <w:rPr>
                <w:rFonts w:ascii="Courier New" w:cs="Courier New" w:eastAsia="Courier New" w:hAnsi="Courier New"/>
                <w:sz w:val="15"/>
                <w:szCs w:val="15"/>
                <w:color w:val="auto"/>
              </w:rPr>
              <w:t>(in thousands, except share amounts)</w:t>
            </w:r>
          </w:p>
        </w:tc>
        <w:tc>
          <w:tcPr>
            <w:tcW w:w="27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673"/>
        </w:trPr>
        <w:tc>
          <w:tcPr>
            <w:tcW w:w="6360" w:type="dxa"/>
            <w:vAlign w:val="bottom"/>
          </w:tcPr>
          <w:p>
            <w:pPr>
              <w:spacing w:after="0"/>
              <w:rPr>
                <w:sz w:val="24"/>
                <w:szCs w:val="24"/>
                <w:color w:val="auto"/>
              </w:rPr>
            </w:pPr>
          </w:p>
        </w:tc>
        <w:tc>
          <w:tcPr>
            <w:tcW w:w="274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MARCH 31,</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360" w:type="dxa"/>
            <w:vAlign w:val="bottom"/>
          </w:tcPr>
          <w:p>
            <w:pPr>
              <w:spacing w:after="0"/>
              <w:rPr>
                <w:sz w:val="14"/>
                <w:szCs w:val="14"/>
                <w:color w:val="auto"/>
              </w:rPr>
            </w:pPr>
          </w:p>
        </w:tc>
        <w:tc>
          <w:tcPr>
            <w:tcW w:w="27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2000</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360" w:type="dxa"/>
            <w:vAlign w:val="bottom"/>
          </w:tcPr>
          <w:p>
            <w:pPr>
              <w:spacing w:after="0"/>
              <w:rPr>
                <w:sz w:val="14"/>
                <w:szCs w:val="14"/>
                <w:color w:val="auto"/>
              </w:rPr>
            </w:pP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(UNAUDITED)</w:t>
            </w:r>
          </w:p>
        </w:tc>
        <w:tc>
          <w:tcPr>
            <w:tcW w:w="1840" w:type="dxa"/>
            <w:vAlign w:val="bottom"/>
          </w:tcPr>
          <w:p>
            <w:pPr>
              <w:spacing w:after="0"/>
              <w:rPr>
                <w:sz w:val="14"/>
                <w:szCs w:val="14"/>
                <w:color w:val="auto"/>
              </w:rPr>
            </w:pPr>
          </w:p>
        </w:tc>
      </w:tr>
      <w:tr>
        <w:trPr>
          <w:trHeight w:val="336"/>
        </w:trPr>
        <w:tc>
          <w:tcPr>
            <w:tcW w:w="636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99"/>
              </w:rPr>
              <w:t>ASSETS</w:t>
            </w:r>
          </w:p>
        </w:tc>
        <w:tc>
          <w:tcPr>
            <w:tcW w:w="27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Real estate:</w:t>
            </w:r>
          </w:p>
        </w:tc>
        <w:tc>
          <w:tcPr>
            <w:tcW w:w="27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$ 5,848,141</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$ 5,612,258</w:t>
            </w: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27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(501,554)</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(470,591)</w:t>
            </w:r>
          </w:p>
        </w:tc>
      </w:tr>
      <w:tr>
        <w:trPr>
          <w:trHeight w:val="168"/>
        </w:trPr>
        <w:tc>
          <w:tcPr>
            <w:tcW w:w="6360" w:type="dxa"/>
            <w:vAlign w:val="bottom"/>
          </w:tcPr>
          <w:p>
            <w:pPr>
              <w:spacing w:after="0"/>
              <w:rPr>
                <w:sz w:val="14"/>
                <w:szCs w:val="14"/>
                <w:color w:val="auto"/>
              </w:rPr>
            </w:pP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Total real estate</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5,346,587</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5,141,667</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7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18,335</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12,035</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Escrows</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30,085</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40,254</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securities</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73,023</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14,460</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Tenant and other receivables, net</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34,539</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28,362</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rental income, net</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85,089</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82,228</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charges, net</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67,711</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50,899</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 and other assets</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24,407</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28,452</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joint ventures</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36,541</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36,415</w:t>
            </w:r>
          </w:p>
        </w:tc>
      </w:tr>
      <w:tr>
        <w:trPr>
          <w:trHeight w:val="168"/>
        </w:trPr>
        <w:tc>
          <w:tcPr>
            <w:tcW w:w="6360" w:type="dxa"/>
            <w:vAlign w:val="bottom"/>
          </w:tcPr>
          <w:p>
            <w:pPr>
              <w:spacing w:after="0"/>
              <w:rPr>
                <w:sz w:val="14"/>
                <w:szCs w:val="14"/>
                <w:color w:val="auto"/>
              </w:rPr>
            </w:pP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assets</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$ 5,716,317</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$ 5,434,772</w:t>
            </w:r>
          </w:p>
        </w:tc>
      </w:tr>
      <w:tr>
        <w:trPr>
          <w:trHeight w:val="168"/>
        </w:trPr>
        <w:tc>
          <w:tcPr>
            <w:tcW w:w="6360" w:type="dxa"/>
            <w:vAlign w:val="bottom"/>
          </w:tcPr>
          <w:p>
            <w:pPr>
              <w:spacing w:after="0"/>
              <w:rPr>
                <w:sz w:val="14"/>
                <w:szCs w:val="14"/>
                <w:color w:val="auto"/>
              </w:rPr>
            </w:pP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6"/>
              </w:rPr>
              <w:t>LIABILITIES AND STOCKHOLDERS' EQUITY</w:t>
            </w:r>
          </w:p>
        </w:tc>
        <w:tc>
          <w:tcPr>
            <w:tcW w:w="27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27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Mortgage notes payable</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$ 3,186,399</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$ 2,955,584</w:t>
            </w: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Unsecured line of credit</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344,000</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366,000</w:t>
            </w: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57,098</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66,780</w:t>
            </w: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Dividends and distributions payable</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51,205</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50,114</w:t>
            </w: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Accrued interest payable</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5,154</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8,486</w:t>
            </w: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55,553</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48,282</w:t>
            </w:r>
          </w:p>
        </w:tc>
      </w:tr>
      <w:tr>
        <w:trPr>
          <w:trHeight w:val="168"/>
        </w:trPr>
        <w:tc>
          <w:tcPr>
            <w:tcW w:w="6360" w:type="dxa"/>
            <w:vAlign w:val="bottom"/>
          </w:tcPr>
          <w:p>
            <w:pPr>
              <w:spacing w:after="0"/>
              <w:rPr>
                <w:sz w:val="14"/>
                <w:szCs w:val="14"/>
                <w:color w:val="auto"/>
              </w:rPr>
            </w:pP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3,699,409</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3,495,246</w:t>
            </w:r>
          </w:p>
        </w:tc>
      </w:tr>
      <w:tr>
        <w:trPr>
          <w:trHeight w:val="168"/>
        </w:trPr>
        <w:tc>
          <w:tcPr>
            <w:tcW w:w="6360" w:type="dxa"/>
            <w:vAlign w:val="bottom"/>
          </w:tcPr>
          <w:p>
            <w:pPr>
              <w:spacing w:after="0"/>
              <w:rPr>
                <w:sz w:val="14"/>
                <w:szCs w:val="14"/>
                <w:color w:val="auto"/>
              </w:rPr>
            </w:pP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7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interests</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808,826</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781,962</w:t>
            </w:r>
          </w:p>
        </w:tc>
      </w:tr>
      <w:tr>
        <w:trPr>
          <w:trHeight w:val="168"/>
        </w:trPr>
        <w:tc>
          <w:tcPr>
            <w:tcW w:w="6360" w:type="dxa"/>
            <w:vAlign w:val="bottom"/>
          </w:tcPr>
          <w:p>
            <w:pPr>
              <w:spacing w:after="0"/>
              <w:rPr>
                <w:sz w:val="14"/>
                <w:szCs w:val="14"/>
                <w:color w:val="auto"/>
              </w:rPr>
            </w:pP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A Convertible Redeemable Preferred Stock, liquidation</w:t>
            </w:r>
          </w:p>
        </w:tc>
        <w:tc>
          <w:tcPr>
            <w:tcW w:w="27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preference $50.00 per share, 2,000,000 shares issued</w:t>
            </w:r>
          </w:p>
        </w:tc>
        <w:tc>
          <w:tcPr>
            <w:tcW w:w="27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outstanding</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100,000</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6360" w:type="dxa"/>
            <w:vAlign w:val="bottom"/>
          </w:tcPr>
          <w:p>
            <w:pPr>
              <w:spacing w:after="0"/>
              <w:rPr>
                <w:sz w:val="14"/>
                <w:szCs w:val="14"/>
                <w:color w:val="auto"/>
              </w:rPr>
            </w:pP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7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Excess stock, $.01 par value, 150,000,000 shares</w:t>
            </w:r>
          </w:p>
        </w:tc>
        <w:tc>
          <w:tcPr>
            <w:tcW w:w="27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3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authorized, none issued or outstanding</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Common stock, $.01 par value, 250,000,000 shares</w:t>
            </w:r>
          </w:p>
        </w:tc>
        <w:tc>
          <w:tcPr>
            <w:tcW w:w="27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3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authorized, 67,954,225 and 67,910,434 issued and</w:t>
            </w:r>
          </w:p>
        </w:tc>
        <w:tc>
          <w:tcPr>
            <w:tcW w:w="27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3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outstanding in 2000 and 1999, respectively</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680</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679</w:t>
            </w: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1,060,341</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1,067,778</w:t>
            </w: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Dividends in excess of earnings</w:t>
            </w:r>
          </w:p>
        </w:tc>
        <w:tc>
          <w:tcPr>
            <w:tcW w:w="27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(10,495)</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(10,893)</w:t>
            </w: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27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(1,007)</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58,563</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1,108,082</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1,057,564</w:t>
            </w:r>
          </w:p>
        </w:tc>
      </w:tr>
      <w:tr>
        <w:trPr>
          <w:trHeight w:val="168"/>
        </w:trPr>
        <w:tc>
          <w:tcPr>
            <w:tcW w:w="6360" w:type="dxa"/>
            <w:vAlign w:val="bottom"/>
          </w:tcPr>
          <w:p>
            <w:pPr>
              <w:spacing w:after="0"/>
              <w:rPr>
                <w:sz w:val="14"/>
                <w:szCs w:val="14"/>
                <w:color w:val="auto"/>
              </w:rPr>
            </w:pP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6"/>
              </w:rPr>
              <w:t>Total liabilities and stockholders' equity</w:t>
            </w: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$ 5,716,317</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$ 5,434,772</w:t>
            </w:r>
          </w:p>
        </w:tc>
      </w:tr>
      <w:tr>
        <w:trPr>
          <w:trHeight w:val="168"/>
        </w:trPr>
        <w:tc>
          <w:tcPr>
            <w:tcW w:w="6360" w:type="dxa"/>
            <w:vAlign w:val="bottom"/>
          </w:tcPr>
          <w:p>
            <w:pPr>
              <w:spacing w:after="0"/>
              <w:rPr>
                <w:sz w:val="14"/>
                <w:szCs w:val="14"/>
                <w:color w:val="auto"/>
              </w:rPr>
            </w:pPr>
          </w:p>
        </w:tc>
        <w:tc>
          <w:tcPr>
            <w:tcW w:w="2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940"/>
          </w:cols>
          <w:pgMar w:left="220" w:top="617" w:right="739" w:bottom="1440" w:gutter="0" w:footer="0" w:header="0"/>
        </w:sectPr>
      </w:pPr>
    </w:p>
    <w:bookmarkStart w:id="46" w:name="page47"/>
    <w:bookmarkEnd w:id="46"/>
    <w:p>
      <w:pPr>
        <w:jc w:val="center"/>
        <w:ind w:right="3839"/>
        <w:spacing w:after="0"/>
        <w:rPr>
          <w:sz w:val="20"/>
          <w:szCs w:val="20"/>
          <w:color w:val="auto"/>
        </w:rPr>
      </w:pPr>
      <w:r>
        <w:rPr>
          <w:rFonts w:ascii="Courier New" w:cs="Courier New" w:eastAsia="Courier New" w:hAnsi="Courier New"/>
          <w:sz w:val="15"/>
          <w:szCs w:val="15"/>
          <w:color w:val="auto"/>
        </w:rPr>
        <w:t>BOSTON PROPERTIES, INC.</w:t>
      </w:r>
    </w:p>
    <w:p>
      <w:pPr>
        <w:jc w:val="center"/>
        <w:ind w:right="3839"/>
        <w:spacing w:after="0" w:line="237" w:lineRule="auto"/>
        <w:rPr>
          <w:sz w:val="20"/>
          <w:szCs w:val="20"/>
          <w:color w:val="auto"/>
        </w:rPr>
      </w:pPr>
      <w:r>
        <w:rPr>
          <w:rFonts w:ascii="Courier New" w:cs="Courier New" w:eastAsia="Courier New" w:hAnsi="Courier New"/>
          <w:sz w:val="15"/>
          <w:szCs w:val="15"/>
          <w:color w:val="auto"/>
        </w:rPr>
        <w:t>FUNDS FROM OPERATIONS</w:t>
      </w:r>
    </w:p>
    <w:tbl>
      <w:tblPr>
        <w:tblLayout w:type="fixed"/>
        <w:tblInd w:w="0" w:type="dxa"/>
        <w:tblCellMar>
          <w:top w:w="0" w:type="dxa"/>
          <w:left w:w="0" w:type="dxa"/>
          <w:bottom w:w="0" w:type="dxa"/>
          <w:right w:w="0" w:type="dxa"/>
        </w:tblCellMar>
      </w:tblPr>
      <w:tr>
        <w:trPr>
          <w:trHeight w:val="169"/>
        </w:trPr>
        <w:tc>
          <w:tcPr>
            <w:tcW w:w="6180" w:type="dxa"/>
            <w:vAlign w:val="bottom"/>
          </w:tcPr>
          <w:p>
            <w:pPr>
              <w:ind w:left="2020"/>
              <w:spacing w:after="0" w:line="169" w:lineRule="exact"/>
              <w:rPr>
                <w:sz w:val="20"/>
                <w:szCs w:val="20"/>
                <w:color w:val="auto"/>
              </w:rPr>
            </w:pPr>
            <w:r>
              <w:rPr>
                <w:rFonts w:ascii="Courier New" w:cs="Courier New" w:eastAsia="Courier New" w:hAnsi="Courier New"/>
                <w:sz w:val="15"/>
                <w:szCs w:val="15"/>
                <w:color w:val="auto"/>
              </w:rPr>
              <w:t>(UNAUDITED AND IN THOUSANDS)</w:t>
            </w: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73"/>
        </w:trPr>
        <w:tc>
          <w:tcPr>
            <w:tcW w:w="6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6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MARCH 31,</w:t>
            </w:r>
          </w:p>
        </w:tc>
        <w:tc>
          <w:tcPr>
            <w:tcW w:w="660" w:type="dxa"/>
            <w:vAlign w:val="bottom"/>
          </w:tcPr>
          <w:p>
            <w:pPr>
              <w:spacing w:after="0"/>
              <w:rPr>
                <w:sz w:val="14"/>
                <w:szCs w:val="14"/>
                <w:color w:val="auto"/>
              </w:rPr>
            </w:pPr>
          </w:p>
        </w:tc>
      </w:tr>
      <w:tr>
        <w:trPr>
          <w:trHeight w:val="168"/>
        </w:trPr>
        <w:tc>
          <w:tcPr>
            <w:tcW w:w="6180" w:type="dxa"/>
            <w:vAlign w:val="bottom"/>
          </w:tcPr>
          <w:p>
            <w:pPr>
              <w:spacing w:after="0"/>
              <w:rPr>
                <w:sz w:val="14"/>
                <w:szCs w:val="14"/>
                <w:color w:val="auto"/>
              </w:rPr>
            </w:pPr>
          </w:p>
        </w:tc>
        <w:tc>
          <w:tcPr>
            <w:tcW w:w="35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180" w:type="dxa"/>
            <w:vAlign w:val="bottom"/>
          </w:tcPr>
          <w:p>
            <w:pPr>
              <w:spacing w:after="0"/>
              <w:rPr>
                <w:sz w:val="14"/>
                <w:szCs w:val="14"/>
                <w:color w:val="auto"/>
              </w:rPr>
            </w:pPr>
          </w:p>
        </w:tc>
        <w:tc>
          <w:tcPr>
            <w:tcW w:w="1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Income before minority interests and joint venture income</w:t>
            </w:r>
          </w:p>
        </w:tc>
        <w:tc>
          <w:tcPr>
            <w:tcW w:w="1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$ 50,223</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$ 45,427</w:t>
            </w: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Real estate depreciation and amortization</w:t>
            </w:r>
          </w:p>
        </w:tc>
        <w:tc>
          <w:tcPr>
            <w:tcW w:w="13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32,052</w:t>
            </w:r>
          </w:p>
        </w:tc>
        <w:tc>
          <w:tcPr>
            <w:tcW w:w="9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27,549</w:t>
            </w:r>
          </w:p>
        </w:tc>
      </w:tr>
      <w:tr>
        <w:trPr>
          <w:trHeight w:val="168"/>
        </w:trPr>
        <w:tc>
          <w:tcPr>
            <w:tcW w:w="6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from unconsolidated joint ventures</w:t>
            </w:r>
          </w:p>
        </w:tc>
        <w:tc>
          <w:tcPr>
            <w:tcW w:w="13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w:t>
            </w:r>
          </w:p>
        </w:tc>
        <w:tc>
          <w:tcPr>
            <w:tcW w:w="9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w:t>
            </w: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Minority property partnership's share</w:t>
            </w: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1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of Funds from Operations</w:t>
            </w:r>
          </w:p>
        </w:tc>
        <w:tc>
          <w:tcPr>
            <w:tcW w:w="1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w:t>
            </w:r>
          </w:p>
        </w:tc>
        <w:tc>
          <w:tcPr>
            <w:tcW w:w="9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(3,163)</w:t>
            </w:r>
          </w:p>
        </w:tc>
      </w:tr>
      <w:tr>
        <w:trPr>
          <w:trHeight w:val="168"/>
        </w:trPr>
        <w:tc>
          <w:tcPr>
            <w:tcW w:w="6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Preferred dividends and distributions</w:t>
            </w:r>
          </w:p>
        </w:tc>
        <w:tc>
          <w:tcPr>
            <w:tcW w:w="1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(8,250)</w:t>
            </w:r>
          </w:p>
        </w:tc>
        <w:tc>
          <w:tcPr>
            <w:tcW w:w="9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(7,212)</w:t>
            </w:r>
          </w:p>
        </w:tc>
      </w:tr>
      <w:tr>
        <w:trPr>
          <w:trHeight w:val="168"/>
        </w:trPr>
        <w:tc>
          <w:tcPr>
            <w:tcW w:w="6180" w:type="dxa"/>
            <w:vAlign w:val="bottom"/>
          </w:tcPr>
          <w:p>
            <w:pPr>
              <w:spacing w:after="0"/>
              <w:rPr>
                <w:sz w:val="14"/>
                <w:szCs w:val="14"/>
                <w:color w:val="auto"/>
              </w:rPr>
            </w:pPr>
          </w:p>
        </w:tc>
        <w:tc>
          <w:tcPr>
            <w:tcW w:w="1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Funds from operations</w:t>
            </w:r>
          </w:p>
        </w:tc>
        <w:tc>
          <w:tcPr>
            <w:tcW w:w="1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$ 73,946</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$ 62,814</w:t>
            </w:r>
          </w:p>
        </w:tc>
      </w:tr>
      <w:tr>
        <w:trPr>
          <w:trHeight w:val="168"/>
        </w:trPr>
        <w:tc>
          <w:tcPr>
            <w:tcW w:w="6180" w:type="dxa"/>
            <w:vAlign w:val="bottom"/>
          </w:tcPr>
          <w:p>
            <w:pPr>
              <w:spacing w:after="0"/>
              <w:rPr>
                <w:sz w:val="14"/>
                <w:szCs w:val="14"/>
                <w:color w:val="auto"/>
              </w:rPr>
            </w:pPr>
          </w:p>
        </w:tc>
        <w:tc>
          <w:tcPr>
            <w:tcW w:w="1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Funds from operations available to common shareholders</w:t>
            </w:r>
          </w:p>
        </w:tc>
        <w:tc>
          <w:tcPr>
            <w:tcW w:w="1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$ 54,641</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$ 45,697</w:t>
            </w:r>
          </w:p>
        </w:tc>
      </w:tr>
      <w:tr>
        <w:trPr>
          <w:trHeight w:val="168"/>
        </w:trPr>
        <w:tc>
          <w:tcPr>
            <w:tcW w:w="6180" w:type="dxa"/>
            <w:vAlign w:val="bottom"/>
          </w:tcPr>
          <w:p>
            <w:pPr>
              <w:spacing w:after="0"/>
              <w:rPr>
                <w:sz w:val="14"/>
                <w:szCs w:val="14"/>
                <w:color w:val="auto"/>
              </w:rPr>
            </w:pPr>
          </w:p>
        </w:tc>
        <w:tc>
          <w:tcPr>
            <w:tcW w:w="1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 - basic</w:t>
            </w:r>
          </w:p>
        </w:tc>
        <w:tc>
          <w:tcPr>
            <w:tcW w:w="130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67,943</w:t>
            </w:r>
          </w:p>
        </w:tc>
        <w:tc>
          <w:tcPr>
            <w:tcW w:w="92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63,534</w:t>
            </w:r>
          </w:p>
        </w:tc>
      </w:tr>
      <w:tr>
        <w:trPr>
          <w:trHeight w:val="168"/>
        </w:trPr>
        <w:tc>
          <w:tcPr>
            <w:tcW w:w="6180" w:type="dxa"/>
            <w:vAlign w:val="bottom"/>
          </w:tcPr>
          <w:p>
            <w:pPr>
              <w:spacing w:after="0"/>
              <w:rPr>
                <w:sz w:val="14"/>
                <w:szCs w:val="14"/>
                <w:color w:val="auto"/>
              </w:rPr>
            </w:pPr>
          </w:p>
        </w:tc>
        <w:tc>
          <w:tcPr>
            <w:tcW w:w="1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Per share - basic</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0.72</w:t>
            </w:r>
          </w:p>
        </w:tc>
      </w:tr>
      <w:tr>
        <w:trPr>
          <w:trHeight w:val="168"/>
        </w:trPr>
        <w:tc>
          <w:tcPr>
            <w:tcW w:w="6180" w:type="dxa"/>
            <w:vAlign w:val="bottom"/>
          </w:tcPr>
          <w:p>
            <w:pPr>
              <w:spacing w:after="0"/>
              <w:rPr>
                <w:sz w:val="14"/>
                <w:szCs w:val="14"/>
                <w:color w:val="auto"/>
              </w:rPr>
            </w:pPr>
          </w:p>
        </w:tc>
        <w:tc>
          <w:tcPr>
            <w:tcW w:w="1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 - diluted</w:t>
            </w:r>
          </w:p>
        </w:tc>
        <w:tc>
          <w:tcPr>
            <w:tcW w:w="130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81,381</w:t>
            </w:r>
          </w:p>
        </w:tc>
        <w:tc>
          <w:tcPr>
            <w:tcW w:w="92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75,862</w:t>
            </w:r>
          </w:p>
        </w:tc>
      </w:tr>
      <w:tr>
        <w:trPr>
          <w:trHeight w:val="168"/>
        </w:trPr>
        <w:tc>
          <w:tcPr>
            <w:tcW w:w="6180" w:type="dxa"/>
            <w:vAlign w:val="bottom"/>
          </w:tcPr>
          <w:p>
            <w:pPr>
              <w:spacing w:after="0"/>
              <w:rPr>
                <w:sz w:val="14"/>
                <w:szCs w:val="14"/>
                <w:color w:val="auto"/>
              </w:rPr>
            </w:pPr>
          </w:p>
        </w:tc>
        <w:tc>
          <w:tcPr>
            <w:tcW w:w="1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Per share - diluted</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0.70</w:t>
            </w:r>
          </w:p>
        </w:tc>
      </w:tr>
      <w:tr>
        <w:trPr>
          <w:trHeight w:val="168"/>
        </w:trPr>
        <w:tc>
          <w:tcPr>
            <w:tcW w:w="6180" w:type="dxa"/>
            <w:vAlign w:val="bottom"/>
          </w:tcPr>
          <w:p>
            <w:pPr>
              <w:spacing w:after="0"/>
              <w:rPr>
                <w:sz w:val="14"/>
                <w:szCs w:val="14"/>
                <w:color w:val="auto"/>
              </w:rPr>
            </w:pPr>
          </w:p>
        </w:tc>
        <w:tc>
          <w:tcPr>
            <w:tcW w:w="1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617" w:right="1440" w:bottom="1440" w:gutter="0" w:footer="0" w:header="0"/>
        </w:sectPr>
      </w:pPr>
    </w:p>
    <w:bookmarkStart w:id="47" w:name="page48"/>
    <w:bookmarkEnd w:id="47"/>
    <w:p>
      <w:pPr>
        <w:jc w:val="center"/>
        <w:ind w:right="3139"/>
        <w:spacing w:after="0"/>
        <w:rPr>
          <w:sz w:val="20"/>
          <w:szCs w:val="20"/>
          <w:color w:val="auto"/>
        </w:rPr>
      </w:pPr>
      <w:r>
        <w:rPr>
          <w:rFonts w:ascii="Courier New" w:cs="Courier New" w:eastAsia="Courier New" w:hAnsi="Courier New"/>
          <w:sz w:val="15"/>
          <w:szCs w:val="15"/>
          <w:color w:val="auto"/>
        </w:rPr>
        <w:t>BOSTON PROPERTIES,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PORTFOLIO OCCUPANCY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5820" w:type="dxa"/>
            <w:vAlign w:val="bottom"/>
            <w:gridSpan w:val="2"/>
          </w:tcPr>
          <w:p>
            <w:pPr>
              <w:jc w:val="right"/>
              <w:ind w:right="1147"/>
              <w:spacing w:after="0"/>
              <w:rPr>
                <w:sz w:val="20"/>
                <w:szCs w:val="20"/>
                <w:color w:val="auto"/>
              </w:rPr>
            </w:pPr>
            <w:r>
              <w:rPr>
                <w:rFonts w:ascii="Courier New" w:cs="Courier New" w:eastAsia="Courier New" w:hAnsi="Courier New"/>
                <w:sz w:val="15"/>
                <w:szCs w:val="15"/>
                <w:color w:val="auto"/>
              </w:rPr>
              <w:t>Occupancy by Location</w:t>
            </w:r>
          </w:p>
        </w:tc>
      </w:tr>
      <w:tr>
        <w:trPr>
          <w:trHeight w:val="168"/>
        </w:trPr>
        <w:tc>
          <w:tcPr>
            <w:tcW w:w="4160" w:type="dxa"/>
            <w:vAlign w:val="bottom"/>
          </w:tcPr>
          <w:p>
            <w:pPr>
              <w:spacing w:after="0"/>
              <w:rPr>
                <w:sz w:val="14"/>
                <w:szCs w:val="14"/>
                <w:color w:val="auto"/>
              </w:rPr>
            </w:pPr>
          </w:p>
        </w:tc>
        <w:tc>
          <w:tcPr>
            <w:tcW w:w="5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 2000</w:t>
            </w:r>
          </w:p>
        </w:tc>
        <w:tc>
          <w:tcPr>
            <w:tcW w:w="2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 1999</w:t>
            </w:r>
          </w:p>
        </w:tc>
      </w:tr>
      <w:tr>
        <w:trPr>
          <w:trHeight w:val="168"/>
        </w:trPr>
        <w:tc>
          <w:tcPr>
            <w:tcW w:w="4160" w:type="dxa"/>
            <w:vAlign w:val="bottom"/>
          </w:tcPr>
          <w:p>
            <w:pPr>
              <w:spacing w:after="0"/>
              <w:rPr>
                <w:sz w:val="14"/>
                <w:szCs w:val="14"/>
                <w:color w:val="auto"/>
              </w:rPr>
            </w:pPr>
          </w:p>
        </w:tc>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Greater Boston</w:t>
            </w:r>
          </w:p>
        </w:tc>
        <w:tc>
          <w:tcPr>
            <w:tcW w:w="2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99.0%</w:t>
            </w:r>
          </w:p>
        </w:tc>
        <w:tc>
          <w:tcPr>
            <w:tcW w:w="2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96.7%</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Washington, D.C.</w:t>
            </w:r>
          </w:p>
        </w:tc>
        <w:tc>
          <w:tcPr>
            <w:tcW w:w="29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96.3%</w:t>
            </w:r>
          </w:p>
        </w:tc>
        <w:tc>
          <w:tcPr>
            <w:tcW w:w="2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96.4%</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Midtown Manhattan</w:t>
            </w:r>
          </w:p>
        </w:tc>
        <w:tc>
          <w:tcPr>
            <w:tcW w:w="29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100.0%</w:t>
            </w:r>
          </w:p>
        </w:tc>
        <w:tc>
          <w:tcPr>
            <w:tcW w:w="2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97.8%</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Baltimore, MD</w:t>
            </w:r>
          </w:p>
        </w:tc>
        <w:tc>
          <w:tcPr>
            <w:tcW w:w="29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99.3%</w:t>
            </w:r>
          </w:p>
        </w:tc>
        <w:tc>
          <w:tcPr>
            <w:tcW w:w="2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99.7%</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Richmond, VA</w:t>
            </w:r>
          </w:p>
        </w:tc>
        <w:tc>
          <w:tcPr>
            <w:tcW w:w="29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99.7%</w:t>
            </w:r>
          </w:p>
        </w:tc>
        <w:tc>
          <w:tcPr>
            <w:tcW w:w="2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98.0%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Princeton/East Brunswick, NJ</w:t>
            </w:r>
          </w:p>
        </w:tc>
        <w:tc>
          <w:tcPr>
            <w:tcW w:w="29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99.7%</w:t>
            </w:r>
          </w:p>
        </w:tc>
        <w:tc>
          <w:tcPr>
            <w:tcW w:w="2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98.9%</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San Francisco</w:t>
            </w:r>
          </w:p>
        </w:tc>
        <w:tc>
          <w:tcPr>
            <w:tcW w:w="29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99.0%</w:t>
            </w:r>
          </w:p>
        </w:tc>
        <w:tc>
          <w:tcPr>
            <w:tcW w:w="2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96.4%</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Bucks County, PA</w:t>
            </w:r>
          </w:p>
        </w:tc>
        <w:tc>
          <w:tcPr>
            <w:tcW w:w="29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100.0%</w:t>
            </w:r>
          </w:p>
        </w:tc>
        <w:tc>
          <w:tcPr>
            <w:tcW w:w="2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160" w:type="dxa"/>
            <w:vAlign w:val="bottom"/>
          </w:tcPr>
          <w:p>
            <w:pPr>
              <w:spacing w:after="0"/>
              <w:rPr>
                <w:sz w:val="14"/>
                <w:szCs w:val="14"/>
                <w:color w:val="auto"/>
              </w:rPr>
            </w:pPr>
          </w:p>
        </w:tc>
        <w:tc>
          <w:tcPr>
            <w:tcW w:w="29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Portfolio</w:t>
            </w:r>
          </w:p>
        </w:tc>
        <w:tc>
          <w:tcPr>
            <w:tcW w:w="29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98.5%</w:t>
            </w:r>
          </w:p>
        </w:tc>
        <w:tc>
          <w:tcPr>
            <w:tcW w:w="2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97.1%</w:t>
            </w:r>
          </w:p>
        </w:tc>
      </w:tr>
      <w:tr>
        <w:trPr>
          <w:trHeight w:val="168"/>
        </w:trPr>
        <w:tc>
          <w:tcPr>
            <w:tcW w:w="4160" w:type="dxa"/>
            <w:vAlign w:val="bottom"/>
          </w:tcPr>
          <w:p>
            <w:pPr>
              <w:spacing w:after="0"/>
              <w:rPr>
                <w:sz w:val="14"/>
                <w:szCs w:val="14"/>
                <w:color w:val="auto"/>
              </w:rPr>
            </w:pPr>
          </w:p>
        </w:tc>
        <w:tc>
          <w:tcPr>
            <w:tcW w:w="29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80" w:type="dxa"/>
            <w:vAlign w:val="bottom"/>
          </w:tcPr>
          <w:p>
            <w:pPr>
              <w:jc w:val="right"/>
              <w:ind w:right="1327"/>
              <w:spacing w:after="0"/>
              <w:rPr>
                <w:sz w:val="20"/>
                <w:szCs w:val="20"/>
                <w:color w:val="auto"/>
              </w:rPr>
            </w:pPr>
            <w:r>
              <w:rPr>
                <w:rFonts w:ascii="Courier New" w:cs="Courier New" w:eastAsia="Courier New" w:hAnsi="Courier New"/>
                <w:sz w:val="15"/>
                <w:szCs w:val="15"/>
                <w:color w:val="auto"/>
                <w:w w:val="95"/>
              </w:rPr>
              <w:t>Occupancy by Type</w:t>
            </w:r>
          </w:p>
        </w:tc>
      </w:tr>
      <w:tr>
        <w:trPr>
          <w:trHeight w:val="168"/>
        </w:trPr>
        <w:tc>
          <w:tcPr>
            <w:tcW w:w="4160" w:type="dxa"/>
            <w:vAlign w:val="bottom"/>
          </w:tcPr>
          <w:p>
            <w:pPr>
              <w:spacing w:after="0"/>
              <w:rPr>
                <w:sz w:val="14"/>
                <w:szCs w:val="14"/>
                <w:color w:val="auto"/>
              </w:rPr>
            </w:pPr>
          </w:p>
        </w:tc>
        <w:tc>
          <w:tcPr>
            <w:tcW w:w="5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 2000</w:t>
            </w:r>
          </w:p>
        </w:tc>
        <w:tc>
          <w:tcPr>
            <w:tcW w:w="2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 1999</w:t>
            </w:r>
          </w:p>
        </w:tc>
      </w:tr>
      <w:tr>
        <w:trPr>
          <w:trHeight w:val="168"/>
        </w:trPr>
        <w:tc>
          <w:tcPr>
            <w:tcW w:w="4160" w:type="dxa"/>
            <w:vAlign w:val="bottom"/>
          </w:tcPr>
          <w:p>
            <w:pPr>
              <w:spacing w:after="0"/>
              <w:rPr>
                <w:sz w:val="14"/>
                <w:szCs w:val="14"/>
                <w:color w:val="auto"/>
              </w:rPr>
            </w:pPr>
          </w:p>
        </w:tc>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Class A Office Portfolio</w:t>
            </w:r>
          </w:p>
        </w:tc>
        <w:tc>
          <w:tcPr>
            <w:tcW w:w="2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99.1%</w:t>
            </w:r>
          </w:p>
        </w:tc>
        <w:tc>
          <w:tcPr>
            <w:tcW w:w="2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97.7%</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R&amp;D Portfolio</w:t>
            </w:r>
          </w:p>
        </w:tc>
        <w:tc>
          <w:tcPr>
            <w:tcW w:w="29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94.0%</w:t>
            </w:r>
          </w:p>
        </w:tc>
        <w:tc>
          <w:tcPr>
            <w:tcW w:w="2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93.0%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Industrial Portfolio</w:t>
            </w:r>
          </w:p>
        </w:tc>
        <w:tc>
          <w:tcPr>
            <w:tcW w:w="29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92.5%</w:t>
            </w:r>
          </w:p>
        </w:tc>
        <w:tc>
          <w:tcPr>
            <w:tcW w:w="2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90.4%</w:t>
            </w:r>
          </w:p>
        </w:tc>
      </w:tr>
      <w:tr>
        <w:trPr>
          <w:trHeight w:val="168"/>
        </w:trPr>
        <w:tc>
          <w:tcPr>
            <w:tcW w:w="4160" w:type="dxa"/>
            <w:vAlign w:val="bottom"/>
          </w:tcPr>
          <w:p>
            <w:pPr>
              <w:spacing w:after="0"/>
              <w:rPr>
                <w:sz w:val="14"/>
                <w:szCs w:val="14"/>
                <w:color w:val="auto"/>
              </w:rPr>
            </w:pPr>
          </w:p>
        </w:tc>
        <w:tc>
          <w:tcPr>
            <w:tcW w:w="29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Portfolio</w:t>
            </w:r>
          </w:p>
        </w:tc>
        <w:tc>
          <w:tcPr>
            <w:tcW w:w="29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98.5%</w:t>
            </w:r>
          </w:p>
        </w:tc>
        <w:tc>
          <w:tcPr>
            <w:tcW w:w="2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97.1%</w:t>
            </w:r>
          </w:p>
        </w:tc>
      </w:tr>
      <w:tr>
        <w:trPr>
          <w:trHeight w:val="168"/>
        </w:trPr>
        <w:tc>
          <w:tcPr>
            <w:tcW w:w="4160" w:type="dxa"/>
            <w:vAlign w:val="bottom"/>
          </w:tcPr>
          <w:p>
            <w:pPr>
              <w:spacing w:after="0"/>
              <w:rPr>
                <w:sz w:val="14"/>
                <w:szCs w:val="14"/>
                <w:color w:val="auto"/>
              </w:rPr>
            </w:pPr>
          </w:p>
        </w:tc>
        <w:tc>
          <w:tcPr>
            <w:tcW w:w="29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 w:lineRule="exact"/>
        <w:rPr>
          <w:sz w:val="20"/>
          <w:szCs w:val="20"/>
          <w:color w:val="auto"/>
        </w:rPr>
      </w:pP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lowerLetter"/>
      <w:start w:val="3"/>
    </w:lvl>
  </w:abstractNum>
  <w:abstractNum w:abstractNumId="1">
    <w:nsid w:val="140E0F76"/>
    <w:multiLevelType w:val="hybridMultilevel"/>
    <w:lvl w:ilvl="0">
      <w:lvlJc w:val="left"/>
      <w:lvlText w:val="%1"/>
      <w:numFmt w:val="decimal"/>
      <w:start w:val="1"/>
    </w:lvl>
    <w:lvl w:ilvl="1">
      <w:lvlJc w:val="left"/>
      <w:lvlText w:val="(%2)"/>
      <w:numFmt w:val="decimal"/>
      <w:start w:val="617"/>
    </w:lvl>
  </w:abstractNum>
  <w:abstractNum w:abstractNumId="2">
    <w:nsid w:val="3352255A"/>
    <w:multiLevelType w:val="hybridMultilevel"/>
    <w:lvl w:ilvl="0">
      <w:lvlJc w:val="left"/>
      <w:lvlText w:val="(%1)"/>
      <w:numFmt w:val="decimal"/>
      <w:start w:val="617"/>
    </w:lvl>
    <w:lvl w:ilvl="1">
      <w:lvlJc w:val="left"/>
      <w:lvlText w:val="%2"/>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2019-12-14T15:54:09Z</dcterms:created>
  <dcterms:modified xsi:type="dcterms:W3CDTF">2019-12-14T15:54:09Z</dcterms:modified>
</cp:coreProperties>
</file>