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79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793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FLASHMAN ARTHUR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BOSTON PROPERTIES,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800 BOYLSTON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BOSTON PROPERTIES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BXP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Vice President - Controller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BOSTON</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02199</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jc w:val="right"/>
              <w:ind w:right="419"/>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LTIP</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02/03/2012</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1,022</w:t>
            </w:r>
          </w:p>
        </w:tc>
        <w:tc>
          <w:tcPr>
            <w:tcW w:w="340" w:type="dxa"/>
            <w:vAlign w:val="bottom"/>
          </w:tcPr>
          <w:p>
            <w:pPr>
              <w:spacing w:after="0"/>
              <w:rPr>
                <w:sz w:val="16"/>
                <w:szCs w:val="16"/>
                <w:color w:val="auto"/>
              </w:rPr>
            </w:pPr>
          </w:p>
        </w:tc>
        <w:tc>
          <w:tcPr>
            <w:tcW w:w="780" w:type="dxa"/>
            <w:vAlign w:val="bottom"/>
            <w:gridSpan w:val="2"/>
            <w:vMerge w:val="restart"/>
          </w:tcPr>
          <w:p>
            <w:pPr>
              <w:jc w:val="right"/>
              <w:ind w:right="239"/>
              <w:spacing w:after="0"/>
              <w:rPr>
                <w:sz w:val="20"/>
                <w:szCs w:val="20"/>
                <w:color w:val="auto"/>
              </w:rPr>
            </w:pPr>
            <w:r>
              <w:rPr>
                <w:rFonts w:ascii="Arial" w:cs="Arial" w:eastAsia="Arial" w:hAnsi="Arial"/>
                <w:sz w:val="11"/>
                <w:szCs w:val="11"/>
                <w:color w:val="008000"/>
              </w:rPr>
              <w:t>(1)(2)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1,022</w:t>
            </w:r>
          </w:p>
        </w:tc>
        <w:tc>
          <w:tcPr>
            <w:tcW w:w="40" w:type="dxa"/>
            <w:vAlign w:val="bottom"/>
          </w:tcPr>
          <w:p>
            <w:pPr>
              <w:spacing w:after="0"/>
              <w:rPr>
                <w:sz w:val="16"/>
                <w:szCs w:val="16"/>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0.25</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4,828</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ind w:left="160"/>
              <w:spacing w:after="0" w:line="68" w:lineRule="exact"/>
              <w:rPr>
                <w:sz w:val="20"/>
                <w:szCs w:val="20"/>
                <w:color w:val="auto"/>
              </w:rPr>
            </w:pPr>
            <w:r>
              <w:rPr>
                <w:rFonts w:ascii="Arial" w:cs="Arial" w:eastAsia="Arial" w:hAnsi="Arial"/>
                <w:sz w:val="7"/>
                <w:szCs w:val="7"/>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units of limited partnership interest in Boston Properties Limited Partnership (BPLP), of which the Issuer is the general partner, issued as long term incentive compensation pursuant to the Issuer's equity based compensatory programs. Conditioned upon minimum allocations to the capital accounts of the LTIP Units for federal income tax purposes, each LTIP Unit may be converted, at the election of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1,022 LTIP Units vest in four equal annual installments beginning on January 15, 2013.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6"/>
              </w:rPr>
              <w:t>/s/ Kelli A. DiLuglio,</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02/07/2012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7095"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2019-12-18T11:03:21Z</dcterms:created>
  <dcterms:modified xsi:type="dcterms:W3CDTF">2019-12-18T11:03:21Z</dcterms:modified>
</cp:coreProperties>
</file>