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766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6631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ZUCKERMAN MORTIMER B</w:t>
              </w:r>
            </w:hyperlink>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10"/>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BOSTON PROPERTIES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BXP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80" w:type="dxa"/>
            <w:vAlign w:val="bottom"/>
            <w:gridSpan w:val="6"/>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gridSpan w:val="6"/>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8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9"/>
            <w:vMerge w:val="continue"/>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MORTIMER ZUCKERMAN COMPANY</w:t>
            </w:r>
          </w:p>
        </w:tc>
        <w:tc>
          <w:tcPr>
            <w:tcW w:w="1360" w:type="dxa"/>
            <w:vAlign w:val="bottom"/>
            <w:gridSpan w:val="5"/>
          </w:tcPr>
          <w:p>
            <w:pPr>
              <w:ind w:left="260"/>
              <w:spacing w:after="0"/>
              <w:rPr>
                <w:sz w:val="20"/>
                <w:szCs w:val="20"/>
                <w:color w:val="auto"/>
              </w:rPr>
            </w:pPr>
            <w:r>
              <w:rPr>
                <w:rFonts w:ascii="Arial" w:cs="Arial" w:eastAsia="Arial" w:hAnsi="Arial"/>
                <w:sz w:val="17"/>
                <w:szCs w:val="17"/>
                <w:color w:val="0000FF"/>
              </w:rPr>
              <w:t>02/22/2016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510 MADISON AVENUE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2"/>
          </w:tcPr>
          <w:p>
            <w:pPr>
              <w:spacing w:after="0"/>
              <w:rPr>
                <w:sz w:val="20"/>
                <w:szCs w:val="20"/>
                <w:color w:val="auto"/>
              </w:rPr>
            </w:pPr>
            <w:r>
              <w:rPr>
                <w:rFonts w:ascii="Arial" w:cs="Arial" w:eastAsia="Arial" w:hAnsi="Arial"/>
                <w:sz w:val="17"/>
                <w:szCs w:val="17"/>
                <w:color w:val="0000FF"/>
              </w:rPr>
              <w:t>NY</w:t>
            </w:r>
          </w:p>
        </w:tc>
        <w:tc>
          <w:tcPr>
            <w:tcW w:w="1140" w:type="dxa"/>
            <w:vAlign w:val="bottom"/>
            <w:gridSpan w:val="2"/>
          </w:tcPr>
          <w:p>
            <w:pPr>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2"/>
          </w:tcPr>
          <w:p>
            <w:pPr>
              <w:spacing w:after="0"/>
              <w:rPr>
                <w:sz w:val="11"/>
                <w:szCs w:val="11"/>
                <w:color w:val="auto"/>
              </w:rPr>
            </w:pPr>
          </w:p>
        </w:tc>
        <w:tc>
          <w:tcPr>
            <w:tcW w:w="102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000" w:type="dxa"/>
            <w:vAlign w:val="bottom"/>
            <w:tcBorders>
              <w:bottom w:val="single" w:sz="8" w:color="2C2C2C"/>
            </w:tcBorders>
            <w:gridSpan w:val="3"/>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5"/>
                <w:szCs w:val="15"/>
                <w:color w:val="auto"/>
              </w:rPr>
            </w:pPr>
          </w:p>
        </w:tc>
        <w:tc>
          <w:tcPr>
            <w:tcW w:w="1680" w:type="dxa"/>
            <w:vAlign w:val="bottom"/>
            <w:gridSpan w:val="5"/>
          </w:tcPr>
          <w:p>
            <w:pPr>
              <w:ind w:left="5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5"/>
          </w:tcPr>
          <w:p>
            <w:pPr>
              <w:ind w:left="56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3"/>
          </w:tcPr>
          <w:p>
            <w:pPr>
              <w:spacing w:after="0"/>
              <w:rPr>
                <w:sz w:val="7"/>
                <w:szCs w:val="7"/>
                <w:color w:val="auto"/>
              </w:rPr>
            </w:pPr>
          </w:p>
        </w:tc>
        <w:tc>
          <w:tcPr>
            <w:tcW w:w="16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20"/>
          </w:tcPr>
          <w:p>
            <w:pPr>
              <w:ind w:left="10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60" w:type="dxa"/>
            <w:vAlign w:val="bottom"/>
            <w:gridSpan w:val="16"/>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LTIP</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20" w:type="dxa"/>
            <w:vAlign w:val="bottom"/>
            <w:vMerge w:val="restart"/>
          </w:tcPr>
          <w:p>
            <w:pPr>
              <w:ind w:left="260"/>
              <w:spacing w:after="0"/>
              <w:rPr>
                <w:sz w:val="20"/>
                <w:szCs w:val="20"/>
                <w:color w:val="auto"/>
              </w:rPr>
            </w:pPr>
            <w:r>
              <w:rPr>
                <w:rFonts w:ascii="Arial" w:cs="Arial" w:eastAsia="Arial" w:hAnsi="Arial"/>
                <w:sz w:val="13"/>
                <w:szCs w:val="13"/>
                <w:color w:val="0000FF"/>
              </w:rPr>
              <w:t>02/22/2016</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vMerge w:val="restart"/>
          </w:tcPr>
          <w:p>
            <w:pPr>
              <w:ind w:left="8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11,049</w:t>
            </w:r>
          </w:p>
        </w:tc>
        <w:tc>
          <w:tcPr>
            <w:tcW w:w="340" w:type="dxa"/>
            <w:vAlign w:val="bottom"/>
          </w:tcPr>
          <w:p>
            <w:pPr>
              <w:spacing w:after="0"/>
              <w:rPr>
                <w:sz w:val="16"/>
                <w:szCs w:val="16"/>
                <w:color w:val="auto"/>
              </w:rPr>
            </w:pPr>
          </w:p>
        </w:tc>
        <w:tc>
          <w:tcPr>
            <w:tcW w:w="80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(2)(3)</w:t>
            </w:r>
          </w:p>
        </w:tc>
        <w:tc>
          <w:tcPr>
            <w:tcW w:w="160" w:type="dxa"/>
            <w:vAlign w:val="bottom"/>
          </w:tcPr>
          <w:p>
            <w:pPr>
              <w:spacing w:after="0"/>
              <w:rPr>
                <w:sz w:val="16"/>
                <w:szCs w:val="16"/>
                <w:color w:val="auto"/>
              </w:rPr>
            </w:pPr>
          </w:p>
        </w:tc>
        <w:tc>
          <w:tcPr>
            <w:tcW w:w="560" w:type="dxa"/>
            <w:vAlign w:val="bottom"/>
            <w:gridSpan w:val="2"/>
            <w:vMerge w:val="restart"/>
          </w:tcPr>
          <w:p>
            <w:pPr>
              <w:ind w:left="14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11,049</w:t>
            </w:r>
          </w:p>
        </w:tc>
        <w:tc>
          <w:tcPr>
            <w:tcW w:w="40" w:type="dxa"/>
            <w:vAlign w:val="bottom"/>
          </w:tcPr>
          <w:p>
            <w:pPr>
              <w:spacing w:after="0"/>
              <w:rPr>
                <w:sz w:val="16"/>
                <w:szCs w:val="16"/>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0.25</w:t>
            </w: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648,353</w:t>
            </w: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20" w:type="dxa"/>
            <w:vAlign w:val="bottom"/>
          </w:tcPr>
          <w:p>
            <w:pPr>
              <w:ind w:left="180"/>
              <w:spacing w:after="0" w:line="68" w:lineRule="exact"/>
              <w:rPr>
                <w:sz w:val="20"/>
                <w:szCs w:val="20"/>
                <w:color w:val="auto"/>
              </w:rPr>
            </w:pPr>
            <w:r>
              <w:rPr>
                <w:rFonts w:ascii="Arial" w:cs="Arial" w:eastAsia="Arial" w:hAnsi="Arial"/>
                <w:sz w:val="7"/>
                <w:szCs w:val="7"/>
                <w:color w:val="0000FF"/>
              </w:rPr>
              <w:t>Stock</w:t>
            </w: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units of limited partnership interest in Boston Properties Limited Partnership (BPLP), of which the Issuer is the general partner, earned (i.e., for which the performance-based hurdles have been met) pursuant to the Issuer's 2013 Multi-Year Long-Term Incentive Program (the "Program").</w:t>
      </w:r>
    </w:p>
    <w:p>
      <w:pPr>
        <w:spacing w:after="0" w:line="10" w:lineRule="exact"/>
        <w:rPr>
          <w:rFonts w:ascii="Arial" w:cs="Arial" w:eastAsia="Arial" w:hAnsi="Arial"/>
          <w:sz w:val="13"/>
          <w:szCs w:val="13"/>
          <w:color w:val="008000"/>
        </w:rPr>
      </w:pPr>
    </w:p>
    <w:p>
      <w:pPr>
        <w:jc w:val="both"/>
        <w:ind w:left="40" w:right="180" w:firstLine="8"/>
        <w:spacing w:after="0" w:line="248"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Conditioned upon minimum allocations to the capital accounts of the LTIP Units for federal income tax purposes, each LTIP Unit may be converted, at the election of the holder, into a common unit of limited partnership interest in BPLP (Common OP Unit). Each Common OP Unit acquired upon conversion of an LTIP Unit may be presented for redemption, at the election of the holder, for cash equal to the then fair market value of a share of the Issuer's Common Stock, except that the Issuer may, at its election, acquire each Common OP Unit so presented for one share of Common Stock. LTIP Units have no expiration date.</w:t>
      </w:r>
    </w:p>
    <w:p>
      <w:pPr>
        <w:spacing w:after="0" w:line="26" w:lineRule="exact"/>
        <w:rPr>
          <w:rFonts w:ascii="Arial" w:cs="Arial" w:eastAsia="Arial" w:hAnsi="Arial"/>
          <w:sz w:val="13"/>
          <w:szCs w:val="13"/>
          <w:color w:val="008000"/>
        </w:rPr>
      </w:pPr>
    </w:p>
    <w:p>
      <w:pPr>
        <w:jc w:val="both"/>
        <w:ind w:left="40" w:right="640" w:firstLine="8"/>
        <w:spacing w:after="0" w:line="296"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With respect to the 11,049 LTIP Units earned pursuant to the Program, 25% of such LTIP Units may not be transferred (nor may any Common OP Units issued upon conversion of such LTIP Units be redeemed) until February 4, 2017 and 50% of such LTIP Units may not be transferred (nor may any Common OP Units issued upon conversion of such LTIP Units be redeemed) until February 4, 2018.</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Kelli A. DiLuglio, as Attorney- </w:t>
      </w:r>
      <w:r>
        <w:rPr>
          <w:rFonts w:ascii="Arial" w:cs="Arial" w:eastAsia="Arial" w:hAnsi="Arial"/>
          <w:sz w:val="34"/>
          <w:szCs w:val="34"/>
          <w:color w:val="0000FF"/>
          <w:vertAlign w:val="subscript"/>
        </w:rPr>
        <w:t>02/23/2016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-27305</wp:posOffset>
            </wp:positionV>
            <wp:extent cx="13976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763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313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369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6186" TargetMode="External"/><Relationship Id="rId13"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2019-12-06T16:50:26Z</dcterms:created>
  <dcterms:modified xsi:type="dcterms:W3CDTF">2019-12-06T16:50:26Z</dcterms:modified>
</cp:coreProperties>
</file>