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1"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20955</wp:posOffset>
            </wp:positionV>
            <wp:extent cx="7046595" cy="4927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760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Einiger Carol B.</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(Last)</w:t>
            </w:r>
          </w:p>
        </w:tc>
        <w:tc>
          <w:tcPr>
            <w:tcW w:w="1500" w:type="dxa"/>
            <w:vAlign w:val="bottom"/>
          </w:tcPr>
          <w:p>
            <w:pPr>
              <w:ind w:left="28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70"/>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w w:val="91"/>
              </w:rPr>
              <w:t>C/O BOSTON PROPERTIES, INC.</w:t>
            </w:r>
          </w:p>
        </w:tc>
        <w:tc>
          <w:tcPr>
            <w:tcW w:w="1180" w:type="dxa"/>
            <w:vAlign w:val="bottom"/>
          </w:tcPr>
          <w:p>
            <w:pPr>
              <w:spacing w:after="0"/>
              <w:rPr>
                <w:sz w:val="23"/>
                <w:szCs w:val="23"/>
                <w:color w:val="auto"/>
              </w:rPr>
            </w:pPr>
          </w:p>
        </w:tc>
      </w:tr>
      <w:tr>
        <w:trPr>
          <w:trHeight w:val="258"/>
        </w:trPr>
        <w:tc>
          <w:tcPr>
            <w:tcW w:w="20" w:type="dxa"/>
            <w:vAlign w:val="bottom"/>
          </w:tcPr>
          <w:p>
            <w:pPr>
              <w:spacing w:after="0"/>
              <w:rPr>
                <w:sz w:val="22"/>
                <w:szCs w:val="22"/>
                <w:color w:val="auto"/>
              </w:rPr>
            </w:pPr>
          </w:p>
        </w:tc>
        <w:tc>
          <w:tcPr>
            <w:tcW w:w="2460" w:type="dxa"/>
            <w:vAlign w:val="bottom"/>
            <w:gridSpan w:val="2"/>
          </w:tcPr>
          <w:p>
            <w:pPr>
              <w:ind w:left="20"/>
              <w:spacing w:after="0"/>
              <w:rPr>
                <w:sz w:val="20"/>
                <w:szCs w:val="20"/>
                <w:color w:val="auto"/>
              </w:rPr>
            </w:pPr>
            <w:r>
              <w:rPr>
                <w:rFonts w:ascii="Arial" w:cs="Arial" w:eastAsia="Arial" w:hAnsi="Arial"/>
                <w:sz w:val="17"/>
                <w:szCs w:val="17"/>
                <w:color w:val="0000FF"/>
              </w:rPr>
              <w:t>800 BOYLSTON STREET</w:t>
            </w:r>
          </w:p>
        </w:tc>
        <w:tc>
          <w:tcPr>
            <w:tcW w:w="1180" w:type="dxa"/>
            <w:vAlign w:val="bottom"/>
          </w:tcPr>
          <w:p>
            <w:pPr>
              <w:spacing w:after="0"/>
              <w:rPr>
                <w:sz w:val="22"/>
                <w:szCs w:val="22"/>
                <w:color w:val="auto"/>
              </w:rPr>
            </w:pP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r>
      <w:tr>
        <w:trPr>
          <w:trHeight w:val="25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1"/>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7"/>
                <w:szCs w:val="17"/>
                <w:color w:val="0000FF"/>
              </w:rPr>
              <w:t>BOSTON</w:t>
            </w:r>
          </w:p>
        </w:tc>
        <w:tc>
          <w:tcPr>
            <w:tcW w:w="1500" w:type="dxa"/>
            <w:vAlign w:val="bottom"/>
          </w:tcPr>
          <w:p>
            <w:pPr>
              <w:ind w:left="280"/>
              <w:spacing w:after="0"/>
              <w:rPr>
                <w:sz w:val="20"/>
                <w:szCs w:val="20"/>
                <w:color w:val="auto"/>
              </w:rPr>
            </w:pPr>
            <w:r>
              <w:rPr>
                <w:rFonts w:ascii="Arial" w:cs="Arial" w:eastAsia="Arial" w:hAnsi="Arial"/>
                <w:sz w:val="17"/>
                <w:szCs w:val="17"/>
                <w:color w:val="0000FF"/>
              </w:rPr>
              <w:t>MA</w:t>
            </w:r>
          </w:p>
        </w:tc>
        <w:tc>
          <w:tcPr>
            <w:tcW w:w="1180" w:type="dxa"/>
            <w:vAlign w:val="bottom"/>
          </w:tcPr>
          <w:p>
            <w:pPr>
              <w:spacing w:after="0"/>
              <w:rPr>
                <w:sz w:val="20"/>
                <w:szCs w:val="20"/>
                <w:color w:val="auto"/>
              </w:rPr>
            </w:pPr>
            <w:r>
              <w:rPr>
                <w:rFonts w:ascii="Arial" w:cs="Arial" w:eastAsia="Arial" w:hAnsi="Arial"/>
                <w:sz w:val="17"/>
                <w:szCs w:val="17"/>
                <w:color w:val="0000FF"/>
              </w:rPr>
              <w:t>02199</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500" w:type="dxa"/>
            <w:vAlign w:val="bottom"/>
          </w:tcPr>
          <w:p>
            <w:pPr>
              <w:ind w:left="28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BOSTON PROPERTIES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BXP</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6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28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4"/>
        </w:trPr>
        <w:tc>
          <w:tcPr>
            <w:tcW w:w="2540" w:type="dxa"/>
            <w:vAlign w:val="bottom"/>
            <w:gridSpan w:val="3"/>
          </w:tcPr>
          <w:p>
            <w:pPr>
              <w:ind w:left="60"/>
              <w:spacing w:after="0"/>
              <w:rPr>
                <w:sz w:val="20"/>
                <w:szCs w:val="20"/>
                <w:color w:val="auto"/>
              </w:rPr>
            </w:pPr>
            <w:r>
              <w:rPr>
                <w:rFonts w:ascii="Arial" w:cs="Arial" w:eastAsia="Arial" w:hAnsi="Arial"/>
                <w:sz w:val="17"/>
                <w:szCs w:val="17"/>
                <w:color w:val="0000FF"/>
              </w:rPr>
              <w:t>09/30/2023</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2"/>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360" w:type="dxa"/>
            <w:vAlign w:val="bottom"/>
            <w:tcBorders>
              <w:bottom w:val="single" w:sz="8" w:color="2C2C2C"/>
            </w:tcBorders>
          </w:tcPr>
          <w:p>
            <w:pPr>
              <w:spacing w:after="0"/>
              <w:rPr>
                <w:sz w:val="8"/>
                <w:szCs w:val="8"/>
                <w:color w:val="auto"/>
              </w:rPr>
            </w:pPr>
          </w:p>
        </w:tc>
        <w:tc>
          <w:tcPr>
            <w:tcW w:w="12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1"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08" w:lineRule="exact"/>
        <w:rPr>
          <w:sz w:val="24"/>
          <w:szCs w:val="24"/>
          <w:color w:val="auto"/>
        </w:rPr>
      </w:pPr>
    </w:p>
    <w:p>
      <w:pPr>
        <w:ind w:left="320" w:right="64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0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Stock,</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462.34</w:t>
            </w:r>
          </w:p>
        </w:tc>
        <w:tc>
          <w:tcPr>
            <w:tcW w:w="700" w:type="dxa"/>
            <w:vAlign w:val="bottom"/>
          </w:tcPr>
          <w:p>
            <w:pPr>
              <w:spacing w:after="0"/>
              <w:rPr>
                <w:sz w:val="5"/>
                <w:szCs w:val="5"/>
                <w:color w:val="auto"/>
              </w:rPr>
            </w:pPr>
          </w:p>
        </w:tc>
        <w:tc>
          <w:tcPr>
            <w:tcW w:w="940" w:type="dxa"/>
            <w:vAlign w:val="bottom"/>
            <w:vMerge w:val="restart"/>
          </w:tcPr>
          <w:p>
            <w:pPr>
              <w:ind w:left="140"/>
              <w:spacing w:after="0"/>
              <w:rPr>
                <w:sz w:val="20"/>
                <w:szCs w:val="20"/>
                <w:color w:val="auto"/>
              </w:rPr>
            </w:pPr>
            <w:r>
              <w:rPr>
                <w:rFonts w:ascii="Arial" w:cs="Arial" w:eastAsia="Arial" w:hAnsi="Arial"/>
                <w:sz w:val="13"/>
                <w:szCs w:val="13"/>
                <w:color w:val="0000FF"/>
              </w:rPr>
              <w:t>27,486.88</w:t>
            </w:r>
            <w:r>
              <w:rPr>
                <w:rFonts w:ascii="Arial" w:cs="Arial" w:eastAsia="Arial" w:hAnsi="Arial"/>
                <w:sz w:val="21"/>
                <w:szCs w:val="21"/>
                <w:color w:val="008000"/>
                <w:vertAlign w:val="superscript"/>
              </w:rPr>
              <w:t>(3)</w:t>
            </w: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restart"/>
          </w:tcPr>
          <w:p>
            <w:pPr>
              <w:jc w:val="right"/>
              <w:ind w:right="180"/>
              <w:spacing w:after="0"/>
              <w:rPr>
                <w:sz w:val="20"/>
                <w:szCs w:val="20"/>
                <w:color w:val="auto"/>
              </w:rPr>
            </w:pPr>
            <w:r>
              <w:rPr>
                <w:rFonts w:ascii="Arial" w:cs="Arial" w:eastAsia="Arial" w:hAnsi="Arial"/>
                <w:sz w:val="13"/>
                <w:szCs w:val="13"/>
                <w:color w:val="0000FF"/>
              </w:rPr>
              <w:t>09/30/2023</w:t>
            </w:r>
          </w:p>
        </w:tc>
        <w:tc>
          <w:tcPr>
            <w:tcW w:w="1100" w:type="dxa"/>
            <w:vAlign w:val="bottom"/>
          </w:tcPr>
          <w:p>
            <w:pPr>
              <w:spacing w:after="0"/>
              <w:rPr>
                <w:sz w:val="6"/>
                <w:szCs w:val="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00" w:type="dxa"/>
            <w:vAlign w:val="bottom"/>
            <w:vMerge w:val="restart"/>
          </w:tcPr>
          <w:p>
            <w:pPr>
              <w:ind w:left="80"/>
              <w:spacing w:after="0"/>
              <w:rPr>
                <w:sz w:val="20"/>
                <w:szCs w:val="20"/>
                <w:color w:val="auto"/>
              </w:rPr>
            </w:pPr>
            <w:r>
              <w:rPr>
                <w:rFonts w:ascii="Arial" w:cs="Arial" w:eastAsia="Arial" w:hAnsi="Arial"/>
                <w:sz w:val="13"/>
                <w:szCs w:val="13"/>
                <w:color w:val="0000FF"/>
              </w:rPr>
              <w:t>462.34</w:t>
            </w:r>
          </w:p>
        </w:tc>
        <w:tc>
          <w:tcPr>
            <w:tcW w:w="3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59.48</w:t>
            </w:r>
          </w:p>
        </w:tc>
        <w:tc>
          <w:tcPr>
            <w:tcW w:w="940" w:type="dxa"/>
            <w:vAlign w:val="bottom"/>
            <w:vMerge w:val="continue"/>
          </w:tcPr>
          <w:p>
            <w:pPr>
              <w:spacing w:after="0"/>
              <w:rPr>
                <w:sz w:val="6"/>
                <w:szCs w:val="6"/>
                <w:color w:val="auto"/>
              </w:rPr>
            </w:pPr>
          </w:p>
        </w:tc>
        <w:tc>
          <w:tcPr>
            <w:tcW w:w="7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5"/>
        </w:trPr>
        <w:tc>
          <w:tcPr>
            <w:tcW w:w="6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3"/>
                <w:szCs w:val="13"/>
                <w:color w:val="0000FF"/>
              </w:rPr>
              <w:t>par value</w:t>
            </w:r>
          </w:p>
        </w:tc>
        <w:tc>
          <w:tcPr>
            <w:tcW w:w="52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Stock Units convert to Boston Properties, Inc. common stock on a 1-for-1 basis.</w:t>
      </w:r>
    </w:p>
    <w:p>
      <w:pPr>
        <w:spacing w:after="0" w:line="44" w:lineRule="exact"/>
        <w:rPr>
          <w:rFonts w:ascii="Arial" w:cs="Arial" w:eastAsia="Arial" w:hAnsi="Arial"/>
          <w:sz w:val="13"/>
          <w:szCs w:val="13"/>
          <w:color w:val="008000"/>
        </w:rPr>
      </w:pPr>
    </w:p>
    <w:p>
      <w:pPr>
        <w:ind w:left="40" w:right="300" w:firstLine="2"/>
        <w:spacing w:after="0" w:line="286"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Phantom Stock Units are awarded under the Boston Properties, Inc. ("BXP") 2021 Stock Incentive Plan to non-employee directors who elected to receive Phantom Stock Units in lieu of director cash compensation fees. The Phantom Stock Units are to be settled in shares of BXP common stock (except that fractional units, if any, will be settled in cash) in a lump sum or in ten annual installments, at the reporting person's election, following the reporting person's retirement from the BXP Board of Directors. In addition, non-employee directors who elect a deferred payout following their retirement may make one or more elections to convert a portion (but only in 25% increments) of their notional investment from BXP common stock to a deemed investment in one or more measurement funds. These elections may only be made after the director's service on the BXP Board of Directors ends. Amounts notionally invested in measurement funds will be settled in cash instead of BXP common stock.</w:t>
      </w:r>
    </w:p>
    <w:p>
      <w:pPr>
        <w:spacing w:after="0" w:line="8" w:lineRule="exact"/>
        <w:rPr>
          <w:rFonts w:ascii="Arial" w:cs="Arial" w:eastAsia="Arial" w:hAnsi="Arial"/>
          <w:sz w:val="11"/>
          <w:szCs w:val="11"/>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391.72 Phantom Stock Units received pursuant to dividend equivalent rights which were credited to the Reporting Person on July 31, 2023.</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Kelli A. DiLuglio, as</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10/02/2023</w:t>
            </w:r>
          </w:p>
        </w:tc>
        <w:tc>
          <w:tcPr>
            <w:tcW w:w="0" w:type="dxa"/>
            <w:vAlign w:val="bottom"/>
          </w:tcPr>
          <w:p>
            <w:pPr>
              <w:spacing w:after="0"/>
              <w:rPr>
                <w:sz w:val="1"/>
                <w:szCs w:val="1"/>
                <w:color w:val="auto"/>
              </w:rPr>
            </w:pPr>
          </w:p>
        </w:tc>
      </w:tr>
      <w:tr>
        <w:trPr>
          <w:trHeight w:val="88"/>
        </w:trPr>
        <w:tc>
          <w:tcPr>
            <w:tcW w:w="162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Attorney-in-Fact</w:t>
            </w:r>
          </w:p>
        </w:tc>
        <w:tc>
          <w:tcPr>
            <w:tcW w:w="5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62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89668" TargetMode="External"/><Relationship Id="rId13" Type="http://schemas.openxmlformats.org/officeDocument/2006/relationships/hyperlink" Target="http://www.sec.gov/cgi-bin/browse-edgar?action=getcompany&amp;CIK=0001037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2023-10-02T15:21:20Z</dcterms:created>
  <dcterms:modified xsi:type="dcterms:W3CDTF">2023-10-02T15:21:20Z</dcterms:modified>
</cp:coreProperties>
</file>