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7045325" cy="5115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325" cy="511556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60"/>
          </w:cols>
          <w:pgMar w:left="460" w:top="224" w:right="37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Einiger Carol B.</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260"/>
              <w:spacing w:after="0"/>
              <w:rPr>
                <w:sz w:val="20"/>
                <w:szCs w:val="20"/>
                <w:color w:val="auto"/>
              </w:rPr>
            </w:pPr>
            <w:r>
              <w:rPr>
                <w:rFonts w:ascii="Arial" w:cs="Arial" w:eastAsia="Arial" w:hAnsi="Arial"/>
                <w:sz w:val="13"/>
                <w:szCs w:val="13"/>
                <w:color w:val="auto"/>
              </w:rPr>
              <w:t>(First)</w:t>
            </w:r>
          </w:p>
        </w:tc>
        <w:tc>
          <w:tcPr>
            <w:tcW w:w="148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C/O BOSTON PROPERTIES, INC.</w:t>
            </w:r>
          </w:p>
        </w:tc>
      </w:tr>
      <w:tr>
        <w:trPr>
          <w:trHeight w:val="264"/>
        </w:trPr>
        <w:tc>
          <w:tcPr>
            <w:tcW w:w="40" w:type="dxa"/>
            <w:vAlign w:val="bottom"/>
          </w:tcPr>
          <w:p>
            <w:pPr>
              <w:spacing w:after="0"/>
              <w:rPr>
                <w:sz w:val="22"/>
                <w:szCs w:val="22"/>
                <w:color w:val="auto"/>
              </w:rPr>
            </w:pPr>
          </w:p>
        </w:tc>
        <w:tc>
          <w:tcPr>
            <w:tcW w:w="2160" w:type="dxa"/>
            <w:vAlign w:val="bottom"/>
            <w:gridSpan w:val="2"/>
          </w:tcPr>
          <w:p>
            <w:pPr>
              <w:spacing w:after="0"/>
              <w:rPr>
                <w:sz w:val="20"/>
                <w:szCs w:val="20"/>
                <w:color w:val="auto"/>
              </w:rPr>
            </w:pPr>
            <w:r>
              <w:rPr>
                <w:rFonts w:ascii="Arial" w:cs="Arial" w:eastAsia="Arial" w:hAnsi="Arial"/>
                <w:sz w:val="17"/>
                <w:szCs w:val="17"/>
                <w:color w:val="0000FF"/>
              </w:rPr>
              <w:t>800 BOYLSTON STREET</w:t>
            </w:r>
          </w:p>
        </w:tc>
        <w:tc>
          <w:tcPr>
            <w:tcW w:w="1480" w:type="dxa"/>
            <w:vAlign w:val="bottom"/>
          </w:tcPr>
          <w:p>
            <w:pPr>
              <w:spacing w:after="0"/>
              <w:rPr>
                <w:sz w:val="22"/>
                <w:szCs w:val="22"/>
                <w:color w:val="auto"/>
              </w:rPr>
            </w:pPr>
          </w:p>
        </w:tc>
      </w:tr>
      <w:tr>
        <w:trPr>
          <w:trHeight w:val="154"/>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26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200" w:type="dxa"/>
            <w:vAlign w:val="bottom"/>
          </w:tcPr>
          <w:p>
            <w:pPr>
              <w:ind w:left="260"/>
              <w:spacing w:after="0"/>
              <w:rPr>
                <w:sz w:val="20"/>
                <w:szCs w:val="20"/>
                <w:color w:val="auto"/>
              </w:rPr>
            </w:pPr>
            <w:r>
              <w:rPr>
                <w:rFonts w:ascii="Arial" w:cs="Arial" w:eastAsia="Arial" w:hAnsi="Arial"/>
                <w:sz w:val="17"/>
                <w:szCs w:val="17"/>
                <w:color w:val="0000FF"/>
              </w:rPr>
              <w:t>MA</w:t>
            </w:r>
          </w:p>
        </w:tc>
        <w:tc>
          <w:tcPr>
            <w:tcW w:w="1480" w:type="dxa"/>
            <w:vAlign w:val="bottom"/>
          </w:tcPr>
          <w:p>
            <w:pPr>
              <w:ind w:left="300"/>
              <w:spacing w:after="0"/>
              <w:rPr>
                <w:sz w:val="20"/>
                <w:szCs w:val="20"/>
                <w:color w:val="auto"/>
              </w:rPr>
            </w:pPr>
            <w:r>
              <w:rPr>
                <w:rFonts w:ascii="Arial" w:cs="Arial" w:eastAsia="Arial" w:hAnsi="Arial"/>
                <w:sz w:val="17"/>
                <w:szCs w:val="17"/>
                <w:color w:val="0000FF"/>
              </w:rPr>
              <w:t>02199</w:t>
            </w:r>
          </w:p>
        </w:tc>
      </w:tr>
      <w:tr>
        <w:trPr>
          <w:trHeight w:val="154"/>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260"/>
              <w:spacing w:after="0"/>
              <w:rPr>
                <w:sz w:val="20"/>
                <w:szCs w:val="20"/>
                <w:color w:val="auto"/>
              </w:rPr>
            </w:pPr>
            <w:r>
              <w:rPr>
                <w:rFonts w:ascii="Arial" w:cs="Arial" w:eastAsia="Arial" w:hAnsi="Arial"/>
                <w:sz w:val="13"/>
                <w:szCs w:val="13"/>
                <w:color w:val="auto"/>
              </w:rPr>
              <w:t>(State)</w:t>
            </w:r>
          </w:p>
        </w:tc>
        <w:tc>
          <w:tcPr>
            <w:tcW w:w="148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BOSTON PROPERTIES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BXP</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42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600" w:type="dxa"/>
            <w:vAlign w:val="bottom"/>
            <w:gridSpan w:val="3"/>
          </w:tcPr>
          <w:p>
            <w:pPr>
              <w:ind w:left="60"/>
              <w:spacing w:after="0"/>
              <w:rPr>
                <w:sz w:val="20"/>
                <w:szCs w:val="20"/>
                <w:color w:val="auto"/>
              </w:rPr>
            </w:pPr>
            <w:r>
              <w:rPr>
                <w:rFonts w:ascii="Arial" w:cs="Arial" w:eastAsia="Arial" w:hAnsi="Arial"/>
                <w:sz w:val="17"/>
                <w:szCs w:val="17"/>
                <w:color w:val="0000FF"/>
              </w:rPr>
              <w:t>05/31/2023</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42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48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100"/>
            <w:col w:w="7200"/>
          </w:cols>
          <w:pgMar w:left="460" w:top="224" w:right="379" w:bottom="144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78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7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3"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700" w:type="dxa"/>
            <w:vAlign w:val="bottom"/>
            <w:vMerge w:val="restart"/>
          </w:tcPr>
          <w:p>
            <w:pPr>
              <w:spacing w:after="0"/>
              <w:rPr>
                <w:sz w:val="20"/>
                <w:szCs w:val="20"/>
                <w:color w:val="auto"/>
              </w:rPr>
            </w:pPr>
            <w:r>
              <w:rPr>
                <w:rFonts w:ascii="Arial" w:cs="Arial" w:eastAsia="Arial" w:hAnsi="Arial"/>
                <w:sz w:val="13"/>
                <w:szCs w:val="13"/>
                <w:color w:val="0000FF"/>
              </w:rPr>
              <w:t>LTIP</w:t>
            </w:r>
          </w:p>
        </w:tc>
        <w:tc>
          <w:tcPr>
            <w:tcW w:w="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jc w:val="center"/>
              <w:ind w:left="42"/>
              <w:spacing w:after="0"/>
              <w:rPr>
                <w:sz w:val="20"/>
                <w:szCs w:val="20"/>
                <w:color w:val="auto"/>
              </w:rPr>
            </w:pPr>
            <w:r>
              <w:rPr>
                <w:rFonts w:ascii="Arial" w:cs="Arial" w:eastAsia="Arial" w:hAnsi="Arial"/>
                <w:sz w:val="13"/>
                <w:szCs w:val="13"/>
                <w:color w:val="0000FF"/>
                <w:w w:val="90"/>
              </w:rPr>
              <w:t>Common</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00" w:type="dxa"/>
            <w:vAlign w:val="bottom"/>
            <w:vMerge w:val="continue"/>
          </w:tcPr>
          <w:p>
            <w:pPr>
              <w:spacing w:after="0"/>
              <w:rPr>
                <w:sz w:val="11"/>
                <w:szCs w:val="11"/>
                <w:color w:val="auto"/>
              </w:rPr>
            </w:pPr>
          </w:p>
        </w:tc>
        <w:tc>
          <w:tcPr>
            <w:tcW w:w="680" w:type="dxa"/>
            <w:vAlign w:val="bottom"/>
            <w:vMerge w:val="restart"/>
          </w:tcPr>
          <w:p>
            <w:pPr>
              <w:jc w:val="right"/>
              <w:ind w:right="225"/>
              <w:spacing w:after="0"/>
              <w:rPr>
                <w:sz w:val="20"/>
                <w:szCs w:val="20"/>
                <w:color w:val="auto"/>
              </w:rPr>
            </w:pPr>
            <w:r>
              <w:rPr>
                <w:rFonts w:ascii="Arial" w:cs="Arial" w:eastAsia="Arial" w:hAnsi="Arial"/>
                <w:sz w:val="11"/>
                <w:szCs w:val="11"/>
                <w:color w:val="008000"/>
              </w:rPr>
              <w:t>(1)</w:t>
            </w:r>
          </w:p>
        </w:tc>
        <w:tc>
          <w:tcPr>
            <w:tcW w:w="1680" w:type="dxa"/>
            <w:vAlign w:val="bottom"/>
            <w:vMerge w:val="restart"/>
          </w:tcPr>
          <w:p>
            <w:pPr>
              <w:jc w:val="right"/>
              <w:ind w:right="714"/>
              <w:spacing w:after="0"/>
              <w:rPr>
                <w:sz w:val="20"/>
                <w:szCs w:val="20"/>
                <w:color w:val="auto"/>
              </w:rPr>
            </w:pPr>
            <w:r>
              <w:rPr>
                <w:rFonts w:ascii="Arial" w:cs="Arial" w:eastAsia="Arial" w:hAnsi="Arial"/>
                <w:sz w:val="13"/>
                <w:szCs w:val="13"/>
                <w:color w:val="0000FF"/>
              </w:rPr>
              <w:t>05/31/2023</w:t>
            </w:r>
          </w:p>
        </w:tc>
        <w:tc>
          <w:tcPr>
            <w:tcW w:w="1140" w:type="dxa"/>
            <w:vAlign w:val="bottom"/>
            <w:vMerge w:val="restart"/>
          </w:tcPr>
          <w:p>
            <w:pPr>
              <w:ind w:left="780"/>
              <w:spacing w:after="0"/>
              <w:rPr>
                <w:sz w:val="20"/>
                <w:szCs w:val="20"/>
                <w:color w:val="auto"/>
              </w:rPr>
            </w:pPr>
            <w:r>
              <w:rPr>
                <w:rFonts w:ascii="Arial" w:cs="Arial" w:eastAsia="Arial" w:hAnsi="Arial"/>
                <w:sz w:val="13"/>
                <w:szCs w:val="13"/>
                <w:color w:val="0000FF"/>
              </w:rPr>
              <w:t>A</w:t>
            </w:r>
          </w:p>
        </w:tc>
        <w:tc>
          <w:tcPr>
            <w:tcW w:w="900" w:type="dxa"/>
            <w:vAlign w:val="bottom"/>
            <w:vMerge w:val="restart"/>
          </w:tcPr>
          <w:p>
            <w:pPr>
              <w:jc w:val="right"/>
              <w:ind w:right="254"/>
              <w:spacing w:after="0"/>
              <w:rPr>
                <w:sz w:val="20"/>
                <w:szCs w:val="20"/>
                <w:color w:val="auto"/>
              </w:rPr>
            </w:pPr>
            <w:r>
              <w:rPr>
                <w:rFonts w:ascii="Arial" w:cs="Arial" w:eastAsia="Arial" w:hAnsi="Arial"/>
                <w:sz w:val="13"/>
                <w:szCs w:val="13"/>
                <w:color w:val="0000FF"/>
              </w:rPr>
              <w:t>3,390</w:t>
            </w:r>
          </w:p>
        </w:tc>
        <w:tc>
          <w:tcPr>
            <w:tcW w:w="860" w:type="dxa"/>
            <w:vAlign w:val="bottom"/>
            <w:vMerge w:val="restart"/>
          </w:tcPr>
          <w:p>
            <w:pPr>
              <w:jc w:val="right"/>
              <w:ind w:right="225"/>
              <w:spacing w:after="0"/>
              <w:rPr>
                <w:sz w:val="20"/>
                <w:szCs w:val="20"/>
                <w:color w:val="auto"/>
              </w:rPr>
            </w:pPr>
            <w:r>
              <w:rPr>
                <w:rFonts w:ascii="Arial" w:cs="Arial" w:eastAsia="Arial" w:hAnsi="Arial"/>
                <w:sz w:val="11"/>
                <w:szCs w:val="11"/>
                <w:color w:val="008000"/>
              </w:rPr>
              <w:t>(1)(2)</w:t>
            </w:r>
          </w:p>
        </w:tc>
        <w:tc>
          <w:tcPr>
            <w:tcW w:w="580" w:type="dxa"/>
            <w:vAlign w:val="bottom"/>
            <w:vMerge w:val="restart"/>
          </w:tcPr>
          <w:p>
            <w:pPr>
              <w:jc w:val="right"/>
              <w:ind w:right="125"/>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left="42"/>
              <w:spacing w:after="0" w:line="128" w:lineRule="exact"/>
              <w:rPr>
                <w:sz w:val="20"/>
                <w:szCs w:val="20"/>
                <w:color w:val="auto"/>
              </w:rPr>
            </w:pPr>
            <w:r>
              <w:rPr>
                <w:rFonts w:ascii="Arial" w:cs="Arial" w:eastAsia="Arial" w:hAnsi="Arial"/>
                <w:sz w:val="13"/>
                <w:szCs w:val="13"/>
                <w:color w:val="0000FF"/>
                <w:w w:val="88"/>
              </w:rPr>
              <w:t>Stock,</w:t>
            </w:r>
          </w:p>
        </w:tc>
        <w:tc>
          <w:tcPr>
            <w:tcW w:w="620" w:type="dxa"/>
            <w:vAlign w:val="bottom"/>
            <w:vMerge w:val="restart"/>
          </w:tcPr>
          <w:p>
            <w:pPr>
              <w:jc w:val="right"/>
              <w:ind w:right="54"/>
              <w:spacing w:after="0" w:line="189" w:lineRule="exact"/>
              <w:rPr>
                <w:sz w:val="20"/>
                <w:szCs w:val="20"/>
                <w:color w:val="auto"/>
              </w:rPr>
            </w:pPr>
            <w:r>
              <w:rPr>
                <w:rFonts w:ascii="Arial" w:cs="Arial" w:eastAsia="Arial" w:hAnsi="Arial"/>
                <w:sz w:val="17"/>
                <w:szCs w:val="17"/>
                <w:color w:val="0000FF"/>
              </w:rPr>
              <w:t>3,390</w:t>
            </w:r>
          </w:p>
        </w:tc>
        <w:tc>
          <w:tcPr>
            <w:tcW w:w="700" w:type="dxa"/>
            <w:vAlign w:val="bottom"/>
            <w:vMerge w:val="restart"/>
          </w:tcPr>
          <w:p>
            <w:pPr>
              <w:jc w:val="right"/>
              <w:ind w:right="18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0.25</w:t>
            </w:r>
          </w:p>
        </w:tc>
        <w:tc>
          <w:tcPr>
            <w:tcW w:w="920" w:type="dxa"/>
            <w:vAlign w:val="bottom"/>
            <w:vMerge w:val="restart"/>
          </w:tcPr>
          <w:p>
            <w:pPr>
              <w:jc w:val="right"/>
              <w:ind w:right="254"/>
              <w:spacing w:after="0"/>
              <w:rPr>
                <w:sz w:val="20"/>
                <w:szCs w:val="20"/>
                <w:color w:val="auto"/>
              </w:rPr>
            </w:pPr>
            <w:r>
              <w:rPr>
                <w:rFonts w:ascii="Arial" w:cs="Arial" w:eastAsia="Arial" w:hAnsi="Arial"/>
                <w:sz w:val="13"/>
                <w:szCs w:val="13"/>
                <w:color w:val="0000FF"/>
              </w:rPr>
              <w:t>15,148</w:t>
            </w:r>
          </w:p>
        </w:tc>
        <w:tc>
          <w:tcPr>
            <w:tcW w:w="400" w:type="dxa"/>
            <w:vAlign w:val="bottom"/>
            <w:vMerge w:val="restart"/>
          </w:tcPr>
          <w:p>
            <w:pPr>
              <w:ind w:left="300"/>
              <w:spacing w:after="0"/>
              <w:rPr>
                <w:sz w:val="20"/>
                <w:szCs w:val="20"/>
                <w:color w:val="auto"/>
              </w:rPr>
            </w:pPr>
            <w:r>
              <w:rPr>
                <w:rFonts w:ascii="Arial" w:cs="Arial" w:eastAsia="Arial" w:hAnsi="Arial"/>
                <w:sz w:val="13"/>
                <w:szCs w:val="13"/>
                <w:color w:val="0000FF"/>
                <w:w w:val="84"/>
              </w:rPr>
              <w:t>D</w:t>
            </w:r>
          </w:p>
        </w:tc>
        <w:tc>
          <w:tcPr>
            <w:tcW w:w="0" w:type="dxa"/>
            <w:vAlign w:val="bottom"/>
          </w:tcPr>
          <w:p>
            <w:pPr>
              <w:spacing w:after="0"/>
              <w:rPr>
                <w:sz w:val="1"/>
                <w:szCs w:val="1"/>
                <w:color w:val="auto"/>
              </w:rPr>
            </w:pPr>
          </w:p>
        </w:tc>
      </w:tr>
      <w:tr>
        <w:trPr>
          <w:trHeight w:val="62"/>
        </w:trPr>
        <w:tc>
          <w:tcPr>
            <w:tcW w:w="700" w:type="dxa"/>
            <w:vAlign w:val="bottom"/>
          </w:tcPr>
          <w:p>
            <w:pPr>
              <w:spacing w:after="0" w:line="62"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68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tcPr>
          <w:p>
            <w:pPr>
              <w:jc w:val="center"/>
              <w:ind w:left="42"/>
              <w:spacing w:after="0" w:line="62" w:lineRule="exact"/>
              <w:rPr>
                <w:sz w:val="20"/>
                <w:szCs w:val="20"/>
                <w:color w:val="auto"/>
              </w:rPr>
            </w:pPr>
            <w:r>
              <w:rPr>
                <w:rFonts w:ascii="Arial" w:cs="Arial" w:eastAsia="Arial" w:hAnsi="Arial"/>
                <w:sz w:val="7"/>
                <w:szCs w:val="7"/>
                <w:color w:val="0000FF"/>
              </w:rPr>
              <w:t>par value</w:t>
            </w:r>
          </w:p>
        </w:tc>
        <w:tc>
          <w:tcPr>
            <w:tcW w:w="6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jc w:val="center"/>
              <w:ind w:left="62"/>
              <w:spacing w:after="0"/>
              <w:rPr>
                <w:sz w:val="20"/>
                <w:szCs w:val="20"/>
                <w:color w:val="auto"/>
              </w:rPr>
            </w:pPr>
            <w:r>
              <w:rPr>
                <w:rFonts w:ascii="Arial" w:cs="Arial" w:eastAsia="Arial" w:hAnsi="Arial"/>
                <w:sz w:val="13"/>
                <w:szCs w:val="13"/>
                <w:color w:val="0000FF"/>
                <w:w w:val="92"/>
              </w:rPr>
              <w:t>$0.01</w:t>
            </w: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80" w:firstLine="5"/>
        <w:spacing w:after="0" w:line="23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units of limited partnership interest in Boston Properties Limited Partnership ("BPLP"), of which the Issuer is the general partner, issued pursuant to the Issuer's equity based incentive programs ("LTIP Units"). Conditioned upon minimum allocations to the capital accounts of the LTIP Units for federal income tax purposes, each LTIP Unit may be converted, at the election of BPLP or the holder, into a common unit of limited partnership interest in BPLP ("Common OP Unit"). Each Common OP Unit acquired upon conversion of an LTIP Unit may be presented for redemption, at the election of the holder, for cash equal to the then fair market value of a share of the Issuer's common stock, except that the Issuer may, at its election, acquire each Common OP Unit so presented for one share of common stock. LTIP Units have no expiration date.</w:t>
      </w:r>
    </w:p>
    <w:p>
      <w:pPr>
        <w:spacing w:after="0" w:line="33"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3,390 LTIP Units will vest on the earlier of (i) May 31, 2024 and (ii) the date of BXP's 2024 annual meeting of stockholders.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Kelli A. DiLuglio, as</w:t>
            </w:r>
          </w:p>
        </w:tc>
        <w:tc>
          <w:tcPr>
            <w:tcW w:w="400" w:type="dxa"/>
            <w:vAlign w:val="bottom"/>
          </w:tcPr>
          <w:p>
            <w:pPr>
              <w:spacing w:after="0"/>
              <w:rPr>
                <w:sz w:val="16"/>
                <w:szCs w:val="16"/>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9"/>
              </w:rPr>
              <w:t>06/02/2023</w:t>
            </w:r>
          </w:p>
        </w:tc>
        <w:tc>
          <w:tcPr>
            <w:tcW w:w="0" w:type="dxa"/>
            <w:vAlign w:val="bottom"/>
          </w:tcPr>
          <w:p>
            <w:pPr>
              <w:spacing w:after="0"/>
              <w:rPr>
                <w:sz w:val="1"/>
                <w:szCs w:val="1"/>
                <w:color w:val="auto"/>
              </w:rPr>
            </w:pPr>
          </w:p>
        </w:tc>
      </w:tr>
      <w:tr>
        <w:trPr>
          <w:trHeight w:val="85"/>
        </w:trPr>
        <w:tc>
          <w:tcPr>
            <w:tcW w:w="206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0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460" w:top="224"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668" TargetMode="External"/><Relationship Id="rId13"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2023-06-02T08:55:04Z</dcterms:created>
  <dcterms:modified xsi:type="dcterms:W3CDTF">2023-06-02T08:55:04Z</dcterms:modified>
</cp:coreProperties>
</file>