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79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793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6"/>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ZUCKERMAN MORTIMER B</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BOSTON PROPERTIES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BXP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6"/>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6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2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08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20" w:type="dxa"/>
            <w:vAlign w:val="bottom"/>
            <w:gridSpan w:val="5"/>
            <w:vMerge w:val="continue"/>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6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BOSTON PROPERTIES, INC.</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05/27/2015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599 LEXINGTON AVENUE</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10022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20"/>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60" w:type="dxa"/>
            <w:vAlign w:val="bottom"/>
          </w:tcPr>
          <w:p>
            <w:pPr>
              <w:spacing w:after="0"/>
              <w:rPr>
                <w:sz w:val="15"/>
                <w:szCs w:val="15"/>
                <w:color w:val="auto"/>
              </w:rPr>
            </w:pPr>
          </w:p>
        </w:tc>
        <w:tc>
          <w:tcPr>
            <w:tcW w:w="16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jc w:val="right"/>
              <w:ind w:right="419"/>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4"/>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4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20"/>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LTIP</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05/27/2015</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2,679</w:t>
            </w:r>
          </w:p>
        </w:tc>
        <w:tc>
          <w:tcPr>
            <w:tcW w:w="340" w:type="dxa"/>
            <w:vAlign w:val="bottom"/>
          </w:tcPr>
          <w:p>
            <w:pPr>
              <w:spacing w:after="0"/>
              <w:rPr>
                <w:sz w:val="16"/>
                <w:szCs w:val="16"/>
                <w:color w:val="auto"/>
              </w:rPr>
            </w:pPr>
          </w:p>
        </w:tc>
        <w:tc>
          <w:tcPr>
            <w:tcW w:w="780" w:type="dxa"/>
            <w:vAlign w:val="bottom"/>
            <w:gridSpan w:val="2"/>
            <w:vMerge w:val="restart"/>
          </w:tcPr>
          <w:p>
            <w:pPr>
              <w:jc w:val="right"/>
              <w:ind w:right="239"/>
              <w:spacing w:after="0"/>
              <w:rPr>
                <w:sz w:val="20"/>
                <w:szCs w:val="20"/>
                <w:color w:val="auto"/>
              </w:rPr>
            </w:pPr>
            <w:r>
              <w:rPr>
                <w:rFonts w:ascii="Arial" w:cs="Arial" w:eastAsia="Arial" w:hAnsi="Arial"/>
                <w:sz w:val="11"/>
                <w:szCs w:val="11"/>
                <w:color w:val="008000"/>
              </w:rPr>
              <w:t>(1)(2)</w:t>
            </w:r>
          </w:p>
        </w:tc>
        <w:tc>
          <w:tcPr>
            <w:tcW w:w="220" w:type="dxa"/>
            <w:vAlign w:val="bottom"/>
          </w:tcPr>
          <w:p>
            <w:pPr>
              <w:spacing w:after="0"/>
              <w:rPr>
                <w:sz w:val="16"/>
                <w:szCs w:val="16"/>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2,679</w:t>
            </w:r>
          </w:p>
        </w:tc>
        <w:tc>
          <w:tcPr>
            <w:tcW w:w="40" w:type="dxa"/>
            <w:vAlign w:val="bottom"/>
          </w:tcPr>
          <w:p>
            <w:pPr>
              <w:spacing w:after="0"/>
              <w:rPr>
                <w:sz w:val="16"/>
                <w:szCs w:val="16"/>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0.25</w:t>
            </w:r>
          </w:p>
        </w:tc>
        <w:tc>
          <w:tcPr>
            <w:tcW w:w="640" w:type="dxa"/>
            <w:vAlign w:val="bottom"/>
            <w:vMerge w:val="restart"/>
          </w:tcPr>
          <w:p>
            <w:pPr>
              <w:ind w:left="200"/>
              <w:spacing w:after="0"/>
              <w:rPr>
                <w:sz w:val="20"/>
                <w:szCs w:val="20"/>
                <w:color w:val="auto"/>
              </w:rPr>
            </w:pPr>
            <w:r>
              <w:rPr>
                <w:rFonts w:ascii="Arial" w:cs="Arial" w:eastAsia="Arial" w:hAnsi="Arial"/>
                <w:sz w:val="14"/>
                <w:szCs w:val="14"/>
                <w:color w:val="0000FF"/>
                <w:w w:val="82"/>
              </w:rPr>
              <w:t>637,304</w:t>
            </w:r>
          </w:p>
        </w:tc>
        <w:tc>
          <w:tcPr>
            <w:tcW w:w="26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700" w:type="dxa"/>
            <w:vAlign w:val="bottom"/>
          </w:tcPr>
          <w:p>
            <w:pPr>
              <w:ind w:left="160"/>
              <w:spacing w:after="0" w:line="68" w:lineRule="exact"/>
              <w:rPr>
                <w:sz w:val="20"/>
                <w:szCs w:val="20"/>
                <w:color w:val="auto"/>
              </w:rPr>
            </w:pPr>
            <w:r>
              <w:rPr>
                <w:rFonts w:ascii="Arial" w:cs="Arial" w:eastAsia="Arial" w:hAnsi="Arial"/>
                <w:sz w:val="7"/>
                <w:szCs w:val="7"/>
                <w:color w:val="0000FF"/>
              </w:rPr>
              <w:t>Stock</w:t>
            </w: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units of limited partnership interest in Boston Properties Limited Partnership (BPLP), of which the Issuer is the general partner, issued pursuant to the Issuer's equity based incentive programs. Conditioned upon minimum allocations to the capital accounts of the LTIP Units for federal income tax purposes, each LTIP Unit may be converted, at the election of the holder, into a common unit of limited partnership interest in BPLP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Common Stock. LTIP Units have no expiration date.</w:t>
      </w:r>
    </w:p>
    <w:p>
      <w:pPr>
        <w:spacing w:after="0" w:line="32"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2,679 LTIP Units will vest on the earlier of (i) May 27, 2016 and (ii) the date of the Issuer's 2016 annual meeting of stockholders.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Kelli A. DiLuglio, as Attorney- </w:t>
      </w:r>
      <w:r>
        <w:rPr>
          <w:rFonts w:ascii="Arial" w:cs="Arial" w:eastAsia="Arial" w:hAnsi="Arial"/>
          <w:sz w:val="35"/>
          <w:szCs w:val="35"/>
          <w:color w:val="0000FF"/>
          <w:vertAlign w:val="subscript"/>
        </w:rPr>
        <w:t>05/28/2015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6186" TargetMode="External"/><Relationship Id="rId13"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2019-12-06T22:14:55Z</dcterms:created>
  <dcterms:modified xsi:type="dcterms:W3CDTF">2019-12-06T22:14:55Z</dcterms:modified>
</cp:coreProperties>
</file>