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200660</wp:posOffset>
            </wp:positionV>
            <wp:extent cx="30003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43"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179" w:lineRule="exact"/>
        <w:rPr>
          <w:sz w:val="24"/>
          <w:szCs w:val="24"/>
          <w:color w:val="auto"/>
        </w:rPr>
      </w:pPr>
    </w:p>
    <w:p>
      <w:pPr>
        <w:ind w:left="37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2070735</wp:posOffset>
            </wp:positionH>
            <wp:positionV relativeFrom="paragraph">
              <wp:posOffset>74930</wp:posOffset>
            </wp:positionV>
            <wp:extent cx="3000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00375" cy="1714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u w:val="single" w:color="auto"/>
          <w:color w:val="auto"/>
        </w:rPr>
        <w:t>October 27, 2026</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BXP, INC.</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BOSTON PROPERTIES LIMITED PARTNERSHIP</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Registrants As Specified in its Charter)</w:t>
      </w:r>
    </w:p>
    <w:p>
      <w:pPr>
        <w:spacing w:after="0" w:line="200" w:lineRule="exact"/>
        <w:rPr>
          <w:sz w:val="24"/>
          <w:szCs w:val="24"/>
          <w:color w:val="auto"/>
        </w:rPr>
      </w:pPr>
    </w:p>
    <w:p>
      <w:pPr>
        <w:spacing w:after="0" w:line="223" w:lineRule="exact"/>
        <w:rPr>
          <w:sz w:val="24"/>
          <w:szCs w:val="24"/>
          <w:color w:val="auto"/>
        </w:rPr>
      </w:pPr>
    </w:p>
    <w:tbl>
      <w:tblPr>
        <w:tblLayout w:type="fixed"/>
        <w:tblInd w:w="280" w:type="dxa"/>
        <w:tblCellMar>
          <w:top w:w="0" w:type="dxa"/>
          <w:left w:w="0" w:type="dxa"/>
          <w:bottom w:w="0" w:type="dxa"/>
          <w:right w:w="0" w:type="dxa"/>
        </w:tblCellMar>
      </w:tblPr>
      <w:tr>
        <w:trPr>
          <w:trHeight w:val="287"/>
        </w:trPr>
        <w:tc>
          <w:tcPr>
            <w:tcW w:w="2620" w:type="dxa"/>
            <w:vAlign w:val="bottom"/>
          </w:tcPr>
          <w:p>
            <w:pPr>
              <w:jc w:val="center"/>
              <w:ind w:right="250"/>
              <w:spacing w:after="0"/>
              <w:rPr>
                <w:sz w:val="20"/>
                <w:szCs w:val="20"/>
                <w:color w:val="auto"/>
              </w:rPr>
            </w:pPr>
            <w:r>
              <w:rPr>
                <w:rFonts w:ascii="Arial" w:cs="Arial" w:eastAsia="Arial" w:hAnsi="Arial"/>
                <w:sz w:val="18"/>
                <w:szCs w:val="18"/>
                <w:b w:val="1"/>
                <w:bCs w:val="1"/>
                <w:color w:val="auto"/>
                <w:w w:val="97"/>
              </w:rPr>
              <w:t>BXP, Inc.</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2980" w:type="dxa"/>
            <w:vAlign w:val="bottom"/>
          </w:tcPr>
          <w:p>
            <w:pPr>
              <w:jc w:val="center"/>
              <w:ind w:right="75"/>
              <w:spacing w:after="0"/>
              <w:rPr>
                <w:sz w:val="20"/>
                <w:szCs w:val="20"/>
                <w:color w:val="auto"/>
              </w:rPr>
            </w:pPr>
            <w:r>
              <w:rPr>
                <w:rFonts w:ascii="Arial" w:cs="Arial" w:eastAsia="Arial" w:hAnsi="Arial"/>
                <w:sz w:val="18"/>
                <w:szCs w:val="18"/>
                <w:b w:val="1"/>
                <w:bCs w:val="1"/>
                <w:color w:val="auto"/>
                <w:w w:val="99"/>
              </w:rPr>
              <w:t>1-13087</w:t>
            </w:r>
          </w:p>
        </w:tc>
        <w:tc>
          <w:tcPr>
            <w:tcW w:w="1860" w:type="dxa"/>
            <w:vAlign w:val="bottom"/>
          </w:tcPr>
          <w:p>
            <w:pPr>
              <w:jc w:val="center"/>
              <w:ind w:left="536"/>
              <w:spacing w:after="0"/>
              <w:rPr>
                <w:sz w:val="20"/>
                <w:szCs w:val="20"/>
                <w:color w:val="auto"/>
              </w:rPr>
            </w:pPr>
            <w:r>
              <w:rPr>
                <w:rFonts w:ascii="Arial" w:cs="Arial" w:eastAsia="Arial" w:hAnsi="Arial"/>
                <w:sz w:val="18"/>
                <w:szCs w:val="18"/>
                <w:b w:val="1"/>
                <w:bCs w:val="1"/>
                <w:color w:val="auto"/>
                <w:w w:val="99"/>
              </w:rPr>
              <w:t>04-2473675</w:t>
            </w:r>
          </w:p>
        </w:tc>
        <w:tc>
          <w:tcPr>
            <w:tcW w:w="0" w:type="dxa"/>
            <w:vAlign w:val="bottom"/>
          </w:tcPr>
          <w:p>
            <w:pPr>
              <w:spacing w:after="0"/>
              <w:rPr>
                <w:sz w:val="1"/>
                <w:szCs w:val="1"/>
                <w:color w:val="auto"/>
              </w:rPr>
            </w:pPr>
          </w:p>
        </w:tc>
      </w:tr>
      <w:tr>
        <w:trPr>
          <w:trHeight w:val="164"/>
        </w:trPr>
        <w:tc>
          <w:tcPr>
            <w:tcW w:w="2620" w:type="dxa"/>
            <w:vAlign w:val="bottom"/>
          </w:tcPr>
          <w:p>
            <w:pPr>
              <w:spacing w:after="0"/>
              <w:rPr>
                <w:sz w:val="14"/>
                <w:szCs w:val="14"/>
                <w:color w:val="auto"/>
              </w:rPr>
            </w:pPr>
          </w:p>
        </w:tc>
        <w:tc>
          <w:tcPr>
            <w:tcW w:w="2720" w:type="dxa"/>
            <w:vAlign w:val="bottom"/>
          </w:tcPr>
          <w:p>
            <w:pPr>
              <w:jc w:val="center"/>
              <w:spacing w:after="0" w:line="164" w:lineRule="exact"/>
              <w:rPr>
                <w:sz w:val="20"/>
                <w:szCs w:val="20"/>
                <w:color w:val="auto"/>
              </w:rPr>
            </w:pPr>
            <w:r>
              <w:rPr>
                <w:rFonts w:ascii="Arial" w:cs="Arial" w:eastAsia="Arial" w:hAnsi="Arial"/>
                <w:sz w:val="16"/>
                <w:szCs w:val="16"/>
                <w:color w:val="auto"/>
              </w:rPr>
              <w:t>(State or Other Jurisdiction</w:t>
            </w:r>
          </w:p>
        </w:tc>
        <w:tc>
          <w:tcPr>
            <w:tcW w:w="2980" w:type="dxa"/>
            <w:vAlign w:val="bottom"/>
          </w:tcPr>
          <w:p>
            <w:pPr>
              <w:jc w:val="center"/>
              <w:ind w:right="75"/>
              <w:spacing w:after="0" w:line="164" w:lineRule="exact"/>
              <w:rPr>
                <w:sz w:val="20"/>
                <w:szCs w:val="20"/>
                <w:color w:val="auto"/>
              </w:rPr>
            </w:pPr>
            <w:r>
              <w:rPr>
                <w:rFonts w:ascii="Arial" w:cs="Arial" w:eastAsia="Arial" w:hAnsi="Arial"/>
                <w:sz w:val="16"/>
                <w:szCs w:val="16"/>
                <w:color w:val="auto"/>
              </w:rPr>
              <w:t>(Commission File Number)</w:t>
            </w:r>
          </w:p>
        </w:tc>
        <w:tc>
          <w:tcPr>
            <w:tcW w:w="1860" w:type="dxa"/>
            <w:vAlign w:val="bottom"/>
          </w:tcPr>
          <w:p>
            <w:pPr>
              <w:jc w:val="center"/>
              <w:ind w:left="516"/>
              <w:spacing w:after="0" w:line="164" w:lineRule="exact"/>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of Incorporation)</w:t>
            </w:r>
          </w:p>
        </w:tc>
        <w:tc>
          <w:tcPr>
            <w:tcW w:w="2980" w:type="dxa"/>
            <w:vAlign w:val="bottom"/>
          </w:tcPr>
          <w:p>
            <w:pPr>
              <w:spacing w:after="0"/>
              <w:rPr>
                <w:sz w:val="18"/>
                <w:szCs w:val="18"/>
                <w:color w:val="auto"/>
              </w:rPr>
            </w:pPr>
          </w:p>
        </w:tc>
        <w:tc>
          <w:tcPr>
            <w:tcW w:w="1860" w:type="dxa"/>
            <w:vAlign w:val="bottom"/>
          </w:tcPr>
          <w:p>
            <w:pPr>
              <w:jc w:val="center"/>
              <w:ind w:left="516"/>
              <w:spacing w:after="0"/>
              <w:rPr>
                <w:sz w:val="20"/>
                <w:szCs w:val="20"/>
                <w:color w:val="auto"/>
              </w:rPr>
            </w:pPr>
            <w:r>
              <w:rPr>
                <w:rFonts w:ascii="Arial" w:cs="Arial" w:eastAsia="Arial" w:hAnsi="Arial"/>
                <w:sz w:val="16"/>
                <w:szCs w:val="16"/>
                <w:color w:val="auto"/>
              </w:rPr>
              <w:t>Identification No.)</w:t>
            </w:r>
          </w:p>
        </w:tc>
        <w:tc>
          <w:tcPr>
            <w:tcW w:w="0" w:type="dxa"/>
            <w:vAlign w:val="bottom"/>
          </w:tcPr>
          <w:p>
            <w:pPr>
              <w:spacing w:after="0"/>
              <w:rPr>
                <w:sz w:val="1"/>
                <w:szCs w:val="1"/>
                <w:color w:val="auto"/>
              </w:rPr>
            </w:pPr>
          </w:p>
        </w:tc>
      </w:tr>
      <w:tr>
        <w:trPr>
          <w:trHeight w:val="199"/>
        </w:trPr>
        <w:tc>
          <w:tcPr>
            <w:tcW w:w="2620" w:type="dxa"/>
            <w:vAlign w:val="bottom"/>
          </w:tcPr>
          <w:p>
            <w:pPr>
              <w:jc w:val="center"/>
              <w:ind w:right="270"/>
              <w:spacing w:after="0" w:line="199" w:lineRule="exact"/>
              <w:rPr>
                <w:sz w:val="20"/>
                <w:szCs w:val="20"/>
                <w:color w:val="auto"/>
              </w:rPr>
            </w:pPr>
            <w:r>
              <w:rPr>
                <w:rFonts w:ascii="Arial" w:cs="Arial" w:eastAsia="Arial" w:hAnsi="Arial"/>
                <w:sz w:val="18"/>
                <w:szCs w:val="18"/>
                <w:b w:val="1"/>
                <w:bCs w:val="1"/>
                <w:color w:val="auto"/>
              </w:rPr>
              <w:t>Boston Properties Limited</w:t>
            </w:r>
          </w:p>
        </w:tc>
        <w:tc>
          <w:tcPr>
            <w:tcW w:w="27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Delaware</w:t>
            </w:r>
          </w:p>
        </w:tc>
        <w:tc>
          <w:tcPr>
            <w:tcW w:w="2980" w:type="dxa"/>
            <w:vAlign w:val="bottom"/>
            <w:vMerge w:val="restart"/>
          </w:tcPr>
          <w:p>
            <w:pPr>
              <w:jc w:val="center"/>
              <w:ind w:right="75"/>
              <w:spacing w:after="0"/>
              <w:rPr>
                <w:sz w:val="20"/>
                <w:szCs w:val="20"/>
                <w:color w:val="auto"/>
              </w:rPr>
            </w:pPr>
            <w:r>
              <w:rPr>
                <w:rFonts w:ascii="Arial" w:cs="Arial" w:eastAsia="Arial" w:hAnsi="Arial"/>
                <w:sz w:val="18"/>
                <w:szCs w:val="18"/>
                <w:b w:val="1"/>
                <w:bCs w:val="1"/>
                <w:color w:val="auto"/>
                <w:w w:val="99"/>
              </w:rPr>
              <w:t>0-50209</w:t>
            </w:r>
          </w:p>
        </w:tc>
        <w:tc>
          <w:tcPr>
            <w:tcW w:w="1860" w:type="dxa"/>
            <w:vAlign w:val="bottom"/>
            <w:vMerge w:val="restart"/>
          </w:tcPr>
          <w:p>
            <w:pPr>
              <w:jc w:val="center"/>
              <w:ind w:left="536"/>
              <w:spacing w:after="0"/>
              <w:rPr>
                <w:sz w:val="20"/>
                <w:szCs w:val="20"/>
                <w:color w:val="auto"/>
              </w:rPr>
            </w:pPr>
            <w:r>
              <w:rPr>
                <w:rFonts w:ascii="Arial" w:cs="Arial" w:eastAsia="Arial" w:hAnsi="Arial"/>
                <w:sz w:val="18"/>
                <w:szCs w:val="18"/>
                <w:b w:val="1"/>
                <w:bCs w:val="1"/>
                <w:color w:val="auto"/>
                <w:w w:val="99"/>
              </w:rPr>
              <w:t>04-3372948</w:t>
            </w:r>
          </w:p>
        </w:tc>
        <w:tc>
          <w:tcPr>
            <w:tcW w:w="0" w:type="dxa"/>
            <w:vAlign w:val="bottom"/>
          </w:tcPr>
          <w:p>
            <w:pPr>
              <w:spacing w:after="0"/>
              <w:rPr>
                <w:sz w:val="1"/>
                <w:szCs w:val="1"/>
                <w:color w:val="auto"/>
              </w:rPr>
            </w:pPr>
          </w:p>
        </w:tc>
      </w:tr>
      <w:tr>
        <w:trPr>
          <w:trHeight w:val="247"/>
        </w:trPr>
        <w:tc>
          <w:tcPr>
            <w:tcW w:w="2620" w:type="dxa"/>
            <w:vAlign w:val="bottom"/>
          </w:tcPr>
          <w:p>
            <w:pPr>
              <w:jc w:val="center"/>
              <w:ind w:right="250"/>
              <w:spacing w:after="0"/>
              <w:rPr>
                <w:sz w:val="20"/>
                <w:szCs w:val="20"/>
                <w:color w:val="auto"/>
              </w:rPr>
            </w:pPr>
            <w:r>
              <w:rPr>
                <w:rFonts w:ascii="Arial" w:cs="Arial" w:eastAsia="Arial" w:hAnsi="Arial"/>
                <w:sz w:val="18"/>
                <w:szCs w:val="18"/>
                <w:b w:val="1"/>
                <w:bCs w:val="1"/>
                <w:color w:val="auto"/>
                <w:w w:val="99"/>
              </w:rPr>
              <w:t>Partnership</w:t>
            </w:r>
          </w:p>
        </w:tc>
        <w:tc>
          <w:tcPr>
            <w:tcW w:w="2720" w:type="dxa"/>
            <w:vAlign w:val="bottom"/>
            <w:vMerge w:val="continue"/>
          </w:tcPr>
          <w:p>
            <w:pPr>
              <w:spacing w:after="0"/>
              <w:rPr>
                <w:sz w:val="21"/>
                <w:szCs w:val="21"/>
                <w:color w:val="auto"/>
              </w:rPr>
            </w:pPr>
          </w:p>
        </w:tc>
        <w:tc>
          <w:tcPr>
            <w:tcW w:w="2980" w:type="dxa"/>
            <w:vAlign w:val="bottom"/>
            <w:vMerge w:val="continue"/>
          </w:tcPr>
          <w:p>
            <w:pPr>
              <w:spacing w:after="0"/>
              <w:rPr>
                <w:sz w:val="21"/>
                <w:szCs w:val="21"/>
                <w:color w:val="auto"/>
              </w:rPr>
            </w:pPr>
          </w:p>
        </w:tc>
        <w:tc>
          <w:tcPr>
            <w:tcW w:w="1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2620" w:type="dxa"/>
            <w:vAlign w:val="bottom"/>
          </w:tcPr>
          <w:p>
            <w:pPr>
              <w:spacing w:after="0"/>
              <w:rPr>
                <w:sz w:val="14"/>
                <w:szCs w:val="14"/>
                <w:color w:val="auto"/>
              </w:rPr>
            </w:pPr>
          </w:p>
        </w:tc>
        <w:tc>
          <w:tcPr>
            <w:tcW w:w="2720" w:type="dxa"/>
            <w:vAlign w:val="bottom"/>
          </w:tcPr>
          <w:p>
            <w:pPr>
              <w:jc w:val="center"/>
              <w:spacing w:after="0" w:line="164" w:lineRule="exact"/>
              <w:rPr>
                <w:sz w:val="20"/>
                <w:szCs w:val="20"/>
                <w:color w:val="auto"/>
              </w:rPr>
            </w:pPr>
            <w:r>
              <w:rPr>
                <w:rFonts w:ascii="Arial" w:cs="Arial" w:eastAsia="Arial" w:hAnsi="Arial"/>
                <w:sz w:val="16"/>
                <w:szCs w:val="16"/>
                <w:color w:val="auto"/>
              </w:rPr>
              <w:t>(State or Other Jurisdiction</w:t>
            </w:r>
          </w:p>
        </w:tc>
        <w:tc>
          <w:tcPr>
            <w:tcW w:w="2980" w:type="dxa"/>
            <w:vAlign w:val="bottom"/>
          </w:tcPr>
          <w:p>
            <w:pPr>
              <w:jc w:val="center"/>
              <w:ind w:right="75"/>
              <w:spacing w:after="0" w:line="164" w:lineRule="exact"/>
              <w:rPr>
                <w:sz w:val="20"/>
                <w:szCs w:val="20"/>
                <w:color w:val="auto"/>
              </w:rPr>
            </w:pPr>
            <w:r>
              <w:rPr>
                <w:rFonts w:ascii="Arial" w:cs="Arial" w:eastAsia="Arial" w:hAnsi="Arial"/>
                <w:sz w:val="16"/>
                <w:szCs w:val="16"/>
                <w:color w:val="auto"/>
              </w:rPr>
              <w:t>(Commission File Number)</w:t>
            </w:r>
          </w:p>
        </w:tc>
        <w:tc>
          <w:tcPr>
            <w:tcW w:w="1860" w:type="dxa"/>
            <w:vAlign w:val="bottom"/>
          </w:tcPr>
          <w:p>
            <w:pPr>
              <w:jc w:val="center"/>
              <w:ind w:left="516"/>
              <w:spacing w:after="0" w:line="164" w:lineRule="exact"/>
              <w:rPr>
                <w:sz w:val="20"/>
                <w:szCs w:val="20"/>
                <w:color w:val="auto"/>
              </w:rPr>
            </w:pPr>
            <w:r>
              <w:rPr>
                <w:rFonts w:ascii="Arial" w:cs="Arial" w:eastAsia="Arial" w:hAnsi="Arial"/>
                <w:sz w:val="16"/>
                <w:szCs w:val="16"/>
                <w:color w:val="auto"/>
              </w:rPr>
              <w:t>(IRS Employer</w:t>
            </w:r>
          </w:p>
        </w:tc>
        <w:tc>
          <w:tcPr>
            <w:tcW w:w="0" w:type="dxa"/>
            <w:vAlign w:val="bottom"/>
          </w:tcPr>
          <w:p>
            <w:pPr>
              <w:spacing w:after="0"/>
              <w:rPr>
                <w:sz w:val="1"/>
                <w:szCs w:val="1"/>
                <w:color w:val="auto"/>
              </w:rPr>
            </w:pPr>
          </w:p>
        </w:tc>
      </w:tr>
      <w:tr>
        <w:trPr>
          <w:trHeight w:val="215"/>
        </w:trPr>
        <w:tc>
          <w:tcPr>
            <w:tcW w:w="26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color w:val="auto"/>
                <w:w w:val="99"/>
              </w:rPr>
              <w:t>of Incorporation)</w:t>
            </w:r>
          </w:p>
        </w:tc>
        <w:tc>
          <w:tcPr>
            <w:tcW w:w="2980" w:type="dxa"/>
            <w:vAlign w:val="bottom"/>
          </w:tcPr>
          <w:p>
            <w:pPr>
              <w:spacing w:after="0"/>
              <w:rPr>
                <w:sz w:val="18"/>
                <w:szCs w:val="18"/>
                <w:color w:val="auto"/>
              </w:rPr>
            </w:pPr>
          </w:p>
        </w:tc>
        <w:tc>
          <w:tcPr>
            <w:tcW w:w="1860" w:type="dxa"/>
            <w:vAlign w:val="bottom"/>
          </w:tcPr>
          <w:p>
            <w:pPr>
              <w:jc w:val="center"/>
              <w:ind w:left="516"/>
              <w:spacing w:after="0"/>
              <w:rPr>
                <w:sz w:val="20"/>
                <w:szCs w:val="20"/>
                <w:color w:val="auto"/>
              </w:rPr>
            </w:pPr>
            <w:r>
              <w:rPr>
                <w:rFonts w:ascii="Arial" w:cs="Arial" w:eastAsia="Arial" w:hAnsi="Arial"/>
                <w:sz w:val="16"/>
                <w:szCs w:val="16"/>
                <w:color w:val="auto"/>
              </w:rPr>
              <w:t>Identification No.)</w:t>
            </w:r>
          </w:p>
        </w:tc>
        <w:tc>
          <w:tcPr>
            <w:tcW w:w="0" w:type="dxa"/>
            <w:vAlign w:val="bottom"/>
          </w:tcPr>
          <w:p>
            <w:pPr>
              <w:spacing w:after="0"/>
              <w:rPr>
                <w:sz w:val="1"/>
                <w:szCs w:val="1"/>
                <w:color w:val="auto"/>
              </w:rPr>
            </w:pPr>
          </w:p>
        </w:tc>
      </w:tr>
    </w:tbl>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800 Boylston Street, Suite 1900, Boston, Massachusetts 02199</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(Address of Principal Executive Offices) (Zip Code)</w:t>
      </w: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(617) 236-3300</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391" w:lineRule="exact"/>
        <w:rPr>
          <w:sz w:val="24"/>
          <w:szCs w:val="24"/>
          <w:color w:val="auto"/>
        </w:rPr>
      </w:pPr>
    </w:p>
    <w:p>
      <w:pPr>
        <w:spacing w:after="0" w:line="278"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registrants under any of the following provisions (</w:t>
      </w:r>
      <w:r>
        <w:rPr>
          <w:rFonts w:ascii="Arial" w:cs="Arial" w:eastAsia="Arial" w:hAnsi="Arial"/>
          <w:sz w:val="20"/>
          <w:szCs w:val="20"/>
          <w:i w:val="1"/>
          <w:iCs w:val="1"/>
          <w:color w:val="auto"/>
        </w:rPr>
        <w:t>see</w:t>
      </w:r>
      <w:r>
        <w:rPr>
          <w:rFonts w:ascii="Arial" w:cs="Arial" w:eastAsia="Arial" w:hAnsi="Arial"/>
          <w:sz w:val="20"/>
          <w:szCs w:val="20"/>
          <w:color w:val="auto"/>
        </w:rPr>
        <w:t xml:space="preserve"> General Instruction A.2. below):</w:t>
      </w:r>
    </w:p>
    <w:p>
      <w:pPr>
        <w:spacing w:after="0" w:line="48"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94" w:lineRule="exact"/>
        <w:rPr>
          <w:rFonts w:ascii="MS PGothic" w:cs="MS PGothic" w:eastAsia="MS PGothic" w:hAnsi="MS PGothic"/>
          <w:sz w:val="20"/>
          <w:szCs w:val="20"/>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07" w:lineRule="exact"/>
        <w:rPr>
          <w:rFonts w:ascii="MS PGothic" w:cs="MS PGothic" w:eastAsia="MS PGothic" w:hAnsi="MS PGothic"/>
          <w:sz w:val="20"/>
          <w:szCs w:val="20"/>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14d-2(b) under the Exchange Act (17 CFR 240.14d-2(b))</w:t>
      </w:r>
    </w:p>
    <w:p>
      <w:pPr>
        <w:spacing w:after="0" w:line="94" w:lineRule="exact"/>
        <w:rPr>
          <w:rFonts w:ascii="MS PGothic" w:cs="MS PGothic" w:eastAsia="MS PGothic" w:hAnsi="MS PGothic"/>
          <w:sz w:val="20"/>
          <w:szCs w:val="20"/>
          <w:color w:val="auto"/>
        </w:rPr>
      </w:pPr>
    </w:p>
    <w:p>
      <w:pPr>
        <w:ind w:left="380" w:hanging="372"/>
        <w:spacing w:after="0"/>
        <w:tabs>
          <w:tab w:leader="none" w:pos="38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901065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43" w:right="359" w:bottom="1440" w:gutter="0" w:footer="0" w:header="0"/>
        </w:sectPr>
      </w:pPr>
    </w:p>
    <w:bookmarkStart w:id="1" w:name="page2"/>
    <w:bookmarkEnd w:id="1"/>
    <w:p>
      <w:pPr>
        <w:spacing w:after="0"/>
        <w:rPr>
          <w:sz w:val="20"/>
          <w:szCs w:val="20"/>
          <w:color w:val="auto"/>
        </w:rPr>
      </w:pPr>
      <w:r>
        <w:rPr>
          <w:rFonts w:ascii="Arial" w:cs="Arial" w:eastAsia="Arial" w:hAnsi="Arial"/>
          <w:sz w:val="20"/>
          <w:szCs w:val="20"/>
          <w:color w:val="auto"/>
        </w:rPr>
        <w:t>Securities registered pursuant to Section 12(b) of the Act:</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40" w:type="dxa"/>
            <w:vAlign w:val="bottom"/>
            <w:vMerge w:val="restart"/>
          </w:tcPr>
          <w:p>
            <w:pPr>
              <w:ind w:left="860"/>
              <w:spacing w:after="0"/>
              <w:rPr>
                <w:sz w:val="20"/>
                <w:szCs w:val="20"/>
                <w:color w:val="auto"/>
              </w:rPr>
            </w:pPr>
            <w:r>
              <w:rPr>
                <w:rFonts w:ascii="Arial" w:cs="Arial" w:eastAsia="Arial" w:hAnsi="Arial"/>
                <w:sz w:val="16"/>
                <w:szCs w:val="16"/>
                <w:b w:val="1"/>
                <w:bCs w:val="1"/>
                <w:color w:val="auto"/>
              </w:rPr>
              <w:t>Registrant</w:t>
            </w:r>
          </w:p>
        </w:tc>
        <w:tc>
          <w:tcPr>
            <w:tcW w:w="80" w:type="dxa"/>
            <w:vAlign w:val="bottom"/>
            <w:vMerge w:val="restart"/>
          </w:tcPr>
          <w:p>
            <w:pPr>
              <w:spacing w:after="0"/>
              <w:rPr>
                <w:sz w:val="16"/>
                <w:szCs w:val="16"/>
                <w:color w:val="auto"/>
              </w:rPr>
            </w:pPr>
          </w:p>
        </w:tc>
        <w:tc>
          <w:tcPr>
            <w:tcW w:w="33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80" w:type="dxa"/>
            <w:vAlign w:val="bottom"/>
            <w:vMerge w:val="restart"/>
          </w:tcPr>
          <w:p>
            <w:pPr>
              <w:spacing w:after="0"/>
              <w:rPr>
                <w:sz w:val="16"/>
                <w:szCs w:val="16"/>
                <w:color w:val="auto"/>
              </w:rPr>
            </w:pPr>
          </w:p>
        </w:tc>
        <w:tc>
          <w:tcPr>
            <w:tcW w:w="21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Trading Symbol(s)</w:t>
            </w:r>
          </w:p>
        </w:tc>
        <w:tc>
          <w:tcPr>
            <w:tcW w:w="80" w:type="dxa"/>
            <w:vAlign w:val="bottom"/>
            <w:vMerge w:val="restart"/>
          </w:tcPr>
          <w:p>
            <w:pPr>
              <w:spacing w:after="0"/>
              <w:rPr>
                <w:sz w:val="16"/>
                <w:szCs w:val="16"/>
                <w:color w:val="auto"/>
              </w:rPr>
            </w:pPr>
          </w:p>
        </w:tc>
        <w:tc>
          <w:tcPr>
            <w:tcW w:w="2960" w:type="dxa"/>
            <w:vAlign w:val="bottom"/>
          </w:tcPr>
          <w:p>
            <w:pPr>
              <w:jc w:val="center"/>
              <w:spacing w:after="0"/>
              <w:rPr>
                <w:sz w:val="20"/>
                <w:szCs w:val="20"/>
                <w:color w:val="auto"/>
              </w:rPr>
            </w:pPr>
            <w:r>
              <w:rPr>
                <w:rFonts w:ascii="Arial" w:cs="Arial" w:eastAsia="Arial" w:hAnsi="Arial"/>
                <w:sz w:val="16"/>
                <w:szCs w:val="16"/>
                <w:b w:val="1"/>
                <w:bCs w:val="1"/>
                <w:color w:val="auto"/>
                <w:w w:val="99"/>
              </w:rPr>
              <w:t>Name of each</w:t>
            </w:r>
          </w:p>
        </w:tc>
        <w:tc>
          <w:tcPr>
            <w:tcW w:w="0" w:type="dxa"/>
            <w:vAlign w:val="bottom"/>
          </w:tcPr>
          <w:p>
            <w:pPr>
              <w:spacing w:after="0"/>
              <w:rPr>
                <w:sz w:val="1"/>
                <w:szCs w:val="1"/>
                <w:color w:val="auto"/>
              </w:rPr>
            </w:pPr>
          </w:p>
        </w:tc>
      </w:tr>
      <w:tr>
        <w:trPr>
          <w:trHeight w:val="216"/>
        </w:trPr>
        <w:tc>
          <w:tcPr>
            <w:tcW w:w="25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33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1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exchange on which registered</w:t>
            </w:r>
          </w:p>
        </w:tc>
        <w:tc>
          <w:tcPr>
            <w:tcW w:w="0" w:type="dxa"/>
            <w:vAlign w:val="bottom"/>
          </w:tcPr>
          <w:p>
            <w:pPr>
              <w:spacing w:after="0"/>
              <w:rPr>
                <w:sz w:val="1"/>
                <w:szCs w:val="1"/>
                <w:color w:val="auto"/>
              </w:rPr>
            </w:pPr>
          </w:p>
        </w:tc>
      </w:tr>
      <w:tr>
        <w:trPr>
          <w:trHeight w:val="201"/>
        </w:trPr>
        <w:tc>
          <w:tcPr>
            <w:tcW w:w="2620" w:type="dxa"/>
            <w:vAlign w:val="bottom"/>
            <w:gridSpan w:val="2"/>
            <w:vMerge w:val="restart"/>
          </w:tcPr>
          <w:p>
            <w:pPr>
              <w:ind w:left="880"/>
              <w:spacing w:after="0"/>
              <w:rPr>
                <w:sz w:val="20"/>
                <w:szCs w:val="20"/>
                <w:color w:val="auto"/>
              </w:rPr>
            </w:pPr>
            <w:r>
              <w:rPr>
                <w:rFonts w:ascii="Arial" w:cs="Arial" w:eastAsia="Arial" w:hAnsi="Arial"/>
                <w:sz w:val="20"/>
                <w:szCs w:val="20"/>
                <w:color w:val="auto"/>
              </w:rPr>
              <w:t>BXP, Inc.</w:t>
            </w:r>
          </w:p>
        </w:tc>
        <w:tc>
          <w:tcPr>
            <w:tcW w:w="3440" w:type="dxa"/>
            <w:vAlign w:val="bottom"/>
            <w:gridSpan w:val="2"/>
          </w:tcPr>
          <w:p>
            <w:pPr>
              <w:jc w:val="center"/>
              <w:ind w:right="80"/>
              <w:spacing w:after="0" w:line="202" w:lineRule="exact"/>
              <w:rPr>
                <w:sz w:val="20"/>
                <w:szCs w:val="20"/>
                <w:color w:val="auto"/>
              </w:rPr>
            </w:pPr>
            <w:r>
              <w:rPr>
                <w:rFonts w:ascii="Arial" w:cs="Arial" w:eastAsia="Arial" w:hAnsi="Arial"/>
                <w:sz w:val="20"/>
                <w:szCs w:val="20"/>
                <w:color w:val="auto"/>
                <w:w w:val="98"/>
              </w:rPr>
              <w:t>Common Stock, par value $0.01 per</w:t>
            </w:r>
          </w:p>
        </w:tc>
        <w:tc>
          <w:tcPr>
            <w:tcW w:w="2220" w:type="dxa"/>
            <w:vAlign w:val="bottom"/>
            <w:gridSpan w:val="2"/>
            <w:vMerge w:val="restart"/>
          </w:tcPr>
          <w:p>
            <w:pPr>
              <w:jc w:val="center"/>
              <w:ind w:right="60"/>
              <w:spacing w:after="0"/>
              <w:rPr>
                <w:sz w:val="20"/>
                <w:szCs w:val="20"/>
                <w:color w:val="auto"/>
              </w:rPr>
            </w:pPr>
            <w:r>
              <w:rPr>
                <w:rFonts w:ascii="Arial" w:cs="Arial" w:eastAsia="Arial" w:hAnsi="Arial"/>
                <w:sz w:val="20"/>
                <w:szCs w:val="20"/>
                <w:color w:val="auto"/>
                <w:w w:val="99"/>
              </w:rPr>
              <w:t>BXP</w:t>
            </w:r>
          </w:p>
        </w:tc>
        <w:tc>
          <w:tcPr>
            <w:tcW w:w="2960" w:type="dxa"/>
            <w:vAlign w:val="bottom"/>
            <w:vMerge w:val="restart"/>
          </w:tcPr>
          <w:p>
            <w:pPr>
              <w:jc w:val="center"/>
              <w:spacing w:after="0"/>
              <w:rPr>
                <w:sz w:val="20"/>
                <w:szCs w:val="20"/>
                <w:color w:val="auto"/>
              </w:rPr>
            </w:pPr>
            <w:r>
              <w:rPr>
                <w:rFonts w:ascii="Arial" w:cs="Arial" w:eastAsia="Arial" w:hAnsi="Arial"/>
                <w:sz w:val="20"/>
                <w:szCs w:val="20"/>
                <w:color w:val="auto"/>
                <w:w w:val="97"/>
              </w:rPr>
              <w:t>New York Stock Exchange</w:t>
            </w:r>
          </w:p>
        </w:tc>
        <w:tc>
          <w:tcPr>
            <w:tcW w:w="0" w:type="dxa"/>
            <w:vAlign w:val="bottom"/>
          </w:tcPr>
          <w:p>
            <w:pPr>
              <w:spacing w:after="0"/>
              <w:rPr>
                <w:sz w:val="1"/>
                <w:szCs w:val="1"/>
                <w:color w:val="auto"/>
              </w:rPr>
            </w:pPr>
          </w:p>
        </w:tc>
      </w:tr>
      <w:tr>
        <w:trPr>
          <w:trHeight w:val="153"/>
        </w:trPr>
        <w:tc>
          <w:tcPr>
            <w:tcW w:w="2620" w:type="dxa"/>
            <w:vAlign w:val="bottom"/>
            <w:gridSpan w:val="2"/>
            <w:vMerge w:val="continue"/>
          </w:tcPr>
          <w:p>
            <w:pPr>
              <w:spacing w:after="0"/>
              <w:rPr>
                <w:sz w:val="13"/>
                <w:szCs w:val="13"/>
                <w:color w:val="auto"/>
              </w:rPr>
            </w:pPr>
          </w:p>
        </w:tc>
        <w:tc>
          <w:tcPr>
            <w:tcW w:w="3440" w:type="dxa"/>
            <w:vAlign w:val="bottom"/>
            <w:gridSpan w:val="2"/>
            <w:vMerge w:val="restart"/>
          </w:tcPr>
          <w:p>
            <w:pPr>
              <w:jc w:val="center"/>
              <w:ind w:right="80"/>
              <w:spacing w:after="0"/>
              <w:rPr>
                <w:sz w:val="20"/>
                <w:szCs w:val="20"/>
                <w:color w:val="auto"/>
              </w:rPr>
            </w:pPr>
            <w:r>
              <w:rPr>
                <w:rFonts w:ascii="Arial" w:cs="Arial" w:eastAsia="Arial" w:hAnsi="Arial"/>
                <w:sz w:val="20"/>
                <w:szCs w:val="20"/>
                <w:color w:val="auto"/>
                <w:w w:val="95"/>
              </w:rPr>
              <w:t>share</w:t>
            </w:r>
          </w:p>
        </w:tc>
        <w:tc>
          <w:tcPr>
            <w:tcW w:w="2220" w:type="dxa"/>
            <w:vAlign w:val="bottom"/>
            <w:gridSpan w:val="2"/>
            <w:vMerge w:val="continue"/>
          </w:tcPr>
          <w:p>
            <w:pPr>
              <w:spacing w:after="0"/>
              <w:rPr>
                <w:sz w:val="13"/>
                <w:szCs w:val="13"/>
                <w:color w:val="auto"/>
              </w:rPr>
            </w:pPr>
          </w:p>
        </w:tc>
        <w:tc>
          <w:tcPr>
            <w:tcW w:w="2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2"/>
            <w:vMerge w:val="continue"/>
          </w:tcPr>
          <w:p>
            <w:pPr>
              <w:spacing w:after="0"/>
              <w:rPr>
                <w:sz w:val="9"/>
                <w:szCs w:val="9"/>
                <w:color w:val="auto"/>
              </w:rPr>
            </w:pPr>
          </w:p>
        </w:tc>
        <w:tc>
          <w:tcPr>
            <w:tcW w:w="21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140" w:firstLine="405"/>
        <w:spacing w:after="0" w:line="255" w:lineRule="auto"/>
        <w:rPr>
          <w:sz w:val="20"/>
          <w:szCs w:val="20"/>
          <w:color w:val="auto"/>
        </w:rPr>
      </w:pPr>
      <w:r>
        <w:rPr>
          <w:rFonts w:ascii="Arial" w:cs="Arial" w:eastAsia="Arial" w:hAnsi="Arial"/>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0"/>
          <w:szCs w:val="20"/>
          <w:color w:val="auto"/>
        </w:rPr>
      </w:pPr>
    </w:p>
    <w:p>
      <w:pPr>
        <w:ind w:left="420"/>
        <w:spacing w:after="0"/>
        <w:rPr>
          <w:sz w:val="20"/>
          <w:szCs w:val="20"/>
          <w:color w:val="auto"/>
        </w:rPr>
      </w:pPr>
      <w:r>
        <w:rPr>
          <w:rFonts w:ascii="Arial" w:cs="Arial" w:eastAsia="Arial" w:hAnsi="Arial"/>
          <w:sz w:val="20"/>
          <w:szCs w:val="20"/>
          <w:color w:val="auto"/>
        </w:rPr>
        <w:t>BXP, Inc.:</w:t>
      </w:r>
    </w:p>
    <w:p>
      <w:pPr>
        <w:spacing w:after="0" w:line="8" w:lineRule="exact"/>
        <w:rPr>
          <w:sz w:val="20"/>
          <w:szCs w:val="20"/>
          <w:color w:val="auto"/>
        </w:rPr>
      </w:pPr>
    </w:p>
    <w:p>
      <w:pPr>
        <w:ind w:left="420"/>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20"/>
          <w:szCs w:val="20"/>
          <w:color w:val="auto"/>
        </w:rPr>
        <w:t>Boston Properties Limited Partnership:</w:t>
      </w:r>
    </w:p>
    <w:p>
      <w:pPr>
        <w:spacing w:after="0" w:line="26" w:lineRule="exact"/>
        <w:rPr>
          <w:sz w:val="20"/>
          <w:szCs w:val="20"/>
          <w:color w:val="auto"/>
        </w:rPr>
      </w:pPr>
    </w:p>
    <w:p>
      <w:pPr>
        <w:ind w:left="420"/>
        <w:spacing w:after="0" w:line="230" w:lineRule="exact"/>
        <w:rPr>
          <w:sz w:val="20"/>
          <w:szCs w:val="20"/>
          <w:color w:val="auto"/>
        </w:rPr>
      </w:pPr>
      <w:r>
        <w:rPr>
          <w:rFonts w:ascii="Arial" w:cs="Arial" w:eastAsia="Arial" w:hAnsi="Arial"/>
          <w:sz w:val="20"/>
          <w:szCs w:val="20"/>
          <w:color w:val="auto"/>
        </w:rPr>
        <w:t xml:space="preserve">Emerging growth company </w:t>
      </w:r>
      <w:r>
        <w:rPr>
          <w:rFonts w:ascii="MS PGothic" w:cs="MS PGothic" w:eastAsia="MS PGothic" w:hAnsi="MS PGothic"/>
          <w:sz w:val="20"/>
          <w:szCs w:val="20"/>
          <w:color w:val="auto"/>
        </w:rPr>
        <w:t>☐</w:t>
      </w:r>
    </w:p>
    <w:p>
      <w:pPr>
        <w:spacing w:after="0" w:line="229" w:lineRule="exact"/>
        <w:rPr>
          <w:sz w:val="20"/>
          <w:szCs w:val="20"/>
          <w:color w:val="auto"/>
        </w:rPr>
      </w:pPr>
    </w:p>
    <w:p>
      <w:pPr>
        <w:ind w:right="40" w:firstLine="405"/>
        <w:spacing w:after="0" w:line="269" w:lineRule="auto"/>
        <w:rPr>
          <w:sz w:val="20"/>
          <w:szCs w:val="20"/>
          <w:color w:val="auto"/>
        </w:rPr>
      </w:pPr>
      <w:r>
        <w:rPr>
          <w:rFonts w:ascii="Arial" w:cs="Arial" w:eastAsia="Arial" w:hAnsi="Arial"/>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39" w:lineRule="exact"/>
        <w:rPr>
          <w:sz w:val="20"/>
          <w:szCs w:val="20"/>
          <w:color w:val="auto"/>
        </w:rPr>
      </w:pPr>
    </w:p>
    <w:p>
      <w:pPr>
        <w:ind w:left="420"/>
        <w:spacing w:after="0" w:line="230" w:lineRule="exact"/>
        <w:tabs>
          <w:tab w:leader="none" w:pos="1920" w:val="left"/>
        </w:tabs>
        <w:rPr>
          <w:sz w:val="20"/>
          <w:szCs w:val="20"/>
          <w:color w:val="auto"/>
        </w:rPr>
      </w:pPr>
      <w:r>
        <w:rPr>
          <w:rFonts w:ascii="Arial" w:cs="Arial" w:eastAsia="Arial" w:hAnsi="Arial"/>
          <w:sz w:val="20"/>
          <w:szCs w:val="20"/>
          <w:color w:val="auto"/>
        </w:rPr>
        <w:t xml:space="preserve">BXP, Inc. </w:t>
      </w:r>
      <w:r>
        <w:rPr>
          <w:rFonts w:ascii="MS PGothic" w:cs="MS PGothic" w:eastAsia="MS PGothic" w:hAnsi="MS PGothic"/>
          <w:sz w:val="20"/>
          <w:szCs w:val="20"/>
          <w:color w:val="auto"/>
        </w:rPr>
        <w:t>☐</w:t>
      </w:r>
      <w:r>
        <w:rPr>
          <w:sz w:val="20"/>
          <w:szCs w:val="20"/>
          <w:color w:val="auto"/>
        </w:rPr>
        <w:tab/>
      </w:r>
      <w:r>
        <w:rPr>
          <w:rFonts w:ascii="Arial" w:cs="Arial" w:eastAsia="Arial" w:hAnsi="Arial"/>
          <w:sz w:val="19"/>
          <w:szCs w:val="19"/>
          <w:color w:val="auto"/>
        </w:rPr>
        <w:t xml:space="preserve">Boston Properties Limited Partnership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1256030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8" w:right="339" w:bottom="1440" w:gutter="0" w:footer="0" w:header="0"/>
        </w:sectPr>
      </w:pPr>
    </w:p>
    <w:bookmarkStart w:id="2" w:name="page3"/>
    <w:bookmarkEnd w:id="2"/>
    <w:p>
      <w:pPr>
        <w:ind w:left="40"/>
        <w:spacing w:after="0"/>
        <w:tabs>
          <w:tab w:leader="none" w:pos="116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69" w:lineRule="exact"/>
        <w:rPr>
          <w:sz w:val="20"/>
          <w:szCs w:val="20"/>
          <w:color w:val="auto"/>
        </w:rPr>
      </w:pPr>
    </w:p>
    <w:p>
      <w:pPr>
        <w:ind w:right="100"/>
        <w:spacing w:after="0" w:line="251" w:lineRule="auto"/>
        <w:rPr>
          <w:sz w:val="20"/>
          <w:szCs w:val="20"/>
          <w:color w:val="auto"/>
        </w:rPr>
      </w:pPr>
      <w:r>
        <w:rPr>
          <w:rFonts w:ascii="Arial" w:cs="Arial" w:eastAsia="Arial" w:hAnsi="Arial"/>
          <w:sz w:val="20"/>
          <w:szCs w:val="20"/>
          <w:color w:val="auto"/>
        </w:rPr>
        <w:t>The information in this Item 2.02 - “Results of Operations and Financial Condition” is being furnished. Such information, including Exhibits 99.1 and 99.2 hereto, shall not be deemed “filed” for any purpose, including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regardless of any general incorporation language in such filing.</w:t>
      </w:r>
    </w:p>
    <w:p>
      <w:pPr>
        <w:spacing w:after="0" w:line="217" w:lineRule="exact"/>
        <w:rPr>
          <w:sz w:val="20"/>
          <w:szCs w:val="20"/>
          <w:color w:val="auto"/>
        </w:rPr>
      </w:pPr>
    </w:p>
    <w:p>
      <w:pPr>
        <w:ind w:right="200"/>
        <w:spacing w:after="0" w:line="259" w:lineRule="auto"/>
        <w:rPr>
          <w:sz w:val="20"/>
          <w:szCs w:val="20"/>
          <w:color w:val="auto"/>
        </w:rPr>
      </w:pPr>
      <w:r>
        <w:rPr>
          <w:rFonts w:ascii="Arial" w:cs="Arial" w:eastAsia="Arial" w:hAnsi="Arial"/>
          <w:sz w:val="20"/>
          <w:szCs w:val="20"/>
          <w:color w:val="auto"/>
        </w:rPr>
        <w:t>On October 27, 2026, BXP, Inc. (the “Company”), the general partner of Boston Properties Limited Partnership, issued a press release announcing its financial results for the third quarter ended 2026. That press release referred to certain supplemental information that is available on the Company’s website. The text of the supplemental information and the press release are attached hereto as Exhibits 99.1 and 99.2, respectively, and are incorporated by reference herein.</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860" w:type="dxa"/>
            <w:vAlign w:val="bottom"/>
            <w:gridSpan w:val="4"/>
          </w:tcPr>
          <w:p>
            <w:pPr>
              <w:spacing w:after="0"/>
              <w:rPr>
                <w:sz w:val="20"/>
                <w:szCs w:val="20"/>
                <w:color w:val="auto"/>
              </w:rPr>
            </w:pPr>
            <w:r>
              <w:rPr>
                <w:rFonts w:ascii="Arial" w:cs="Arial" w:eastAsia="Arial" w:hAnsi="Arial"/>
                <w:sz w:val="20"/>
                <w:szCs w:val="20"/>
                <w:color w:val="auto"/>
              </w:rPr>
              <w:t xml:space="preserve">(d) </w:t>
            </w:r>
            <w:r>
              <w:rPr>
                <w:rFonts w:ascii="Arial" w:cs="Arial" w:eastAsia="Arial" w:hAnsi="Arial"/>
                <w:sz w:val="20"/>
                <w:szCs w:val="20"/>
                <w:i w:val="1"/>
                <w:iCs w:val="1"/>
                <w:color w:val="auto"/>
              </w:rPr>
              <w:t>Exhibits.</w:t>
            </w:r>
          </w:p>
        </w:tc>
        <w:tc>
          <w:tcPr>
            <w:tcW w:w="9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51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476"/>
        </w:trPr>
        <w:tc>
          <w:tcPr>
            <w:tcW w:w="36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20"/>
                <w:szCs w:val="20"/>
                <w:color w:val="auto"/>
                <w:w w:val="97"/>
              </w:rPr>
              <w:t>Exhibit No.</w:t>
            </w:r>
          </w:p>
        </w:tc>
        <w:tc>
          <w:tcPr>
            <w:tcW w:w="540" w:type="dxa"/>
            <w:vAlign w:val="bottom"/>
            <w:gridSpan w:val="2"/>
          </w:tcPr>
          <w:p>
            <w:pPr>
              <w:spacing w:after="0"/>
              <w:rPr>
                <w:sz w:val="24"/>
                <w:szCs w:val="24"/>
                <w:color w:val="auto"/>
              </w:rPr>
            </w:pPr>
          </w:p>
        </w:tc>
        <w:tc>
          <w:tcPr>
            <w:tcW w:w="9380" w:type="dxa"/>
            <w:vAlign w:val="bottom"/>
            <w:gridSpan w:val="4"/>
          </w:tcPr>
          <w:p>
            <w:pPr>
              <w:spacing w:after="0"/>
              <w:rPr>
                <w:sz w:val="20"/>
                <w:szCs w:val="20"/>
                <w:color w:val="auto"/>
              </w:rPr>
            </w:pPr>
            <w:r>
              <w:rPr>
                <w:rFonts w:ascii="Arial" w:cs="Arial" w:eastAsia="Arial" w:hAnsi="Arial"/>
                <w:sz w:val="20"/>
                <w:szCs w:val="20"/>
                <w:color w:val="auto"/>
              </w:rPr>
              <w:t>Description</w:t>
            </w:r>
          </w:p>
        </w:tc>
      </w:tr>
      <w:tr>
        <w:trPr>
          <w:trHeight w:val="20"/>
        </w:trPr>
        <w:tc>
          <w:tcPr>
            <w:tcW w:w="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50"/>
        </w:trPr>
        <w:tc>
          <w:tcPr>
            <w:tcW w:w="1320" w:type="dxa"/>
            <w:vAlign w:val="bottom"/>
            <w:gridSpan w:val="2"/>
          </w:tcPr>
          <w:p>
            <w:pPr>
              <w:ind w:left="360"/>
              <w:spacing w:after="0"/>
              <w:rPr>
                <w:sz w:val="20"/>
                <w:szCs w:val="20"/>
                <w:color w:val="auto"/>
              </w:rPr>
            </w:pPr>
            <w:r>
              <w:rPr>
                <w:rFonts w:ascii="Arial" w:cs="Arial" w:eastAsia="Arial" w:hAnsi="Arial"/>
                <w:sz w:val="20"/>
                <w:szCs w:val="20"/>
                <w:color w:val="auto"/>
              </w:rPr>
              <w:t>*99.1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5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color w:val="0000FF"/>
                <w:w w:val="98"/>
              </w:rPr>
              <w:t>BXP, Inc. Supplemental Operating and Financial Data for the quarter ended September 30, 2026.</w:t>
            </w:r>
          </w:p>
        </w:tc>
        <w:tc>
          <w:tcPr>
            <w:tcW w:w="880" w:type="dxa"/>
            <w:vAlign w:val="bottom"/>
          </w:tcPr>
          <w:p>
            <w:pPr>
              <w:spacing w:after="0"/>
              <w:rPr>
                <w:sz w:val="21"/>
                <w:szCs w:val="21"/>
                <w:color w:val="auto"/>
              </w:rPr>
            </w:pPr>
          </w:p>
        </w:tc>
      </w:tr>
      <w:tr>
        <w:trPr>
          <w:trHeight w:val="250"/>
        </w:trPr>
        <w:tc>
          <w:tcPr>
            <w:tcW w:w="1320" w:type="dxa"/>
            <w:vAlign w:val="bottom"/>
            <w:gridSpan w:val="2"/>
          </w:tcPr>
          <w:p>
            <w:pPr>
              <w:ind w:left="360"/>
              <w:spacing w:after="0"/>
              <w:rPr>
                <w:sz w:val="20"/>
                <w:szCs w:val="20"/>
                <w:color w:val="auto"/>
              </w:rPr>
            </w:pPr>
            <w:r>
              <w:rPr>
                <w:rFonts w:ascii="Arial" w:cs="Arial" w:eastAsia="Arial" w:hAnsi="Arial"/>
                <w:sz w:val="20"/>
                <w:szCs w:val="20"/>
                <w:color w:val="auto"/>
              </w:rPr>
              <w:t>*99.2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color w:val="0000FF"/>
                <w:w w:val="98"/>
              </w:rPr>
              <w:t>Press release dated October 27, 2026.</w:t>
            </w:r>
          </w:p>
        </w:tc>
        <w:tc>
          <w:tcPr>
            <w:tcW w:w="5980" w:type="dxa"/>
            <w:vAlign w:val="bottom"/>
            <w:gridSpan w:val="2"/>
          </w:tcPr>
          <w:p>
            <w:pPr>
              <w:spacing w:after="0"/>
              <w:rPr>
                <w:sz w:val="21"/>
                <w:szCs w:val="21"/>
                <w:color w:val="auto"/>
              </w:rPr>
            </w:pPr>
          </w:p>
        </w:tc>
      </w:tr>
      <w:tr>
        <w:trPr>
          <w:trHeight w:val="301"/>
        </w:trPr>
        <w:tc>
          <w:tcPr>
            <w:tcW w:w="360" w:type="dxa"/>
            <w:vAlign w:val="bottom"/>
          </w:tcPr>
          <w:p>
            <w:pPr>
              <w:spacing w:after="0"/>
              <w:rPr>
                <w:sz w:val="24"/>
                <w:szCs w:val="24"/>
                <w:color w:val="auto"/>
              </w:rPr>
            </w:pPr>
          </w:p>
        </w:tc>
        <w:tc>
          <w:tcPr>
            <w:tcW w:w="1500" w:type="dxa"/>
            <w:vAlign w:val="bottom"/>
            <w:gridSpan w:val="3"/>
          </w:tcPr>
          <w:p>
            <w:pPr>
              <w:jc w:val="center"/>
              <w:ind w:right="620"/>
              <w:spacing w:after="0"/>
              <w:rPr>
                <w:sz w:val="20"/>
                <w:szCs w:val="20"/>
                <w:color w:val="auto"/>
              </w:rPr>
            </w:pPr>
            <w:r>
              <w:rPr>
                <w:rFonts w:ascii="Arial" w:cs="Arial" w:eastAsia="Arial" w:hAnsi="Arial"/>
                <w:sz w:val="20"/>
                <w:szCs w:val="20"/>
                <w:color w:val="auto"/>
                <w:w w:val="98"/>
              </w:rPr>
              <w:t>*101.SCH</w:t>
            </w:r>
          </w:p>
        </w:tc>
        <w:tc>
          <w:tcPr>
            <w:tcW w:w="9380" w:type="dxa"/>
            <w:vAlign w:val="bottom"/>
            <w:gridSpan w:val="4"/>
          </w:tcPr>
          <w:p>
            <w:pPr>
              <w:spacing w:after="0"/>
              <w:rPr>
                <w:sz w:val="20"/>
                <w:szCs w:val="20"/>
                <w:color w:val="auto"/>
              </w:rPr>
            </w:pPr>
            <w:r>
              <w:rPr>
                <w:rFonts w:ascii="Arial" w:cs="Arial" w:eastAsia="Arial" w:hAnsi="Arial"/>
                <w:sz w:val="20"/>
                <w:szCs w:val="20"/>
                <w:color w:val="auto"/>
              </w:rPr>
              <w:t>Inline XBRL Taxonomy Extension Schema Document.</w:t>
            </w:r>
          </w:p>
        </w:tc>
      </w:tr>
      <w:tr>
        <w:trPr>
          <w:trHeight w:val="270"/>
        </w:trPr>
        <w:tc>
          <w:tcPr>
            <w:tcW w:w="360" w:type="dxa"/>
            <w:vAlign w:val="bottom"/>
          </w:tcPr>
          <w:p>
            <w:pPr>
              <w:spacing w:after="0"/>
              <w:rPr>
                <w:sz w:val="23"/>
                <w:szCs w:val="23"/>
                <w:color w:val="auto"/>
              </w:rPr>
            </w:pPr>
          </w:p>
        </w:tc>
        <w:tc>
          <w:tcPr>
            <w:tcW w:w="1500" w:type="dxa"/>
            <w:vAlign w:val="bottom"/>
            <w:gridSpan w:val="3"/>
          </w:tcPr>
          <w:p>
            <w:pPr>
              <w:jc w:val="center"/>
              <w:ind w:right="660"/>
              <w:spacing w:after="0"/>
              <w:rPr>
                <w:sz w:val="20"/>
                <w:szCs w:val="20"/>
                <w:color w:val="auto"/>
              </w:rPr>
            </w:pPr>
            <w:r>
              <w:rPr>
                <w:rFonts w:ascii="Arial" w:cs="Arial" w:eastAsia="Arial" w:hAnsi="Arial"/>
                <w:sz w:val="20"/>
                <w:szCs w:val="20"/>
                <w:color w:val="auto"/>
                <w:w w:val="99"/>
              </w:rPr>
              <w:t>*101.LAB</w:t>
            </w:r>
          </w:p>
        </w:tc>
        <w:tc>
          <w:tcPr>
            <w:tcW w:w="9380" w:type="dxa"/>
            <w:vAlign w:val="bottom"/>
            <w:gridSpan w:val="4"/>
          </w:tcPr>
          <w:p>
            <w:pPr>
              <w:spacing w:after="0"/>
              <w:rPr>
                <w:sz w:val="20"/>
                <w:szCs w:val="20"/>
                <w:color w:val="auto"/>
              </w:rPr>
            </w:pPr>
            <w:r>
              <w:rPr>
                <w:rFonts w:ascii="Arial" w:cs="Arial" w:eastAsia="Arial" w:hAnsi="Arial"/>
                <w:sz w:val="20"/>
                <w:szCs w:val="20"/>
                <w:color w:val="auto"/>
              </w:rPr>
              <w:t>Inline XBRL Taxonomy Extension Label Linkbase Document.</w:t>
            </w:r>
          </w:p>
        </w:tc>
      </w:tr>
      <w:tr>
        <w:trPr>
          <w:trHeight w:val="270"/>
        </w:trPr>
        <w:tc>
          <w:tcPr>
            <w:tcW w:w="360" w:type="dxa"/>
            <w:vAlign w:val="bottom"/>
          </w:tcPr>
          <w:p>
            <w:pPr>
              <w:spacing w:after="0"/>
              <w:rPr>
                <w:sz w:val="23"/>
                <w:szCs w:val="23"/>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20"/>
                <w:szCs w:val="20"/>
                <w:color w:val="auto"/>
                <w:w w:val="97"/>
              </w:rPr>
              <w:t>*101.PRE</w:t>
            </w:r>
          </w:p>
        </w:tc>
        <w:tc>
          <w:tcPr>
            <w:tcW w:w="9380" w:type="dxa"/>
            <w:vAlign w:val="bottom"/>
            <w:gridSpan w:val="4"/>
          </w:tcPr>
          <w:p>
            <w:pPr>
              <w:spacing w:after="0"/>
              <w:rPr>
                <w:sz w:val="20"/>
                <w:szCs w:val="20"/>
                <w:color w:val="auto"/>
              </w:rPr>
            </w:pPr>
            <w:r>
              <w:rPr>
                <w:rFonts w:ascii="Arial" w:cs="Arial" w:eastAsia="Arial" w:hAnsi="Arial"/>
                <w:sz w:val="20"/>
                <w:szCs w:val="20"/>
                <w:color w:val="auto"/>
              </w:rPr>
              <w:t>Inline XBRL Taxonomy Extension Presentation Linkbase Document.</w:t>
            </w:r>
          </w:p>
        </w:tc>
      </w:tr>
      <w:tr>
        <w:trPr>
          <w:trHeight w:val="270"/>
        </w:trPr>
        <w:tc>
          <w:tcPr>
            <w:tcW w:w="360" w:type="dxa"/>
            <w:vAlign w:val="bottom"/>
          </w:tcPr>
          <w:p>
            <w:pPr>
              <w:spacing w:after="0"/>
              <w:rPr>
                <w:sz w:val="23"/>
                <w:szCs w:val="23"/>
                <w:color w:val="auto"/>
              </w:rPr>
            </w:pPr>
          </w:p>
        </w:tc>
        <w:tc>
          <w:tcPr>
            <w:tcW w:w="1500" w:type="dxa"/>
            <w:vAlign w:val="bottom"/>
            <w:gridSpan w:val="3"/>
          </w:tcPr>
          <w:p>
            <w:pPr>
              <w:jc w:val="center"/>
              <w:ind w:right="640"/>
              <w:spacing w:after="0"/>
              <w:rPr>
                <w:sz w:val="20"/>
                <w:szCs w:val="20"/>
                <w:color w:val="auto"/>
              </w:rPr>
            </w:pPr>
            <w:r>
              <w:rPr>
                <w:rFonts w:ascii="Arial" w:cs="Arial" w:eastAsia="Arial" w:hAnsi="Arial"/>
                <w:sz w:val="20"/>
                <w:szCs w:val="20"/>
                <w:color w:val="auto"/>
                <w:w w:val="99"/>
              </w:rPr>
              <w:t>*101.DEF</w:t>
            </w:r>
          </w:p>
        </w:tc>
        <w:tc>
          <w:tcPr>
            <w:tcW w:w="9380" w:type="dxa"/>
            <w:vAlign w:val="bottom"/>
            <w:gridSpan w:val="4"/>
          </w:tcPr>
          <w:p>
            <w:pPr>
              <w:spacing w:after="0"/>
              <w:rPr>
                <w:sz w:val="20"/>
                <w:szCs w:val="20"/>
                <w:color w:val="auto"/>
              </w:rPr>
            </w:pPr>
            <w:r>
              <w:rPr>
                <w:rFonts w:ascii="Arial" w:cs="Arial" w:eastAsia="Arial" w:hAnsi="Arial"/>
                <w:sz w:val="20"/>
                <w:szCs w:val="20"/>
                <w:color w:val="auto"/>
              </w:rPr>
              <w:t>Inline XBRL Taxonomy Extension Definition Linkbase Document.</w:t>
            </w:r>
          </w:p>
        </w:tc>
      </w:tr>
      <w:tr>
        <w:trPr>
          <w:trHeight w:val="211"/>
        </w:trPr>
        <w:tc>
          <w:tcPr>
            <w:tcW w:w="1320" w:type="dxa"/>
            <w:vAlign w:val="bottom"/>
            <w:gridSpan w:val="2"/>
          </w:tcPr>
          <w:p>
            <w:pPr>
              <w:ind w:left="360"/>
              <w:spacing w:after="0" w:line="211" w:lineRule="exact"/>
              <w:rPr>
                <w:sz w:val="20"/>
                <w:szCs w:val="20"/>
                <w:color w:val="auto"/>
              </w:rPr>
            </w:pPr>
            <w:r>
              <w:rPr>
                <w:rFonts w:ascii="Arial" w:cs="Arial" w:eastAsia="Arial" w:hAnsi="Arial"/>
                <w:sz w:val="20"/>
                <w:szCs w:val="20"/>
                <w:color w:val="auto"/>
              </w:rPr>
              <w:t>*104</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380" w:type="dxa"/>
            <w:vAlign w:val="bottom"/>
            <w:gridSpan w:val="4"/>
          </w:tcPr>
          <w:p>
            <w:pPr>
              <w:spacing w:after="0" w:line="211" w:lineRule="exact"/>
              <w:rPr>
                <w:sz w:val="20"/>
                <w:szCs w:val="20"/>
                <w:color w:val="auto"/>
              </w:rPr>
            </w:pPr>
            <w:r>
              <w:rPr>
                <w:rFonts w:ascii="Arial" w:cs="Arial" w:eastAsia="Arial" w:hAnsi="Arial"/>
                <w:sz w:val="20"/>
                <w:szCs w:val="20"/>
                <w:color w:val="auto"/>
              </w:rPr>
              <w:t>Cover Page Interactive Data File (formatted as Inline XBRL with applicable taxonomy extension</w:t>
            </w:r>
          </w:p>
        </w:tc>
      </w:tr>
      <w:tr>
        <w:trPr>
          <w:trHeight w:val="261"/>
        </w:trPr>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380" w:type="dxa"/>
            <w:vAlign w:val="bottom"/>
            <w:gridSpan w:val="4"/>
          </w:tcPr>
          <w:p>
            <w:pPr>
              <w:spacing w:after="0"/>
              <w:rPr>
                <w:sz w:val="20"/>
                <w:szCs w:val="20"/>
                <w:color w:val="auto"/>
              </w:rPr>
            </w:pPr>
            <w:r>
              <w:rPr>
                <w:rFonts w:ascii="Arial" w:cs="Arial" w:eastAsia="Arial" w:hAnsi="Arial"/>
                <w:sz w:val="20"/>
                <w:szCs w:val="20"/>
                <w:color w:val="auto"/>
              </w:rPr>
              <w:t>information contained in Exhibits 101.*).</w:t>
            </w:r>
          </w:p>
        </w:tc>
      </w:tr>
      <w:tr>
        <w:trPr>
          <w:trHeight w:val="327"/>
        </w:trPr>
        <w:tc>
          <w:tcPr>
            <w:tcW w:w="1860" w:type="dxa"/>
            <w:vAlign w:val="bottom"/>
            <w:gridSpan w:val="4"/>
          </w:tcPr>
          <w:p>
            <w:pPr>
              <w:jc w:val="center"/>
              <w:ind w:right="320"/>
              <w:spacing w:after="0"/>
              <w:rPr>
                <w:sz w:val="20"/>
                <w:szCs w:val="20"/>
                <w:color w:val="auto"/>
              </w:rPr>
            </w:pPr>
            <w:r>
              <w:rPr>
                <w:rFonts w:ascii="Arial" w:cs="Arial" w:eastAsia="Arial" w:hAnsi="Arial"/>
                <w:sz w:val="20"/>
                <w:szCs w:val="20"/>
                <w:color w:val="auto"/>
                <w:w w:val="98"/>
              </w:rPr>
              <w:t>______________</w:t>
            </w:r>
          </w:p>
        </w:tc>
        <w:tc>
          <w:tcPr>
            <w:tcW w:w="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68"/>
        </w:trPr>
        <w:tc>
          <w:tcPr>
            <w:tcW w:w="1540" w:type="dxa"/>
            <w:vAlign w:val="bottom"/>
            <w:tcBorders>
              <w:top w:val="single" w:sz="8" w:color="auto"/>
            </w:tcBorders>
            <w:gridSpan w:val="3"/>
          </w:tcPr>
          <w:p>
            <w:pPr>
              <w:jc w:val="center"/>
              <w:spacing w:after="0"/>
              <w:rPr>
                <w:sz w:val="20"/>
                <w:szCs w:val="20"/>
                <w:color w:val="auto"/>
              </w:rPr>
            </w:pPr>
            <w:r>
              <w:rPr>
                <w:rFonts w:ascii="Arial" w:cs="Arial" w:eastAsia="Arial" w:hAnsi="Arial"/>
                <w:sz w:val="20"/>
                <w:szCs w:val="20"/>
                <w:color w:val="auto"/>
                <w:w w:val="99"/>
              </w:rPr>
              <w:t>* Filed herewith.</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57"/>
        </w:trPr>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5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3" w:right="339" w:bottom="1440" w:gutter="0" w:footer="0" w:header="0"/>
        </w:sectPr>
      </w:pPr>
    </w:p>
    <w:bookmarkStart w:id="3" w:name="page4"/>
    <w:bookmarkEnd w:id="3"/>
    <w:p>
      <w:pPr>
        <w:jc w:val="center"/>
        <w:ind w:right="-17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01" w:lineRule="exact"/>
        <w:rPr>
          <w:sz w:val="20"/>
          <w:szCs w:val="20"/>
          <w:color w:val="auto"/>
        </w:rPr>
      </w:pPr>
    </w:p>
    <w:p>
      <w:pPr>
        <w:ind w:firstLine="648"/>
        <w:spacing w:after="0" w:line="271" w:lineRule="auto"/>
        <w:rPr>
          <w:sz w:val="20"/>
          <w:szCs w:val="20"/>
          <w:color w:val="auto"/>
        </w:rPr>
      </w:pPr>
      <w:r>
        <w:rPr>
          <w:rFonts w:ascii="Arial" w:cs="Arial" w:eastAsia="Arial" w:hAnsi="Arial"/>
          <w:sz w:val="20"/>
          <w:szCs w:val="20"/>
          <w:color w:val="auto"/>
        </w:rPr>
        <w:t>Pursuant to the requirements of the Securities Exchange Act of 1934, the registrants have duly caused this report to be signed on their behalf by the undersigned hereunto duly authorized.</w:t>
      </w:r>
    </w:p>
    <w:p>
      <w:pPr>
        <w:spacing w:after="0" w:line="200" w:lineRule="exact"/>
        <w:rPr>
          <w:sz w:val="20"/>
          <w:szCs w:val="20"/>
          <w:color w:val="auto"/>
        </w:rPr>
      </w:pPr>
    </w:p>
    <w:p>
      <w:pPr>
        <w:spacing w:after="0" w:line="293"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BXP, INC.</w:t>
      </w:r>
    </w:p>
    <w:p>
      <w:pPr>
        <w:spacing w:after="0" w:line="310" w:lineRule="exact"/>
        <w:rPr>
          <w:sz w:val="20"/>
          <w:szCs w:val="20"/>
          <w:color w:val="auto"/>
        </w:rPr>
      </w:pPr>
    </w:p>
    <w:p>
      <w:pPr>
        <w:ind w:left="1380"/>
        <w:spacing w:after="0"/>
        <w:tabs>
          <w:tab w:leader="none" w:pos="1980" w:val="left"/>
          <w:tab w:leader="none" w:pos="2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w:t>
      </w:r>
      <w:r>
        <w:rPr>
          <w:sz w:val="20"/>
          <w:szCs w:val="20"/>
          <w:color w:val="auto"/>
        </w:rPr>
        <w:tab/>
      </w:r>
      <w:r>
        <w:rPr>
          <w:rFonts w:ascii="Arial" w:cs="Arial" w:eastAsia="Arial" w:hAnsi="Arial"/>
          <w:sz w:val="19"/>
          <w:szCs w:val="19"/>
          <w:color w:val="auto"/>
        </w:rPr>
        <w:t>MICHAEL E. LABELLE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22225</wp:posOffset>
            </wp:positionV>
            <wp:extent cx="3660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34"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Michael E. LaBelle</w:t>
      </w:r>
    </w:p>
    <w:p>
      <w:pPr>
        <w:spacing w:after="0" w:line="4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Executive Vice President, Chief Financial Officer</w:t>
      </w:r>
    </w:p>
    <w:p>
      <w:pPr>
        <w:spacing w:after="0" w:line="4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BOSTON PROPERTIES LIMITED PARTNERSHIP</w:t>
      </w:r>
    </w:p>
    <w:p>
      <w:pPr>
        <w:spacing w:after="0" w:line="4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By: BXP, Inc., its General Partner</w:t>
      </w:r>
    </w:p>
    <w:p>
      <w:pPr>
        <w:spacing w:after="0" w:line="310" w:lineRule="exact"/>
        <w:rPr>
          <w:sz w:val="20"/>
          <w:szCs w:val="20"/>
          <w:color w:val="auto"/>
        </w:rPr>
      </w:pPr>
    </w:p>
    <w:p>
      <w:pPr>
        <w:ind w:left="1380"/>
        <w:spacing w:after="0"/>
        <w:tabs>
          <w:tab w:leader="none" w:pos="1980" w:val="left"/>
          <w:tab w:leader="none" w:pos="2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w:t>
      </w:r>
      <w:r>
        <w:rPr>
          <w:sz w:val="20"/>
          <w:szCs w:val="20"/>
          <w:color w:val="auto"/>
        </w:rPr>
        <w:tab/>
      </w:r>
      <w:r>
        <w:rPr>
          <w:rFonts w:ascii="Arial" w:cs="Arial" w:eastAsia="Arial" w:hAnsi="Arial"/>
          <w:sz w:val="19"/>
          <w:szCs w:val="19"/>
          <w:color w:val="auto"/>
        </w:rPr>
        <w:t>MICHAEL E. LABELLE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22225</wp:posOffset>
            </wp:positionV>
            <wp:extent cx="3660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34"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Michael E. LaBelle</w:t>
      </w:r>
    </w:p>
    <w:p>
      <w:pPr>
        <w:spacing w:after="0" w:line="4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Executive Vice President, Chief Financial Officer</w:t>
      </w:r>
    </w:p>
    <w:p>
      <w:pPr>
        <w:spacing w:after="0" w:line="40" w:lineRule="exact"/>
        <w:rPr>
          <w:sz w:val="20"/>
          <w:szCs w:val="20"/>
          <w:color w:val="auto"/>
        </w:rPr>
      </w:pPr>
    </w:p>
    <w:p>
      <w:pPr>
        <w:ind w:left="2040"/>
        <w:spacing w:after="0"/>
        <w:rPr>
          <w:sz w:val="20"/>
          <w:szCs w:val="20"/>
          <w:color w:val="auto"/>
        </w:rPr>
      </w:pPr>
      <w:r>
        <w:rPr>
          <w:rFonts w:ascii="Arial" w:cs="Arial" w:eastAsia="Arial" w:hAnsi="Arial"/>
          <w:sz w:val="20"/>
          <w:szCs w:val="20"/>
          <w:color w:val="auto"/>
        </w:rPr>
        <w:t>and Treasurer</w:t>
      </w:r>
    </w:p>
    <w:p>
      <w:pPr>
        <w:spacing w:after="0" w:line="200" w:lineRule="exact"/>
        <w:rPr>
          <w:sz w:val="20"/>
          <w:szCs w:val="20"/>
          <w:color w:val="auto"/>
        </w:rPr>
      </w:pPr>
    </w:p>
    <w:p>
      <w:pPr>
        <w:spacing w:after="0" w:line="3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 October 27, 2026</w:t>
      </w:r>
    </w:p>
    <w:p>
      <w:pPr>
        <w:sectPr>
          <w:pgSz w:w="11900" w:h="16838" w:orient="portrait"/>
          <w:cols w:equalWidth="0" w:num="1">
            <w:col w:w="11060"/>
          </w:cols>
          <w:pgMar w:left="320" w:top="1223" w:right="519" w:bottom="1440" w:gutter="0" w:footer="0" w:header="0"/>
        </w:sectPr>
      </w:pPr>
    </w:p>
    <w:bookmarkStart w:id="4" w:name="page5"/>
    <w:bookmarkEnd w:id="4"/>
    <w:p>
      <w:pPr>
        <w:jc w:val="right"/>
        <w:ind w:right="97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1097915</wp:posOffset>
            </wp:positionV>
            <wp:extent cx="5760720" cy="4989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60720" cy="4989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760" w:right="1719" w:hanging="55"/>
        <w:spacing w:after="0" w:line="335" w:lineRule="auto"/>
        <w:rPr>
          <w:sz w:val="20"/>
          <w:szCs w:val="20"/>
          <w:color w:val="auto"/>
        </w:rPr>
      </w:pPr>
      <w:r>
        <w:rPr>
          <w:rFonts w:ascii="Arial" w:cs="Arial" w:eastAsia="Arial" w:hAnsi="Arial"/>
          <w:sz w:val="28"/>
          <w:szCs w:val="28"/>
          <w:color w:val="424242"/>
        </w:rPr>
        <w:t>Supplemental Operating and Financial Data for the Quarter Ended September 30, 2026</w:t>
      </w:r>
    </w:p>
    <w:p>
      <w:pPr>
        <w:sectPr>
          <w:pgSz w:w="11900" w:h="16838" w:orient="portrait"/>
          <w:cols w:equalWidth="0" w:num="1">
            <w:col w:w="9019"/>
          </w:cols>
          <w:pgMar w:left="1440" w:top="1336" w:right="1440"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i w:val="1"/>
          <w:iCs w:val="1"/>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BXP, Inc. (NYSE: BXP) (“BXP” or the “Company”) is the largest publicly traded developer, owner, and manager of premier workplaces in the United States, concentrated in six dynamic gateway markets - Boston, Los Angeles, New York, San Francisco, Seattle, and Washington, DC. BXP has delivered places that power progress for our clients and communities for more than 55 years. BXP is a fully integrated real estate company, organized as a real estate investment trust (REIT). As of September 30, 2026, including properties owned by joint ventures, BXP’s portfolio totals 50.6 million square feet and 162 properties, including six properties under construction/redevelopment. BXP’s portfolio consists of 141 office properties, 13 retail properties, seven residential properties (including four residential properties under construction) and one hotel. BXP is well-known for its in-house building management expertise and responsiveness to clients’ needs. BXP holds a superior track record of developing premium Central Business District (CBD) office buildings, successful mixed-use complexes, suburban office centers and build-to-suit projects for a diverse array of creditworthy clients. BXP actively works to promote its growth and operations in a sustainable and responsible manner. BXP has earned a fourteenth consecutive GRESB “Green Star” recognition and the highest GRESB 5-star Rating and was named one of the world’s most sustainable companies by TIME Magazine. BXP, an S&amp;P 500 company, was founded in 1970 by Mortimer B. Zuckerman and Edward H. Linde and became a public company in 1997.</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right="160"/>
        <w:spacing w:after="0" w:line="241" w:lineRule="auto"/>
        <w:rPr>
          <w:sz w:val="20"/>
          <w:szCs w:val="20"/>
          <w:color w:val="auto"/>
        </w:rPr>
      </w:pPr>
      <w:r>
        <w:rPr>
          <w:rFonts w:ascii="Arial" w:cs="Arial" w:eastAsia="Arial" w:hAnsi="Arial"/>
          <w:sz w:val="14"/>
          <w:szCs w:val="14"/>
          <w:color w:val="auto"/>
        </w:rPr>
        <w:t>This Supplemental package contains “forward-looking statements” as defined in the Private Securities Litigation Reform Act of 1995. You can identify these statements by our use of the words “anticipates,” “believes,” “budgeted,” “could,” “estimates,” “expects,” “guidance,” “intends,” “may,” “might,” “plans,” “projects,” “should,” “will,” and similar</w:t>
      </w:r>
    </w:p>
    <w:p>
      <w:pPr>
        <w:spacing w:after="0" w:line="1" w:lineRule="exact"/>
        <w:rPr>
          <w:sz w:val="20"/>
          <w:szCs w:val="20"/>
          <w:color w:val="auto"/>
        </w:rPr>
      </w:pPr>
    </w:p>
    <w:p>
      <w:pPr>
        <w:ind w:right="20"/>
        <w:spacing w:after="0" w:line="241" w:lineRule="auto"/>
        <w:rPr>
          <w:sz w:val="20"/>
          <w:szCs w:val="20"/>
          <w:color w:val="auto"/>
        </w:rPr>
      </w:pPr>
      <w:r>
        <w:rPr>
          <w:rFonts w:ascii="Arial" w:cs="Arial" w:eastAsia="Arial" w:hAnsi="Arial"/>
          <w:sz w:val="14"/>
          <w:szCs w:val="14"/>
          <w:color w:val="auto"/>
        </w:rPr>
        <w:t>expressions that do not relate to historical matters. These statements are based on our current plans, expectations, projections and assumptions about future events. You should exercise caution in interpreting and relying on forward-looking statements because they involve known and unknown risks, uncertainties and other factors which are, in some cases, beyond BXP’s control. If our underlying assumptions prove inaccurate, or known or unknown risks or uncertainties materialize, actual results could differ materially from those expressed or implied by the forward-looking statements. These factors include, without limitation, the risks and uncertainties related to adverse changes in general economic and capital market conditions, including continued inflation, elevated interest rates, supply chain disruptions, dislocation and volatility in capital markets, potential longer-term changes in consumer and client behavior resulting from the severity and duration of any downturn in the U.S. or global economy, general risks affecting the real estate industry (including, without limitation, the inability to enter into or renew leases on favorable terms, sustained changes in client preferences and space utilization, dependence on clients’ financial condition, and competition from other developers, owners and operators of real estate), the impact of adverse political conditions, including policy changes by the presidential administration, such as the direct and indirect negative impacts that new and increased tariffs may have on (1) our current and prospective clients and their demand for office space and (2) the costs and availability of construction materials and the economic returns on our construction and development activities, and prolonged government shutdowns or disruptions, the impact of geopolitical conflicts, the uncertainties of investing in new markets, the costs and availability of financing, the effectiveness of our hedging contracts, the ability of our joint venture partners to satisfy their obligations, the effects of local, national and international economic and market conditions, the effects of acquisitions, dispositions and possible impairment charges on our operating results, the impact of newly adopted accounting principles on the Company’s accounting policies and on period-to-period comparisons of financial results, the uncertainties of costs to comply with regulatory changes and other risks and</w:t>
      </w:r>
    </w:p>
    <w:p>
      <w:pPr>
        <w:spacing w:after="0" w:line="5" w:lineRule="exact"/>
        <w:rPr>
          <w:sz w:val="20"/>
          <w:szCs w:val="20"/>
          <w:color w:val="auto"/>
        </w:rPr>
      </w:pPr>
    </w:p>
    <w:p>
      <w:pPr>
        <w:ind w:right="120"/>
        <w:spacing w:after="0" w:line="231" w:lineRule="auto"/>
        <w:rPr>
          <w:sz w:val="20"/>
          <w:szCs w:val="20"/>
          <w:color w:val="auto"/>
        </w:rPr>
      </w:pPr>
      <w:r>
        <w:rPr>
          <w:rFonts w:ascii="Arial" w:cs="Arial" w:eastAsia="Arial" w:hAnsi="Arial"/>
          <w:sz w:val="14"/>
          <w:szCs w:val="14"/>
          <w:color w:val="auto"/>
        </w:rPr>
        <w:t>uncertainties detailed from time to time in the Company’s filings with the Securities and Exchange Commission. These forward-looking statements speak only as of the date of issuance of this report and are not guarantees of future results, performance or achievements. BXP does not undertake a duty to update or revise any forward-looking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statement, whether as a result of new information, future events or otherwise, except as otherwise required by law.</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This Supplemental package includes non-GAAP financial measures, which are accompanied by what the Company considers the most directly comparable financial measures calculated and presented in accordance with GAAP. Quantitative reconciliations of the differences between the most directly comparable GAAP financial measures and the non-GAAP financial measures presented are provided within this Supplemental package. Definitions of these non-GAAP financial measures and statements of the reasons why management believes the non-GAAP measures provide useful information to investors about the Company’s financial condition and results of operations, and, if applicable, the other purposes for which management uses the measures, can be found in the Definitions section of this Supplemental starting on page 56.</w:t>
      </w:r>
    </w:p>
    <w:p>
      <w:pPr>
        <w:spacing w:after="0" w:line="211" w:lineRule="exact"/>
        <w:rPr>
          <w:sz w:val="20"/>
          <w:szCs w:val="20"/>
          <w:color w:val="auto"/>
        </w:rPr>
      </w:pPr>
    </w:p>
    <w:p>
      <w:pPr>
        <w:ind w:right="80"/>
        <w:spacing w:after="0" w:line="260" w:lineRule="auto"/>
        <w:rPr>
          <w:sz w:val="20"/>
          <w:szCs w:val="20"/>
          <w:color w:val="auto"/>
        </w:rPr>
      </w:pPr>
      <w:r>
        <w:rPr>
          <w:rFonts w:ascii="Arial" w:cs="Arial" w:eastAsia="Arial" w:hAnsi="Arial"/>
          <w:sz w:val="14"/>
          <w:szCs w:val="14"/>
          <w:color w:val="auto"/>
        </w:rPr>
        <w:t>The Company presents “</w:t>
      </w:r>
      <w:r>
        <w:rPr>
          <w:rFonts w:ascii="Arial" w:cs="Arial" w:eastAsia="Arial" w:hAnsi="Arial"/>
          <w:sz w:val="14"/>
          <w:szCs w:val="14"/>
          <w:b w:val="1"/>
          <w:bCs w:val="1"/>
          <w:color w:val="auto"/>
        </w:rPr>
        <w:t>BXP’s Share</w:t>
      </w:r>
      <w:r>
        <w:rPr>
          <w:rFonts w:ascii="Arial" w:cs="Arial" w:eastAsia="Arial" w:hAnsi="Arial"/>
          <w:sz w:val="14"/>
          <w:szCs w:val="14"/>
          <w:color w:val="auto"/>
        </w:rPr>
        <w:t>” of certain non-GAAP financial measures that are calculated as the consolidated amount calculated in accordance with GAAP, plus the Company’s share of the amount from the Company’s unconsolidated joint ventures (calculated based upon the Company’s percentage ownership interest and, in some cases, after priority allocations), minus the Company’s partners’ share of the amount from the Company’s consolidated joint ventures (calculated based upon the partners’ percentage ownership interests and, in some cases, after income allocation to private REIT shareholders and their share of fees due to the Company). Management believes that presenting “BXP’s Share” of these measures provides useful information to investors regarding the Company’s financial condition and/or results of operations because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management believes that presenting BXP’s Share of various financial measures in this manner can help investors better understand the Company’s financial condition and/or results of operations after taking into account its true economic interest in these joint ventures. The Company cautions investors that the ownership percentages used in calculating “BXP’s Share” of these measures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routine and major decisions), distributions, transferability of interests, financings and guarantees, liquidations and other matters. As a result, presentations of “BXP’s Share” of a financial measure should not be considered a substitute for, and should only be considered together with and as a supplement to, the Company’s financial information presented in accordance with GAAP. Unless noted otherwise, reconciliations of “BXP’s Share” of these financial measures can be found in the Reconciliations section of this Supplemental package starting on page 60.</w:t>
      </w:r>
    </w:p>
    <w:p>
      <w:pPr>
        <w:sectPr>
          <w:pgSz w:w="11900" w:h="16838" w:orient="portrait"/>
          <w:cols w:equalWidth="0" w:num="1">
            <w:col w:w="11200"/>
          </w:cols>
          <w:pgMar w:left="320" w:top="659" w:right="379" w:bottom="1440" w:gutter="0" w:footer="0" w:header="0"/>
        </w:sectPr>
      </w:pPr>
    </w:p>
    <w:bookmarkStart w:id="6" w:name="page7"/>
    <w:bookmarkEnd w:id="6"/>
    <w:p>
      <w:pPr>
        <w:spacing w:after="0"/>
        <w:rPr>
          <w:sz w:val="20"/>
          <w:szCs w:val="20"/>
          <w:color w:val="auto"/>
        </w:rPr>
      </w:pPr>
      <w:r>
        <w:rPr>
          <w:rFonts w:ascii="Arial" w:cs="Arial" w:eastAsia="Arial" w:hAnsi="Arial"/>
          <w:sz w:val="14"/>
          <w:szCs w:val="14"/>
          <w:b w:val="1"/>
          <w:bCs w:val="1"/>
          <w:i w:val="1"/>
          <w:iCs w:val="1"/>
          <w:color w:val="auto"/>
        </w:rPr>
        <w:t>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1960" w:type="dxa"/>
            <w:vAlign w:val="bottom"/>
          </w:tcPr>
          <w:p>
            <w:pPr>
              <w:spacing w:after="0"/>
              <w:rPr>
                <w:sz w:val="20"/>
                <w:szCs w:val="20"/>
                <w:color w:val="auto"/>
              </w:rPr>
            </w:pPr>
            <w:r>
              <w:rPr>
                <w:rFonts w:ascii="Arial" w:cs="Arial" w:eastAsia="Arial" w:hAnsi="Arial"/>
                <w:sz w:val="14"/>
                <w:szCs w:val="14"/>
                <w:b w:val="1"/>
                <w:bCs w:val="1"/>
                <w:color w:val="auto"/>
              </w:rPr>
              <w:t>Corporate Headquarters</w:t>
            </w:r>
          </w:p>
        </w:tc>
        <w:tc>
          <w:tcPr>
            <w:tcW w:w="2240" w:type="dxa"/>
            <w:vAlign w:val="bottom"/>
          </w:tcPr>
          <w:p>
            <w:pPr>
              <w:ind w:left="280"/>
              <w:spacing w:after="0"/>
              <w:rPr>
                <w:sz w:val="20"/>
                <w:szCs w:val="20"/>
                <w:color w:val="auto"/>
              </w:rPr>
            </w:pPr>
            <w:r>
              <w:rPr>
                <w:rFonts w:ascii="Arial" w:cs="Arial" w:eastAsia="Arial" w:hAnsi="Arial"/>
                <w:sz w:val="14"/>
                <w:szCs w:val="14"/>
                <w:b w:val="1"/>
                <w:bCs w:val="1"/>
                <w:color w:val="auto"/>
              </w:rPr>
              <w:t>Trading Symbol</w:t>
            </w:r>
          </w:p>
        </w:tc>
        <w:tc>
          <w:tcPr>
            <w:tcW w:w="2640" w:type="dxa"/>
            <w:vAlign w:val="bottom"/>
          </w:tcPr>
          <w:p>
            <w:pPr>
              <w:ind w:left="280"/>
              <w:spacing w:after="0"/>
              <w:rPr>
                <w:sz w:val="20"/>
                <w:szCs w:val="20"/>
                <w:color w:val="auto"/>
              </w:rPr>
            </w:pPr>
            <w:r>
              <w:rPr>
                <w:rFonts w:ascii="Arial" w:cs="Arial" w:eastAsia="Arial" w:hAnsi="Arial"/>
                <w:sz w:val="14"/>
                <w:szCs w:val="14"/>
                <w:b w:val="1"/>
                <w:bCs w:val="1"/>
                <w:color w:val="auto"/>
              </w:rPr>
              <w:t>Investor Relations</w:t>
            </w:r>
          </w:p>
        </w:tc>
        <w:tc>
          <w:tcPr>
            <w:tcW w:w="3420" w:type="dxa"/>
            <w:vAlign w:val="bottom"/>
          </w:tcPr>
          <w:p>
            <w:pPr>
              <w:ind w:left="340"/>
              <w:spacing w:after="0"/>
              <w:rPr>
                <w:sz w:val="20"/>
                <w:szCs w:val="20"/>
                <w:color w:val="auto"/>
              </w:rPr>
            </w:pPr>
            <w:r>
              <w:rPr>
                <w:rFonts w:ascii="Arial" w:cs="Arial" w:eastAsia="Arial" w:hAnsi="Arial"/>
                <w:sz w:val="14"/>
                <w:szCs w:val="14"/>
                <w:b w:val="1"/>
                <w:bCs w:val="1"/>
                <w:color w:val="auto"/>
              </w:rPr>
              <w:t>Inquiries</w:t>
            </w:r>
          </w:p>
        </w:tc>
      </w:tr>
      <w:tr>
        <w:trPr>
          <w:trHeight w:val="210"/>
        </w:trPr>
        <w:tc>
          <w:tcPr>
            <w:tcW w:w="1960" w:type="dxa"/>
            <w:vAlign w:val="bottom"/>
          </w:tcPr>
          <w:p>
            <w:pPr>
              <w:spacing w:after="0"/>
              <w:rPr>
                <w:sz w:val="20"/>
                <w:szCs w:val="20"/>
                <w:color w:val="auto"/>
              </w:rPr>
            </w:pPr>
            <w:r>
              <w:rPr>
                <w:rFonts w:ascii="Arial" w:cs="Arial" w:eastAsia="Arial" w:hAnsi="Arial"/>
                <w:sz w:val="14"/>
                <w:szCs w:val="14"/>
                <w:color w:val="auto"/>
              </w:rPr>
              <w:t>800 Boylston Street</w:t>
            </w:r>
          </w:p>
        </w:tc>
        <w:tc>
          <w:tcPr>
            <w:tcW w:w="2240" w:type="dxa"/>
            <w:vAlign w:val="bottom"/>
          </w:tcPr>
          <w:p>
            <w:pPr>
              <w:ind w:left="280"/>
              <w:spacing w:after="0"/>
              <w:rPr>
                <w:sz w:val="20"/>
                <w:szCs w:val="20"/>
                <w:color w:val="auto"/>
              </w:rPr>
            </w:pPr>
            <w:r>
              <w:rPr>
                <w:rFonts w:ascii="Arial" w:cs="Arial" w:eastAsia="Arial" w:hAnsi="Arial"/>
                <w:sz w:val="14"/>
                <w:szCs w:val="14"/>
                <w:color w:val="auto"/>
              </w:rPr>
              <w:t>BXP</w:t>
            </w:r>
          </w:p>
        </w:tc>
        <w:tc>
          <w:tcPr>
            <w:tcW w:w="2640" w:type="dxa"/>
            <w:vAlign w:val="bottom"/>
          </w:tcPr>
          <w:p>
            <w:pPr>
              <w:ind w:left="280"/>
              <w:spacing w:after="0"/>
              <w:rPr>
                <w:sz w:val="20"/>
                <w:szCs w:val="20"/>
                <w:color w:val="auto"/>
              </w:rPr>
            </w:pPr>
            <w:r>
              <w:rPr>
                <w:rFonts w:ascii="Arial" w:cs="Arial" w:eastAsia="Arial" w:hAnsi="Arial"/>
                <w:sz w:val="14"/>
                <w:szCs w:val="14"/>
                <w:color w:val="auto"/>
              </w:rPr>
              <w:t>BXP, Inc.</w:t>
            </w:r>
          </w:p>
        </w:tc>
        <w:tc>
          <w:tcPr>
            <w:tcW w:w="3420" w:type="dxa"/>
            <w:vAlign w:val="bottom"/>
          </w:tcPr>
          <w:p>
            <w:pPr>
              <w:ind w:left="340"/>
              <w:spacing w:after="0"/>
              <w:rPr>
                <w:sz w:val="20"/>
                <w:szCs w:val="20"/>
                <w:color w:val="auto"/>
              </w:rPr>
            </w:pPr>
            <w:r>
              <w:rPr>
                <w:rFonts w:ascii="Arial" w:cs="Arial" w:eastAsia="Arial" w:hAnsi="Arial"/>
                <w:sz w:val="14"/>
                <w:szCs w:val="14"/>
                <w:color w:val="auto"/>
              </w:rPr>
              <w:t>Inquiries should be directed to</w:t>
            </w:r>
          </w:p>
        </w:tc>
      </w:tr>
      <w:tr>
        <w:trPr>
          <w:trHeight w:val="216"/>
        </w:trPr>
        <w:tc>
          <w:tcPr>
            <w:tcW w:w="1960" w:type="dxa"/>
            <w:vAlign w:val="bottom"/>
          </w:tcPr>
          <w:p>
            <w:pPr>
              <w:spacing w:after="0"/>
              <w:rPr>
                <w:sz w:val="20"/>
                <w:szCs w:val="20"/>
                <w:color w:val="auto"/>
              </w:rPr>
            </w:pPr>
            <w:r>
              <w:rPr>
                <w:rFonts w:ascii="Arial" w:cs="Arial" w:eastAsia="Arial" w:hAnsi="Arial"/>
                <w:sz w:val="14"/>
                <w:szCs w:val="14"/>
                <w:color w:val="auto"/>
              </w:rPr>
              <w:t>Suite 1900</w:t>
            </w:r>
          </w:p>
        </w:tc>
        <w:tc>
          <w:tcPr>
            <w:tcW w:w="2240" w:type="dxa"/>
            <w:vAlign w:val="bottom"/>
          </w:tcPr>
          <w:p>
            <w:pPr>
              <w:spacing w:after="0"/>
              <w:rPr>
                <w:sz w:val="18"/>
                <w:szCs w:val="18"/>
                <w:color w:val="auto"/>
              </w:rPr>
            </w:pPr>
          </w:p>
        </w:tc>
        <w:tc>
          <w:tcPr>
            <w:tcW w:w="2640" w:type="dxa"/>
            <w:vAlign w:val="bottom"/>
          </w:tcPr>
          <w:p>
            <w:pPr>
              <w:ind w:left="280"/>
              <w:spacing w:after="0"/>
              <w:rPr>
                <w:sz w:val="20"/>
                <w:szCs w:val="20"/>
                <w:color w:val="auto"/>
              </w:rPr>
            </w:pPr>
            <w:r>
              <w:rPr>
                <w:rFonts w:ascii="Arial" w:cs="Arial" w:eastAsia="Arial" w:hAnsi="Arial"/>
                <w:sz w:val="14"/>
                <w:szCs w:val="14"/>
                <w:color w:val="auto"/>
              </w:rPr>
              <w:t>800 Boylston Street, Suite 1900</w:t>
            </w:r>
          </w:p>
        </w:tc>
        <w:tc>
          <w:tcPr>
            <w:tcW w:w="3420" w:type="dxa"/>
            <w:vAlign w:val="bottom"/>
          </w:tcPr>
          <w:p>
            <w:pPr>
              <w:ind w:left="340"/>
              <w:spacing w:after="0"/>
              <w:rPr>
                <w:sz w:val="20"/>
                <w:szCs w:val="20"/>
                <w:color w:val="auto"/>
              </w:rPr>
            </w:pPr>
            <w:r>
              <w:rPr>
                <w:rFonts w:ascii="Arial" w:cs="Arial" w:eastAsia="Arial" w:hAnsi="Arial"/>
                <w:sz w:val="14"/>
                <w:szCs w:val="14"/>
                <w:color w:val="auto"/>
              </w:rPr>
              <w:t>Helen Han</w:t>
            </w:r>
          </w:p>
        </w:tc>
      </w:tr>
      <w:tr>
        <w:trPr>
          <w:trHeight w:val="222"/>
        </w:trPr>
        <w:tc>
          <w:tcPr>
            <w:tcW w:w="1960" w:type="dxa"/>
            <w:vAlign w:val="bottom"/>
          </w:tcPr>
          <w:p>
            <w:pPr>
              <w:spacing w:after="0"/>
              <w:rPr>
                <w:sz w:val="20"/>
                <w:szCs w:val="20"/>
                <w:color w:val="auto"/>
              </w:rPr>
            </w:pPr>
            <w:r>
              <w:rPr>
                <w:rFonts w:ascii="Arial" w:cs="Arial" w:eastAsia="Arial" w:hAnsi="Arial"/>
                <w:sz w:val="14"/>
                <w:szCs w:val="14"/>
                <w:color w:val="auto"/>
              </w:rPr>
              <w:t>Boston, MA 02199</w:t>
            </w:r>
          </w:p>
        </w:tc>
        <w:tc>
          <w:tcPr>
            <w:tcW w:w="2240" w:type="dxa"/>
            <w:vAlign w:val="bottom"/>
          </w:tcPr>
          <w:p>
            <w:pPr>
              <w:ind w:left="280"/>
              <w:spacing w:after="0"/>
              <w:rPr>
                <w:sz w:val="20"/>
                <w:szCs w:val="20"/>
                <w:color w:val="auto"/>
              </w:rPr>
            </w:pPr>
            <w:r>
              <w:rPr>
                <w:rFonts w:ascii="Arial" w:cs="Arial" w:eastAsia="Arial" w:hAnsi="Arial"/>
                <w:sz w:val="14"/>
                <w:szCs w:val="14"/>
                <w:b w:val="1"/>
                <w:bCs w:val="1"/>
                <w:color w:val="auto"/>
              </w:rPr>
              <w:t>Stock Exchange Listing</w:t>
            </w:r>
          </w:p>
        </w:tc>
        <w:tc>
          <w:tcPr>
            <w:tcW w:w="2640" w:type="dxa"/>
            <w:vAlign w:val="bottom"/>
          </w:tcPr>
          <w:p>
            <w:pPr>
              <w:ind w:left="280"/>
              <w:spacing w:after="0"/>
              <w:rPr>
                <w:sz w:val="20"/>
                <w:szCs w:val="20"/>
                <w:color w:val="auto"/>
              </w:rPr>
            </w:pPr>
            <w:r>
              <w:rPr>
                <w:rFonts w:ascii="Arial" w:cs="Arial" w:eastAsia="Arial" w:hAnsi="Arial"/>
                <w:sz w:val="14"/>
                <w:szCs w:val="14"/>
                <w:color w:val="auto"/>
              </w:rPr>
              <w:t>Boston, MA 02199</w:t>
            </w:r>
          </w:p>
        </w:tc>
        <w:tc>
          <w:tcPr>
            <w:tcW w:w="3420" w:type="dxa"/>
            <w:vAlign w:val="bottom"/>
          </w:tcPr>
          <w:p>
            <w:pPr>
              <w:ind w:left="340"/>
              <w:spacing w:after="0"/>
              <w:rPr>
                <w:sz w:val="20"/>
                <w:szCs w:val="20"/>
                <w:color w:val="auto"/>
              </w:rPr>
            </w:pPr>
            <w:r>
              <w:rPr>
                <w:rFonts w:ascii="Arial" w:cs="Arial" w:eastAsia="Arial" w:hAnsi="Arial"/>
                <w:sz w:val="14"/>
                <w:szCs w:val="14"/>
                <w:color w:val="auto"/>
              </w:rPr>
              <w:t>Vice President, Investor Relations</w:t>
            </w:r>
          </w:p>
        </w:tc>
      </w:tr>
      <w:tr>
        <w:trPr>
          <w:trHeight w:val="210"/>
        </w:trPr>
        <w:tc>
          <w:tcPr>
            <w:tcW w:w="1960" w:type="dxa"/>
            <w:vAlign w:val="bottom"/>
          </w:tcPr>
          <w:p>
            <w:pPr>
              <w:spacing w:after="0"/>
              <w:rPr>
                <w:sz w:val="20"/>
                <w:szCs w:val="20"/>
                <w:color w:val="auto"/>
              </w:rPr>
            </w:pPr>
            <w:r>
              <w:rPr>
                <w:rFonts w:ascii="Arial" w:cs="Arial" w:eastAsia="Arial" w:hAnsi="Arial"/>
                <w:sz w:val="14"/>
                <w:szCs w:val="14"/>
                <w:color w:val="auto"/>
              </w:rPr>
              <w:t>www.bxp.com</w:t>
            </w:r>
          </w:p>
        </w:tc>
        <w:tc>
          <w:tcPr>
            <w:tcW w:w="2240" w:type="dxa"/>
            <w:vAlign w:val="bottom"/>
          </w:tcPr>
          <w:p>
            <w:pPr>
              <w:ind w:left="280"/>
              <w:spacing w:after="0"/>
              <w:rPr>
                <w:sz w:val="20"/>
                <w:szCs w:val="20"/>
                <w:color w:val="auto"/>
              </w:rPr>
            </w:pPr>
            <w:r>
              <w:rPr>
                <w:rFonts w:ascii="Arial" w:cs="Arial" w:eastAsia="Arial" w:hAnsi="Arial"/>
                <w:sz w:val="14"/>
                <w:szCs w:val="14"/>
                <w:color w:val="auto"/>
              </w:rPr>
              <w:t>New York Stock Exchange</w:t>
            </w:r>
          </w:p>
        </w:tc>
        <w:tc>
          <w:tcPr>
            <w:tcW w:w="2640" w:type="dxa"/>
            <w:vAlign w:val="bottom"/>
          </w:tcPr>
          <w:p>
            <w:pPr>
              <w:ind w:left="280"/>
              <w:spacing w:after="0"/>
              <w:rPr>
                <w:sz w:val="20"/>
                <w:szCs w:val="20"/>
                <w:color w:val="auto"/>
              </w:rPr>
            </w:pPr>
            <w:r>
              <w:rPr>
                <w:rFonts w:ascii="Arial" w:cs="Arial" w:eastAsia="Arial" w:hAnsi="Arial"/>
                <w:sz w:val="14"/>
                <w:szCs w:val="14"/>
                <w:color w:val="auto"/>
              </w:rPr>
              <w:t>investors.bxp.com</w:t>
            </w:r>
          </w:p>
        </w:tc>
        <w:tc>
          <w:tcPr>
            <w:tcW w:w="3420" w:type="dxa"/>
            <w:vAlign w:val="bottom"/>
          </w:tcPr>
          <w:p>
            <w:pPr>
              <w:ind w:left="340"/>
              <w:spacing w:after="0"/>
              <w:rPr>
                <w:sz w:val="20"/>
                <w:szCs w:val="20"/>
                <w:color w:val="auto"/>
              </w:rPr>
            </w:pPr>
            <w:r>
              <w:rPr>
                <w:rFonts w:ascii="Arial" w:cs="Arial" w:eastAsia="Arial" w:hAnsi="Arial"/>
                <w:sz w:val="14"/>
                <w:szCs w:val="14"/>
                <w:color w:val="auto"/>
              </w:rPr>
              <w:t>at 617.236.3429 or</w:t>
            </w:r>
          </w:p>
        </w:tc>
      </w:tr>
      <w:tr>
        <w:trPr>
          <w:trHeight w:val="216"/>
        </w:trPr>
        <w:tc>
          <w:tcPr>
            <w:tcW w:w="1960" w:type="dxa"/>
            <w:vAlign w:val="bottom"/>
          </w:tcPr>
          <w:p>
            <w:pPr>
              <w:spacing w:after="0"/>
              <w:rPr>
                <w:sz w:val="20"/>
                <w:szCs w:val="20"/>
                <w:color w:val="auto"/>
              </w:rPr>
            </w:pPr>
            <w:r>
              <w:rPr>
                <w:rFonts w:ascii="Arial" w:cs="Arial" w:eastAsia="Arial" w:hAnsi="Arial"/>
                <w:sz w:val="14"/>
                <w:szCs w:val="14"/>
                <w:color w:val="auto"/>
              </w:rPr>
              <w:t>(t) 617.236.3300</w:t>
            </w:r>
          </w:p>
        </w:tc>
        <w:tc>
          <w:tcPr>
            <w:tcW w:w="2240" w:type="dxa"/>
            <w:vAlign w:val="bottom"/>
          </w:tcPr>
          <w:p>
            <w:pPr>
              <w:spacing w:after="0"/>
              <w:rPr>
                <w:sz w:val="18"/>
                <w:szCs w:val="18"/>
                <w:color w:val="auto"/>
              </w:rPr>
            </w:pPr>
          </w:p>
        </w:tc>
        <w:tc>
          <w:tcPr>
            <w:tcW w:w="2640" w:type="dxa"/>
            <w:vAlign w:val="bottom"/>
          </w:tcPr>
          <w:p>
            <w:pPr>
              <w:ind w:left="280"/>
              <w:spacing w:after="0"/>
              <w:rPr>
                <w:sz w:val="20"/>
                <w:szCs w:val="20"/>
                <w:color w:val="auto"/>
              </w:rPr>
            </w:pPr>
            <w:r>
              <w:rPr>
                <w:rFonts w:ascii="Arial" w:cs="Arial" w:eastAsia="Arial" w:hAnsi="Arial"/>
                <w:sz w:val="14"/>
                <w:szCs w:val="14"/>
                <w:color w:val="auto"/>
              </w:rPr>
              <w:t>investorrelations@bxp.com</w:t>
            </w:r>
          </w:p>
        </w:tc>
        <w:tc>
          <w:tcPr>
            <w:tcW w:w="3420" w:type="dxa"/>
            <w:vAlign w:val="bottom"/>
          </w:tcPr>
          <w:p>
            <w:pPr>
              <w:ind w:left="340"/>
              <w:spacing w:after="0"/>
              <w:rPr>
                <w:sz w:val="20"/>
                <w:szCs w:val="20"/>
                <w:color w:val="auto"/>
              </w:rPr>
            </w:pPr>
            <w:r>
              <w:rPr>
                <w:rFonts w:ascii="Arial" w:cs="Arial" w:eastAsia="Arial" w:hAnsi="Arial"/>
                <w:sz w:val="14"/>
                <w:szCs w:val="14"/>
                <w:color w:val="auto"/>
              </w:rPr>
              <w:t>hhan@bxp.com</w:t>
            </w:r>
          </w:p>
        </w:tc>
      </w:tr>
      <w:tr>
        <w:trPr>
          <w:trHeight w:val="216"/>
        </w:trPr>
        <w:tc>
          <w:tcPr>
            <w:tcW w:w="1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40" w:type="dxa"/>
            <w:vAlign w:val="bottom"/>
          </w:tcPr>
          <w:p>
            <w:pPr>
              <w:ind w:left="280"/>
              <w:spacing w:after="0"/>
              <w:rPr>
                <w:sz w:val="20"/>
                <w:szCs w:val="20"/>
                <w:color w:val="auto"/>
              </w:rPr>
            </w:pPr>
            <w:r>
              <w:rPr>
                <w:rFonts w:ascii="Arial" w:cs="Arial" w:eastAsia="Arial" w:hAnsi="Arial"/>
                <w:sz w:val="14"/>
                <w:szCs w:val="14"/>
                <w:color w:val="auto"/>
              </w:rPr>
              <w:t>(t) 617.236.3429</w:t>
            </w:r>
          </w:p>
        </w:tc>
        <w:tc>
          <w:tcPr>
            <w:tcW w:w="342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auto"/>
              </w:rPr>
              <w:t>Michael E. LaBelle</w:t>
            </w:r>
          </w:p>
        </w:tc>
      </w:tr>
      <w:tr>
        <w:trPr>
          <w:trHeight w:val="216"/>
        </w:trPr>
        <w:tc>
          <w:tcPr>
            <w:tcW w:w="1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auto"/>
              </w:rPr>
              <w:t>Executive Vice President, Chief Financial Officer</w:t>
            </w:r>
          </w:p>
        </w:tc>
      </w:tr>
      <w:tr>
        <w:trPr>
          <w:trHeight w:val="216"/>
        </w:trPr>
        <w:tc>
          <w:tcPr>
            <w:tcW w:w="1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auto"/>
              </w:rPr>
              <w:t>at 617.236.3352 or</w:t>
            </w:r>
          </w:p>
        </w:tc>
      </w:tr>
      <w:tr>
        <w:trPr>
          <w:trHeight w:val="216"/>
        </w:trPr>
        <w:tc>
          <w:tcPr>
            <w:tcW w:w="1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420" w:type="dxa"/>
            <w:vAlign w:val="bottom"/>
          </w:tcPr>
          <w:p>
            <w:pPr>
              <w:ind w:left="340"/>
              <w:spacing w:after="0"/>
              <w:rPr>
                <w:sz w:val="20"/>
                <w:szCs w:val="20"/>
                <w:color w:val="auto"/>
              </w:rPr>
            </w:pPr>
            <w:r>
              <w:rPr>
                <w:rFonts w:ascii="Arial" w:cs="Arial" w:eastAsia="Arial" w:hAnsi="Arial"/>
                <w:sz w:val="14"/>
                <w:szCs w:val="14"/>
                <w:color w:val="auto"/>
              </w:rPr>
              <w:t>mlabelle@bxp.com</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(Cover photo: Rendering of 343 Madison Avenue, New York, NY)</w:t>
      </w:r>
    </w:p>
    <w:p>
      <w:pPr>
        <w:sectPr>
          <w:pgSz w:w="11900" w:h="16838" w:orient="portrait"/>
          <w:cols w:equalWidth="0" w:num="1">
            <w:col w:w="10280"/>
          </w:cols>
          <w:pgMar w:left="320" w:top="551" w:right="12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500" w:type="dxa"/>
            <w:vAlign w:val="bottom"/>
            <w:gridSpan w:val="5"/>
          </w:tcPr>
          <w:p>
            <w:pPr>
              <w:jc w:val="right"/>
              <w:ind w:right="20"/>
              <w:spacing w:after="0"/>
              <w:rPr>
                <w:sz w:val="20"/>
                <w:szCs w:val="20"/>
                <w:color w:val="auto"/>
              </w:rPr>
            </w:pPr>
            <w:r>
              <w:rPr>
                <w:rFonts w:ascii="Arial" w:cs="Arial" w:eastAsia="Arial" w:hAnsi="Arial"/>
                <w:sz w:val="14"/>
                <w:szCs w:val="14"/>
                <w:color w:val="auto"/>
              </w:rPr>
              <w:t>Q3 2026</w:t>
            </w:r>
          </w:p>
        </w:tc>
      </w:tr>
      <w:tr>
        <w:trPr>
          <w:trHeight w:val="245"/>
        </w:trPr>
        <w:tc>
          <w:tcPr>
            <w:tcW w:w="774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006EBF"/>
              </w:rPr>
              <w:t>Table of contents</w:t>
            </w:r>
          </w:p>
        </w:tc>
      </w:tr>
      <w:tr>
        <w:trPr>
          <w:trHeight w:val="316"/>
        </w:trPr>
        <w:tc>
          <w:tcPr>
            <w:tcW w:w="7740" w:type="dxa"/>
            <w:vAlign w:val="bottom"/>
          </w:tcPr>
          <w:p>
            <w:pPr>
              <w:spacing w:after="0"/>
              <w:rPr>
                <w:sz w:val="24"/>
                <w:szCs w:val="24"/>
                <w:color w:val="auto"/>
              </w:rPr>
            </w:pPr>
          </w:p>
        </w:tc>
        <w:tc>
          <w:tcPr>
            <w:tcW w:w="3500" w:type="dxa"/>
            <w:vAlign w:val="bottom"/>
            <w:gridSpan w:val="5"/>
          </w:tcPr>
          <w:p>
            <w:pPr>
              <w:jc w:val="right"/>
              <w:ind w:right="20"/>
              <w:spacing w:after="0"/>
              <w:rPr>
                <w:sz w:val="20"/>
                <w:szCs w:val="20"/>
                <w:color w:val="auto"/>
              </w:rPr>
            </w:pPr>
            <w:r>
              <w:rPr>
                <w:rFonts w:ascii="Arial" w:cs="Arial" w:eastAsia="Arial" w:hAnsi="Arial"/>
                <w:sz w:val="14"/>
                <w:szCs w:val="14"/>
                <w:color w:val="auto"/>
              </w:rPr>
              <w:t>Page</w:t>
            </w:r>
          </w:p>
        </w:tc>
      </w:tr>
      <w:tr>
        <w:trPr>
          <w:trHeight w:val="255"/>
        </w:trPr>
        <w:tc>
          <w:tcPr>
            <w:tcW w:w="7740" w:type="dxa"/>
            <w:vAlign w:val="bottom"/>
          </w:tcPr>
          <w:p>
            <w:pPr>
              <w:ind w:left="20"/>
              <w:spacing w:after="0"/>
              <w:rPr>
                <w:sz w:val="20"/>
                <w:szCs w:val="20"/>
                <w:color w:val="auto"/>
              </w:rPr>
            </w:pPr>
            <w:r>
              <w:rPr>
                <w:rFonts w:ascii="Arial" w:cs="Arial" w:eastAsia="Arial" w:hAnsi="Arial"/>
                <w:sz w:val="18"/>
                <w:szCs w:val="18"/>
                <w:color w:val="006EBF"/>
              </w:rPr>
              <w:t>OVERVIEW</w:t>
            </w:r>
          </w:p>
        </w:tc>
        <w:tc>
          <w:tcPr>
            <w:tcW w:w="3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71"/>
        </w:trPr>
        <w:tc>
          <w:tcPr>
            <w:tcW w:w="7740" w:type="dxa"/>
            <w:vAlign w:val="bottom"/>
          </w:tcPr>
          <w:p>
            <w:pPr>
              <w:ind w:left="20"/>
              <w:spacing w:after="0"/>
              <w:rPr>
                <w:sz w:val="20"/>
                <w:szCs w:val="20"/>
                <w:color w:val="auto"/>
              </w:rPr>
            </w:pPr>
            <w:r>
              <w:rPr>
                <w:rFonts w:ascii="Arial" w:cs="Arial" w:eastAsia="Arial" w:hAnsi="Arial"/>
                <w:sz w:val="14"/>
                <w:szCs w:val="14"/>
                <w:color w:val="auto"/>
              </w:rPr>
              <w:t>Company Profile</w:t>
            </w:r>
          </w:p>
        </w:tc>
        <w:tc>
          <w:tcPr>
            <w:tcW w:w="3400" w:type="dxa"/>
            <w:vAlign w:val="bottom"/>
            <w:gridSpan w:val="3"/>
          </w:tcPr>
          <w:p>
            <w:pPr>
              <w:spacing w:after="0"/>
              <w:rPr>
                <w:sz w:val="14"/>
                <w:szCs w:val="1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1</w:t>
            </w:r>
          </w:p>
        </w:tc>
        <w:tc>
          <w:tcPr>
            <w:tcW w:w="20" w:type="dxa"/>
            <w:vAlign w:val="bottom"/>
          </w:tcPr>
          <w:p>
            <w:pPr>
              <w:spacing w:after="0"/>
              <w:rPr>
                <w:sz w:val="14"/>
                <w:szCs w:val="14"/>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Guidance and assumptions</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2</w:t>
            </w:r>
          </w:p>
        </w:tc>
        <w:tc>
          <w:tcPr>
            <w:tcW w:w="20" w:type="dxa"/>
            <w:vAlign w:val="bottom"/>
          </w:tcPr>
          <w:p>
            <w:pPr>
              <w:spacing w:after="0"/>
              <w:rPr>
                <w:sz w:val="17"/>
                <w:szCs w:val="17"/>
                <w:color w:val="auto"/>
              </w:rPr>
            </w:pPr>
          </w:p>
        </w:tc>
      </w:tr>
      <w:tr>
        <w:trPr>
          <w:trHeight w:val="470"/>
        </w:trPr>
        <w:tc>
          <w:tcPr>
            <w:tcW w:w="7740" w:type="dxa"/>
            <w:vAlign w:val="bottom"/>
          </w:tcPr>
          <w:p>
            <w:pPr>
              <w:ind w:left="20"/>
              <w:spacing w:after="0"/>
              <w:rPr>
                <w:sz w:val="20"/>
                <w:szCs w:val="20"/>
                <w:color w:val="auto"/>
              </w:rPr>
            </w:pPr>
            <w:r>
              <w:rPr>
                <w:rFonts w:ascii="Arial" w:cs="Arial" w:eastAsia="Arial" w:hAnsi="Arial"/>
                <w:sz w:val="18"/>
                <w:szCs w:val="18"/>
                <w:color w:val="006EBF"/>
              </w:rPr>
              <w:t>FINANCIAL INFORMATION</w:t>
            </w: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7740" w:type="dxa"/>
            <w:vAlign w:val="bottom"/>
          </w:tcPr>
          <w:p>
            <w:pPr>
              <w:ind w:left="20"/>
              <w:spacing w:after="0"/>
              <w:rPr>
                <w:sz w:val="20"/>
                <w:szCs w:val="20"/>
                <w:color w:val="auto"/>
              </w:rPr>
            </w:pPr>
            <w:r>
              <w:rPr>
                <w:rFonts w:ascii="Arial" w:cs="Arial" w:eastAsia="Arial" w:hAnsi="Arial"/>
                <w:sz w:val="14"/>
                <w:szCs w:val="14"/>
                <w:color w:val="auto"/>
              </w:rPr>
              <w:t>Financial Highlights</w:t>
            </w:r>
          </w:p>
        </w:tc>
        <w:tc>
          <w:tcPr>
            <w:tcW w:w="3400" w:type="dxa"/>
            <w:vAlign w:val="bottom"/>
            <w:gridSpan w:val="3"/>
          </w:tcPr>
          <w:p>
            <w:pPr>
              <w:spacing w:after="0"/>
              <w:rPr>
                <w:sz w:val="14"/>
                <w:szCs w:val="14"/>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3</w:t>
            </w:r>
          </w:p>
        </w:tc>
        <w:tc>
          <w:tcPr>
            <w:tcW w:w="20" w:type="dxa"/>
            <w:vAlign w:val="bottom"/>
          </w:tcPr>
          <w:p>
            <w:pPr>
              <w:spacing w:after="0"/>
              <w:rPr>
                <w:sz w:val="14"/>
                <w:szCs w:val="14"/>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Consolidated Balance Sheets</w:t>
            </w:r>
          </w:p>
        </w:tc>
        <w:tc>
          <w:tcPr>
            <w:tcW w:w="3400" w:type="dxa"/>
            <w:vAlign w:val="bottom"/>
            <w:gridSpan w:val="3"/>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5</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Consolidated Income Statements</w:t>
            </w:r>
          </w:p>
        </w:tc>
        <w:tc>
          <w:tcPr>
            <w:tcW w:w="3400" w:type="dxa"/>
            <w:vAlign w:val="bottom"/>
            <w:gridSpan w:val="3"/>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6</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Funds From Operations (FFO)</w:t>
            </w:r>
          </w:p>
        </w:tc>
        <w:tc>
          <w:tcPr>
            <w:tcW w:w="3400" w:type="dxa"/>
            <w:vAlign w:val="bottom"/>
            <w:gridSpan w:val="3"/>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7</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Funds Available for Distribution (FAD)</w:t>
            </w:r>
          </w:p>
        </w:tc>
        <w:tc>
          <w:tcPr>
            <w:tcW w:w="3400" w:type="dxa"/>
            <w:vAlign w:val="bottom"/>
            <w:gridSpan w:val="3"/>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8</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3400" w:type="dxa"/>
            <w:vAlign w:val="bottom"/>
            <w:gridSpan w:val="3"/>
          </w:tcPr>
          <w:p>
            <w:pPr>
              <w:spacing w:after="0"/>
              <w:rPr>
                <w:sz w:val="17"/>
                <w:szCs w:val="17"/>
                <w:color w:val="auto"/>
              </w:rPr>
            </w:pPr>
          </w:p>
        </w:tc>
        <w:tc>
          <w:tcPr>
            <w:tcW w:w="80" w:type="dxa"/>
            <w:vAlign w:val="bottom"/>
            <w:tcBorders>
              <w:bottom w:val="single" w:sz="8" w:color="0000FF"/>
            </w:tcBorders>
          </w:tcPr>
          <w:p>
            <w:pPr>
              <w:jc w:val="right"/>
              <w:spacing w:after="0"/>
              <w:rPr>
                <w:sz w:val="20"/>
                <w:szCs w:val="20"/>
                <w:color w:val="auto"/>
              </w:rPr>
            </w:pPr>
            <w:r>
              <w:rPr>
                <w:rFonts w:ascii="Arial" w:cs="Arial" w:eastAsia="Arial" w:hAnsi="Arial"/>
                <w:sz w:val="14"/>
                <w:szCs w:val="14"/>
                <w:color w:val="0000FF"/>
                <w:w w:val="76"/>
              </w:rPr>
              <w:t>9</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Same Property Net Operating Income (NOI) by Reportable Segment</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11</w:t>
            </w:r>
          </w:p>
        </w:tc>
        <w:tc>
          <w:tcPr>
            <w:tcW w:w="2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Capital Expenditures</w:t>
            </w:r>
          </w:p>
        </w:tc>
        <w:tc>
          <w:tcPr>
            <w:tcW w:w="3320" w:type="dxa"/>
            <w:vAlign w:val="bottom"/>
          </w:tcPr>
          <w:p>
            <w:pPr>
              <w:spacing w:after="0"/>
              <w:rPr>
                <w:sz w:val="17"/>
                <w:szCs w:val="17"/>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13</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Acquisitions and Dispositions</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14</w:t>
            </w:r>
          </w:p>
        </w:tc>
        <w:tc>
          <w:tcPr>
            <w:tcW w:w="20" w:type="dxa"/>
            <w:vAlign w:val="bottom"/>
          </w:tcPr>
          <w:p>
            <w:pPr>
              <w:spacing w:after="0"/>
              <w:rPr>
                <w:sz w:val="17"/>
                <w:szCs w:val="17"/>
                <w:color w:val="auto"/>
              </w:rPr>
            </w:pPr>
          </w:p>
        </w:tc>
      </w:tr>
      <w:tr>
        <w:trPr>
          <w:trHeight w:val="470"/>
        </w:trPr>
        <w:tc>
          <w:tcPr>
            <w:tcW w:w="7740" w:type="dxa"/>
            <w:vAlign w:val="bottom"/>
          </w:tcPr>
          <w:p>
            <w:pPr>
              <w:ind w:left="20"/>
              <w:spacing w:after="0"/>
              <w:rPr>
                <w:sz w:val="20"/>
                <w:szCs w:val="20"/>
                <w:color w:val="auto"/>
              </w:rPr>
            </w:pPr>
            <w:r>
              <w:rPr>
                <w:rFonts w:ascii="Arial" w:cs="Arial" w:eastAsia="Arial" w:hAnsi="Arial"/>
                <w:sz w:val="18"/>
                <w:szCs w:val="18"/>
                <w:color w:val="006EBF"/>
              </w:rPr>
              <w:t>DEVELOPMENT ACTIVITY</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774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3320" w:type="dxa"/>
            <w:vAlign w:val="bottom"/>
          </w:tcPr>
          <w:p>
            <w:pPr>
              <w:spacing w:after="0"/>
              <w:rPr>
                <w:sz w:val="14"/>
                <w:szCs w:val="14"/>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15</w:t>
            </w:r>
          </w:p>
        </w:tc>
        <w:tc>
          <w:tcPr>
            <w:tcW w:w="20" w:type="dxa"/>
            <w:vAlign w:val="bottom"/>
          </w:tcPr>
          <w:p>
            <w:pPr>
              <w:spacing w:after="0"/>
              <w:rPr>
                <w:sz w:val="14"/>
                <w:szCs w:val="14"/>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Land Parcels and Purchase Options</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17</w:t>
            </w:r>
          </w:p>
        </w:tc>
        <w:tc>
          <w:tcPr>
            <w:tcW w:w="20" w:type="dxa"/>
            <w:vAlign w:val="bottom"/>
          </w:tcPr>
          <w:p>
            <w:pPr>
              <w:spacing w:after="0"/>
              <w:rPr>
                <w:sz w:val="17"/>
                <w:szCs w:val="17"/>
                <w:color w:val="auto"/>
              </w:rPr>
            </w:pPr>
          </w:p>
        </w:tc>
      </w:tr>
      <w:tr>
        <w:trPr>
          <w:trHeight w:val="470"/>
        </w:trPr>
        <w:tc>
          <w:tcPr>
            <w:tcW w:w="7740" w:type="dxa"/>
            <w:vAlign w:val="bottom"/>
          </w:tcPr>
          <w:p>
            <w:pPr>
              <w:ind w:left="20"/>
              <w:spacing w:after="0"/>
              <w:rPr>
                <w:sz w:val="20"/>
                <w:szCs w:val="20"/>
                <w:color w:val="auto"/>
              </w:rPr>
            </w:pPr>
            <w:r>
              <w:rPr>
                <w:rFonts w:ascii="Arial" w:cs="Arial" w:eastAsia="Arial" w:hAnsi="Arial"/>
                <w:sz w:val="18"/>
                <w:szCs w:val="18"/>
                <w:color w:val="006EBF"/>
              </w:rPr>
              <w:t>LEASING ACTIVITY</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7740" w:type="dxa"/>
            <w:vAlign w:val="bottom"/>
          </w:tcPr>
          <w:p>
            <w:pPr>
              <w:ind w:left="20"/>
              <w:spacing w:after="0"/>
              <w:rPr>
                <w:sz w:val="20"/>
                <w:szCs w:val="20"/>
                <w:color w:val="auto"/>
              </w:rPr>
            </w:pPr>
            <w:r>
              <w:rPr>
                <w:rFonts w:ascii="Arial" w:cs="Arial" w:eastAsia="Arial" w:hAnsi="Arial"/>
                <w:sz w:val="14"/>
                <w:szCs w:val="14"/>
                <w:color w:val="auto"/>
              </w:rPr>
              <w:t>Leasing Activity</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18</w:t>
            </w:r>
          </w:p>
        </w:tc>
        <w:tc>
          <w:tcPr>
            <w:tcW w:w="20" w:type="dxa"/>
            <w:vAlign w:val="bottom"/>
          </w:tcPr>
          <w:p>
            <w:pPr>
              <w:spacing w:after="0"/>
              <w:rPr>
                <w:sz w:val="14"/>
                <w:szCs w:val="14"/>
                <w:color w:val="auto"/>
              </w:rPr>
            </w:pPr>
          </w:p>
        </w:tc>
      </w:tr>
      <w:tr>
        <w:trPr>
          <w:trHeight w:val="470"/>
        </w:trPr>
        <w:tc>
          <w:tcPr>
            <w:tcW w:w="7740" w:type="dxa"/>
            <w:vAlign w:val="bottom"/>
          </w:tcPr>
          <w:p>
            <w:pPr>
              <w:ind w:left="20"/>
              <w:spacing w:after="0"/>
              <w:rPr>
                <w:sz w:val="20"/>
                <w:szCs w:val="20"/>
                <w:color w:val="auto"/>
              </w:rPr>
            </w:pPr>
            <w:r>
              <w:rPr>
                <w:rFonts w:ascii="Arial" w:cs="Arial" w:eastAsia="Arial" w:hAnsi="Arial"/>
                <w:sz w:val="18"/>
                <w:szCs w:val="18"/>
                <w:color w:val="006EBF"/>
              </w:rPr>
              <w:t>PROPERTY STATISTICS</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7740" w:type="dxa"/>
            <w:vAlign w:val="bottom"/>
          </w:tcPr>
          <w:p>
            <w:pPr>
              <w:ind w:left="20"/>
              <w:spacing w:after="0"/>
              <w:rPr>
                <w:sz w:val="20"/>
                <w:szCs w:val="20"/>
                <w:color w:val="auto"/>
              </w:rPr>
            </w:pPr>
            <w:r>
              <w:rPr>
                <w:rFonts w:ascii="Arial" w:cs="Arial" w:eastAsia="Arial" w:hAnsi="Arial"/>
                <w:sz w:val="14"/>
                <w:szCs w:val="14"/>
                <w:color w:val="auto"/>
              </w:rPr>
              <w:t>Portfolio Overview</w:t>
            </w:r>
          </w:p>
        </w:tc>
        <w:tc>
          <w:tcPr>
            <w:tcW w:w="3320" w:type="dxa"/>
            <w:vAlign w:val="bottom"/>
          </w:tcPr>
          <w:p>
            <w:pPr>
              <w:spacing w:after="0"/>
              <w:rPr>
                <w:sz w:val="14"/>
                <w:szCs w:val="14"/>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19</w:t>
            </w:r>
          </w:p>
        </w:tc>
        <w:tc>
          <w:tcPr>
            <w:tcW w:w="20" w:type="dxa"/>
            <w:vAlign w:val="bottom"/>
          </w:tcPr>
          <w:p>
            <w:pPr>
              <w:spacing w:after="0"/>
              <w:rPr>
                <w:sz w:val="14"/>
                <w:szCs w:val="14"/>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Residential and Hotel Performance</w:t>
            </w:r>
          </w:p>
        </w:tc>
        <w:tc>
          <w:tcPr>
            <w:tcW w:w="3320" w:type="dxa"/>
            <w:vAlign w:val="bottom"/>
          </w:tcPr>
          <w:p>
            <w:pPr>
              <w:spacing w:after="0"/>
              <w:rPr>
                <w:sz w:val="17"/>
                <w:szCs w:val="17"/>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20</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In-Service Property Listing</w:t>
            </w:r>
          </w:p>
        </w:tc>
        <w:tc>
          <w:tcPr>
            <w:tcW w:w="3320" w:type="dxa"/>
            <w:vAlign w:val="bottom"/>
          </w:tcPr>
          <w:p>
            <w:pPr>
              <w:spacing w:after="0"/>
              <w:rPr>
                <w:sz w:val="17"/>
                <w:szCs w:val="17"/>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21</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Top 20 Clients Listing and Portfolio Client Diversification</w:t>
            </w:r>
          </w:p>
        </w:tc>
        <w:tc>
          <w:tcPr>
            <w:tcW w:w="3320" w:type="dxa"/>
            <w:vAlign w:val="bottom"/>
          </w:tcPr>
          <w:p>
            <w:pPr>
              <w:spacing w:after="0"/>
              <w:rPr>
                <w:sz w:val="17"/>
                <w:szCs w:val="17"/>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25</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Occupancy by Location</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26</w:t>
            </w:r>
          </w:p>
        </w:tc>
        <w:tc>
          <w:tcPr>
            <w:tcW w:w="20" w:type="dxa"/>
            <w:vAlign w:val="bottom"/>
          </w:tcPr>
          <w:p>
            <w:pPr>
              <w:spacing w:after="0"/>
              <w:rPr>
                <w:sz w:val="17"/>
                <w:szCs w:val="17"/>
                <w:color w:val="auto"/>
              </w:rPr>
            </w:pPr>
          </w:p>
        </w:tc>
      </w:tr>
      <w:tr>
        <w:trPr>
          <w:trHeight w:val="470"/>
        </w:trPr>
        <w:tc>
          <w:tcPr>
            <w:tcW w:w="7740" w:type="dxa"/>
            <w:vAlign w:val="bottom"/>
          </w:tcPr>
          <w:p>
            <w:pPr>
              <w:ind w:left="20"/>
              <w:spacing w:after="0"/>
              <w:rPr>
                <w:sz w:val="20"/>
                <w:szCs w:val="20"/>
                <w:color w:val="auto"/>
              </w:rPr>
            </w:pPr>
            <w:r>
              <w:rPr>
                <w:rFonts w:ascii="Arial" w:cs="Arial" w:eastAsia="Arial" w:hAnsi="Arial"/>
                <w:sz w:val="18"/>
                <w:szCs w:val="18"/>
                <w:color w:val="006EBF"/>
              </w:rPr>
              <w:t>DEBT AND CAPITALIZATION</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7740" w:type="dxa"/>
            <w:vAlign w:val="bottom"/>
          </w:tcPr>
          <w:p>
            <w:pPr>
              <w:ind w:left="20"/>
              <w:spacing w:after="0"/>
              <w:rPr>
                <w:sz w:val="20"/>
                <w:szCs w:val="20"/>
                <w:color w:val="auto"/>
              </w:rPr>
            </w:pPr>
            <w:r>
              <w:rPr>
                <w:rFonts w:ascii="Arial" w:cs="Arial" w:eastAsia="Arial" w:hAnsi="Arial"/>
                <w:sz w:val="14"/>
                <w:szCs w:val="14"/>
                <w:color w:val="auto"/>
              </w:rPr>
              <w:t>Capital Structure</w:t>
            </w:r>
          </w:p>
        </w:tc>
        <w:tc>
          <w:tcPr>
            <w:tcW w:w="3320" w:type="dxa"/>
            <w:vAlign w:val="bottom"/>
          </w:tcPr>
          <w:p>
            <w:pPr>
              <w:spacing w:after="0"/>
              <w:rPr>
                <w:sz w:val="14"/>
                <w:szCs w:val="14"/>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27</w:t>
            </w:r>
          </w:p>
        </w:tc>
        <w:tc>
          <w:tcPr>
            <w:tcW w:w="20" w:type="dxa"/>
            <w:vAlign w:val="bottom"/>
          </w:tcPr>
          <w:p>
            <w:pPr>
              <w:spacing w:after="0"/>
              <w:rPr>
                <w:sz w:val="14"/>
                <w:szCs w:val="14"/>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Debt Analysis</w:t>
            </w:r>
          </w:p>
        </w:tc>
        <w:tc>
          <w:tcPr>
            <w:tcW w:w="3320" w:type="dxa"/>
            <w:vAlign w:val="bottom"/>
          </w:tcPr>
          <w:p>
            <w:pPr>
              <w:spacing w:after="0"/>
              <w:rPr>
                <w:sz w:val="17"/>
                <w:szCs w:val="17"/>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29</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Senior Unsecured Debt Covenant Compliance Ratios</w:t>
            </w:r>
          </w:p>
        </w:tc>
        <w:tc>
          <w:tcPr>
            <w:tcW w:w="3320" w:type="dxa"/>
            <w:vAlign w:val="bottom"/>
          </w:tcPr>
          <w:p>
            <w:pPr>
              <w:spacing w:after="0"/>
              <w:rPr>
                <w:sz w:val="17"/>
                <w:szCs w:val="17"/>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30</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Net Debt to EBITDA</w:t>
            </w:r>
            <w:r>
              <w:rPr>
                <w:rFonts w:ascii="Arial" w:cs="Arial" w:eastAsia="Arial" w:hAnsi="Arial"/>
                <w:sz w:val="14"/>
                <w:szCs w:val="14"/>
                <w:i w:val="1"/>
                <w:iCs w:val="1"/>
                <w:color w:val="auto"/>
              </w:rPr>
              <w:t>re</w:t>
            </w:r>
          </w:p>
        </w:tc>
        <w:tc>
          <w:tcPr>
            <w:tcW w:w="3320" w:type="dxa"/>
            <w:vAlign w:val="bottom"/>
          </w:tcPr>
          <w:p>
            <w:pPr>
              <w:spacing w:after="0"/>
              <w:rPr>
                <w:sz w:val="17"/>
                <w:szCs w:val="17"/>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31</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Debt Ratios</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32</w:t>
            </w:r>
          </w:p>
        </w:tc>
        <w:tc>
          <w:tcPr>
            <w:tcW w:w="20" w:type="dxa"/>
            <w:vAlign w:val="bottom"/>
          </w:tcPr>
          <w:p>
            <w:pPr>
              <w:spacing w:after="0"/>
              <w:rPr>
                <w:sz w:val="17"/>
                <w:szCs w:val="17"/>
                <w:color w:val="auto"/>
              </w:rPr>
            </w:pPr>
          </w:p>
        </w:tc>
      </w:tr>
      <w:tr>
        <w:trPr>
          <w:trHeight w:val="470"/>
        </w:trPr>
        <w:tc>
          <w:tcPr>
            <w:tcW w:w="7740" w:type="dxa"/>
            <w:vAlign w:val="bottom"/>
          </w:tcPr>
          <w:p>
            <w:pPr>
              <w:ind w:left="20"/>
              <w:spacing w:after="0"/>
              <w:rPr>
                <w:sz w:val="20"/>
                <w:szCs w:val="20"/>
                <w:color w:val="auto"/>
              </w:rPr>
            </w:pPr>
            <w:r>
              <w:rPr>
                <w:rFonts w:ascii="Arial" w:cs="Arial" w:eastAsia="Arial" w:hAnsi="Arial"/>
                <w:sz w:val="18"/>
                <w:szCs w:val="18"/>
                <w:color w:val="006EBF"/>
              </w:rPr>
              <w:t>JOINT VENTURES</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71"/>
        </w:trPr>
        <w:tc>
          <w:tcPr>
            <w:tcW w:w="7740" w:type="dxa"/>
            <w:vAlign w:val="bottom"/>
          </w:tcPr>
          <w:p>
            <w:pPr>
              <w:ind w:left="20"/>
              <w:spacing w:after="0"/>
              <w:rPr>
                <w:sz w:val="20"/>
                <w:szCs w:val="20"/>
                <w:color w:val="auto"/>
              </w:rPr>
            </w:pPr>
            <w:r>
              <w:rPr>
                <w:rFonts w:ascii="Arial" w:cs="Arial" w:eastAsia="Arial" w:hAnsi="Arial"/>
                <w:sz w:val="14"/>
                <w:szCs w:val="14"/>
                <w:color w:val="auto"/>
              </w:rPr>
              <w:t>Consolidated Joint Ventures</w:t>
            </w:r>
          </w:p>
        </w:tc>
        <w:tc>
          <w:tcPr>
            <w:tcW w:w="3320" w:type="dxa"/>
            <w:vAlign w:val="bottom"/>
          </w:tcPr>
          <w:p>
            <w:pPr>
              <w:spacing w:after="0"/>
              <w:rPr>
                <w:sz w:val="14"/>
                <w:szCs w:val="14"/>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33</w:t>
            </w:r>
          </w:p>
        </w:tc>
        <w:tc>
          <w:tcPr>
            <w:tcW w:w="20" w:type="dxa"/>
            <w:vAlign w:val="bottom"/>
          </w:tcPr>
          <w:p>
            <w:pPr>
              <w:spacing w:after="0"/>
              <w:rPr>
                <w:sz w:val="14"/>
                <w:szCs w:val="14"/>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Unconsolidated Joint Ventures</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35</w:t>
            </w:r>
          </w:p>
        </w:tc>
        <w:tc>
          <w:tcPr>
            <w:tcW w:w="20" w:type="dxa"/>
            <w:vAlign w:val="bottom"/>
          </w:tcPr>
          <w:p>
            <w:pPr>
              <w:spacing w:after="0"/>
              <w:rPr>
                <w:sz w:val="17"/>
                <w:szCs w:val="17"/>
                <w:color w:val="auto"/>
              </w:rPr>
            </w:pPr>
          </w:p>
        </w:tc>
      </w:tr>
      <w:tr>
        <w:trPr>
          <w:trHeight w:val="470"/>
        </w:trPr>
        <w:tc>
          <w:tcPr>
            <w:tcW w:w="7740" w:type="dxa"/>
            <w:vAlign w:val="bottom"/>
          </w:tcPr>
          <w:p>
            <w:pPr>
              <w:ind w:left="20"/>
              <w:spacing w:after="0"/>
              <w:rPr>
                <w:sz w:val="20"/>
                <w:szCs w:val="20"/>
                <w:color w:val="auto"/>
              </w:rPr>
            </w:pPr>
            <w:r>
              <w:rPr>
                <w:rFonts w:ascii="Arial" w:cs="Arial" w:eastAsia="Arial" w:hAnsi="Arial"/>
                <w:sz w:val="18"/>
                <w:szCs w:val="18"/>
                <w:color w:val="006EBF"/>
              </w:rPr>
              <w:t>LEASE EXPIRATION ROLL-OUT</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7740" w:type="dxa"/>
            <w:vAlign w:val="bottom"/>
          </w:tcPr>
          <w:p>
            <w:pPr>
              <w:ind w:left="20"/>
              <w:spacing w:after="0"/>
              <w:rPr>
                <w:sz w:val="20"/>
                <w:szCs w:val="20"/>
                <w:color w:val="auto"/>
              </w:rPr>
            </w:pPr>
            <w:r>
              <w:rPr>
                <w:rFonts w:ascii="Arial" w:cs="Arial" w:eastAsia="Arial" w:hAnsi="Arial"/>
                <w:sz w:val="14"/>
                <w:szCs w:val="14"/>
                <w:color w:val="auto"/>
              </w:rPr>
              <w:t>Total In-Service Properties</w:t>
            </w:r>
          </w:p>
        </w:tc>
        <w:tc>
          <w:tcPr>
            <w:tcW w:w="3320" w:type="dxa"/>
            <w:vAlign w:val="bottom"/>
          </w:tcPr>
          <w:p>
            <w:pPr>
              <w:spacing w:after="0"/>
              <w:rPr>
                <w:sz w:val="14"/>
                <w:szCs w:val="14"/>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38</w:t>
            </w:r>
          </w:p>
        </w:tc>
        <w:tc>
          <w:tcPr>
            <w:tcW w:w="20" w:type="dxa"/>
            <w:vAlign w:val="bottom"/>
          </w:tcPr>
          <w:p>
            <w:pPr>
              <w:spacing w:after="0"/>
              <w:rPr>
                <w:sz w:val="14"/>
                <w:szCs w:val="14"/>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Boston</w:t>
            </w:r>
          </w:p>
        </w:tc>
        <w:tc>
          <w:tcPr>
            <w:tcW w:w="3320" w:type="dxa"/>
            <w:vAlign w:val="bottom"/>
          </w:tcPr>
          <w:p>
            <w:pPr>
              <w:spacing w:after="0"/>
              <w:rPr>
                <w:sz w:val="17"/>
                <w:szCs w:val="17"/>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39</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Los Angeles</w:t>
            </w:r>
          </w:p>
        </w:tc>
        <w:tc>
          <w:tcPr>
            <w:tcW w:w="3320" w:type="dxa"/>
            <w:vAlign w:val="bottom"/>
          </w:tcPr>
          <w:p>
            <w:pPr>
              <w:spacing w:after="0"/>
              <w:rPr>
                <w:sz w:val="17"/>
                <w:szCs w:val="17"/>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41</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New York</w:t>
            </w:r>
          </w:p>
        </w:tc>
        <w:tc>
          <w:tcPr>
            <w:tcW w:w="3320" w:type="dxa"/>
            <w:vAlign w:val="bottom"/>
          </w:tcPr>
          <w:p>
            <w:pPr>
              <w:spacing w:after="0"/>
              <w:rPr>
                <w:sz w:val="17"/>
                <w:szCs w:val="17"/>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43</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San Francisco</w:t>
            </w:r>
          </w:p>
        </w:tc>
        <w:tc>
          <w:tcPr>
            <w:tcW w:w="3320" w:type="dxa"/>
            <w:vAlign w:val="bottom"/>
          </w:tcPr>
          <w:p>
            <w:pPr>
              <w:spacing w:after="0"/>
              <w:rPr>
                <w:sz w:val="17"/>
                <w:szCs w:val="17"/>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45</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Seattle</w:t>
            </w:r>
          </w:p>
        </w:tc>
        <w:tc>
          <w:tcPr>
            <w:tcW w:w="3320" w:type="dxa"/>
            <w:vAlign w:val="bottom"/>
          </w:tcPr>
          <w:p>
            <w:pPr>
              <w:spacing w:after="0"/>
              <w:rPr>
                <w:sz w:val="17"/>
                <w:szCs w:val="17"/>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47</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Washington, DC</w:t>
            </w:r>
          </w:p>
        </w:tc>
        <w:tc>
          <w:tcPr>
            <w:tcW w:w="3320" w:type="dxa"/>
            <w:vAlign w:val="bottom"/>
          </w:tcPr>
          <w:p>
            <w:pPr>
              <w:spacing w:after="0"/>
              <w:rPr>
                <w:sz w:val="17"/>
                <w:szCs w:val="17"/>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49</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CBD</w:t>
            </w:r>
          </w:p>
        </w:tc>
        <w:tc>
          <w:tcPr>
            <w:tcW w:w="3320" w:type="dxa"/>
            <w:vAlign w:val="bottom"/>
          </w:tcPr>
          <w:p>
            <w:pPr>
              <w:spacing w:after="0"/>
              <w:rPr>
                <w:sz w:val="17"/>
                <w:szCs w:val="17"/>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51</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Suburban</w:t>
            </w:r>
          </w:p>
        </w:tc>
        <w:tc>
          <w:tcPr>
            <w:tcW w:w="3480" w:type="dxa"/>
            <w:vAlign w:val="bottom"/>
            <w:gridSpan w:val="4"/>
          </w:tcPr>
          <w:p>
            <w:pPr>
              <w:jc w:val="right"/>
              <w:spacing w:after="0"/>
              <w:rPr>
                <w:sz w:val="20"/>
                <w:szCs w:val="20"/>
                <w:color w:val="auto"/>
              </w:rPr>
            </w:pPr>
            <w:r>
              <w:rPr>
                <w:rFonts w:ascii="Arial" w:cs="Arial" w:eastAsia="Arial" w:hAnsi="Arial"/>
                <w:sz w:val="14"/>
                <w:szCs w:val="14"/>
                <w:color w:val="0000FF"/>
              </w:rPr>
              <w:t>53</w:t>
            </w:r>
          </w:p>
        </w:tc>
        <w:tc>
          <w:tcPr>
            <w:tcW w:w="20" w:type="dxa"/>
            <w:vAlign w:val="bottom"/>
          </w:tcPr>
          <w:p>
            <w:pPr>
              <w:spacing w:after="0"/>
              <w:rPr>
                <w:sz w:val="17"/>
                <w:szCs w:val="17"/>
                <w:color w:val="auto"/>
              </w:rPr>
            </w:pPr>
          </w:p>
        </w:tc>
      </w:tr>
      <w:tr>
        <w:trPr>
          <w:trHeight w:val="470"/>
        </w:trPr>
        <w:tc>
          <w:tcPr>
            <w:tcW w:w="7740" w:type="dxa"/>
            <w:vAlign w:val="bottom"/>
          </w:tcPr>
          <w:p>
            <w:pPr>
              <w:ind w:left="20"/>
              <w:spacing w:after="0"/>
              <w:rPr>
                <w:sz w:val="20"/>
                <w:szCs w:val="20"/>
                <w:color w:val="auto"/>
              </w:rPr>
            </w:pPr>
            <w:r>
              <w:rPr>
                <w:rFonts w:ascii="Arial" w:cs="Arial" w:eastAsia="Arial" w:hAnsi="Arial"/>
                <w:sz w:val="18"/>
                <w:szCs w:val="18"/>
                <w:color w:val="006EBF"/>
              </w:rPr>
              <w:t>RESEARCH COVERAGE, DEFINITIONS AND RECONCILIATIONS</w:t>
            </w:r>
          </w:p>
        </w:tc>
        <w:tc>
          <w:tcPr>
            <w:tcW w:w="33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7740" w:type="dxa"/>
            <w:vAlign w:val="bottom"/>
          </w:tcPr>
          <w:p>
            <w:pPr>
              <w:ind w:left="20"/>
              <w:spacing w:after="0"/>
              <w:rPr>
                <w:sz w:val="20"/>
                <w:szCs w:val="20"/>
                <w:color w:val="auto"/>
              </w:rPr>
            </w:pPr>
            <w:r>
              <w:rPr>
                <w:rFonts w:ascii="Arial" w:cs="Arial" w:eastAsia="Arial" w:hAnsi="Arial"/>
                <w:sz w:val="14"/>
                <w:szCs w:val="14"/>
                <w:color w:val="auto"/>
              </w:rPr>
              <w:t>Research Coverage</w:t>
            </w:r>
          </w:p>
        </w:tc>
        <w:tc>
          <w:tcPr>
            <w:tcW w:w="3320" w:type="dxa"/>
            <w:vAlign w:val="bottom"/>
          </w:tcPr>
          <w:p>
            <w:pPr>
              <w:spacing w:after="0"/>
              <w:rPr>
                <w:sz w:val="14"/>
                <w:szCs w:val="14"/>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55</w:t>
            </w:r>
          </w:p>
        </w:tc>
        <w:tc>
          <w:tcPr>
            <w:tcW w:w="20" w:type="dxa"/>
            <w:vAlign w:val="bottom"/>
          </w:tcPr>
          <w:p>
            <w:pPr>
              <w:spacing w:after="0"/>
              <w:rPr>
                <w:sz w:val="14"/>
                <w:szCs w:val="14"/>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Definitions</w:t>
            </w:r>
          </w:p>
        </w:tc>
        <w:tc>
          <w:tcPr>
            <w:tcW w:w="3320" w:type="dxa"/>
            <w:vAlign w:val="bottom"/>
          </w:tcPr>
          <w:p>
            <w:pPr>
              <w:spacing w:after="0"/>
              <w:rPr>
                <w:sz w:val="17"/>
                <w:szCs w:val="17"/>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56</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Reconciliations</w:t>
            </w:r>
          </w:p>
        </w:tc>
        <w:tc>
          <w:tcPr>
            <w:tcW w:w="3320" w:type="dxa"/>
            <w:vAlign w:val="bottom"/>
          </w:tcPr>
          <w:p>
            <w:pPr>
              <w:spacing w:after="0"/>
              <w:rPr>
                <w:sz w:val="17"/>
                <w:szCs w:val="17"/>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60</w:t>
            </w:r>
          </w:p>
        </w:tc>
        <w:tc>
          <w:tcPr>
            <w:tcW w:w="20" w:type="dxa"/>
            <w:vAlign w:val="bottom"/>
          </w:tcPr>
          <w:p>
            <w:pPr>
              <w:spacing w:after="0"/>
              <w:rPr>
                <w:sz w:val="17"/>
                <w:szCs w:val="17"/>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Consolidated Income Statement - Prior Year</w:t>
            </w:r>
          </w:p>
        </w:tc>
        <w:tc>
          <w:tcPr>
            <w:tcW w:w="3320" w:type="dxa"/>
            <w:vAlign w:val="bottom"/>
          </w:tcPr>
          <w:p>
            <w:pPr>
              <w:spacing w:after="0"/>
              <w:rPr>
                <w:sz w:val="17"/>
                <w:szCs w:val="17"/>
                <w:color w:val="auto"/>
              </w:rPr>
            </w:pPr>
          </w:p>
        </w:tc>
        <w:tc>
          <w:tcPr>
            <w:tcW w:w="160" w:type="dxa"/>
            <w:vAlign w:val="bottom"/>
            <w:tcBorders>
              <w:bottom w:val="single" w:sz="8" w:color="0000FF"/>
            </w:tcBorders>
            <w:gridSpan w:val="3"/>
          </w:tcPr>
          <w:p>
            <w:pPr>
              <w:jc w:val="right"/>
              <w:spacing w:after="0"/>
              <w:rPr>
                <w:sz w:val="20"/>
                <w:szCs w:val="20"/>
                <w:color w:val="auto"/>
              </w:rPr>
            </w:pPr>
            <w:r>
              <w:rPr>
                <w:rFonts w:ascii="Arial" w:cs="Arial" w:eastAsia="Arial" w:hAnsi="Arial"/>
                <w:sz w:val="14"/>
                <w:szCs w:val="14"/>
                <w:color w:val="0000FF"/>
                <w:w w:val="89"/>
              </w:rPr>
              <w:t>68</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-8202930</wp:posOffset>
            </wp:positionV>
            <wp:extent cx="257175"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8" w:name="page9"/>
    <w:bookmarkEnd w:id="8"/>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Company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20"/>
                <w:szCs w:val="20"/>
                <w:color w:val="auto"/>
              </w:rPr>
            </w:pPr>
            <w:r>
              <w:rPr>
                <w:rFonts w:ascii="Arial" w:cs="Arial" w:eastAsia="Arial" w:hAnsi="Arial"/>
                <w:sz w:val="14"/>
                <w:szCs w:val="14"/>
                <w:color w:val="auto"/>
              </w:rPr>
              <w:t>(as of September 30, 2026)</w:t>
            </w:r>
          </w:p>
        </w:tc>
        <w:tc>
          <w:tcPr>
            <w:tcW w:w="1980" w:type="dxa"/>
            <w:vAlign w:val="bottom"/>
          </w:tcPr>
          <w:p>
            <w:pPr>
              <w:spacing w:after="0"/>
              <w:rPr>
                <w:sz w:val="16"/>
                <w:szCs w:val="16"/>
                <w:color w:val="auto"/>
              </w:rPr>
            </w:pPr>
          </w:p>
        </w:tc>
      </w:tr>
      <w:tr>
        <w:trPr>
          <w:trHeight w:val="324"/>
        </w:trPr>
        <w:tc>
          <w:tcPr>
            <w:tcW w:w="8280" w:type="dxa"/>
            <w:vAlign w:val="bottom"/>
          </w:tcPr>
          <w:p>
            <w:pPr>
              <w:ind w:left="20"/>
              <w:spacing w:after="0"/>
              <w:rPr>
                <w:sz w:val="20"/>
                <w:szCs w:val="20"/>
                <w:color w:val="auto"/>
              </w:rPr>
            </w:pPr>
            <w:r>
              <w:rPr>
                <w:rFonts w:ascii="Arial" w:cs="Arial" w:eastAsia="Arial" w:hAnsi="Arial"/>
                <w:sz w:val="14"/>
                <w:szCs w:val="14"/>
                <w:color w:val="auto"/>
              </w:rPr>
              <w:t>Fiscal Year-End</w:t>
            </w:r>
          </w:p>
        </w:tc>
        <w:tc>
          <w:tcPr>
            <w:tcW w:w="1980" w:type="dxa"/>
            <w:vAlign w:val="bottom"/>
          </w:tcPr>
          <w:p>
            <w:pPr>
              <w:ind w:left="180"/>
              <w:spacing w:after="0"/>
              <w:rPr>
                <w:sz w:val="20"/>
                <w:szCs w:val="20"/>
                <w:color w:val="auto"/>
              </w:rPr>
            </w:pPr>
            <w:r>
              <w:rPr>
                <w:rFonts w:ascii="Arial" w:cs="Arial" w:eastAsia="Arial" w:hAnsi="Arial"/>
                <w:sz w:val="14"/>
                <w:szCs w:val="14"/>
                <w:color w:val="auto"/>
              </w:rPr>
              <w:t>December 31</w:t>
            </w:r>
          </w:p>
        </w:tc>
      </w:tr>
      <w:tr>
        <w:trPr>
          <w:trHeight w:val="216"/>
        </w:trPr>
        <w:tc>
          <w:tcPr>
            <w:tcW w:w="8280" w:type="dxa"/>
            <w:vAlign w:val="bottom"/>
          </w:tcPr>
          <w:p>
            <w:pPr>
              <w:ind w:left="20"/>
              <w:spacing w:after="0"/>
              <w:rPr>
                <w:sz w:val="20"/>
                <w:szCs w:val="20"/>
                <w:color w:val="auto"/>
              </w:rPr>
            </w:pPr>
            <w:r>
              <w:rPr>
                <w:rFonts w:ascii="Arial" w:cs="Arial" w:eastAsia="Arial" w:hAnsi="Arial"/>
                <w:sz w:val="14"/>
                <w:szCs w:val="14"/>
                <w:color w:val="auto"/>
              </w:rPr>
              <w:t>Total Properties (includes unconsolidated joint ventures and properties under development/redevelopment)</w:t>
            </w:r>
          </w:p>
        </w:tc>
        <w:tc>
          <w:tcPr>
            <w:tcW w:w="1980" w:type="dxa"/>
            <w:vAlign w:val="bottom"/>
          </w:tcPr>
          <w:p>
            <w:pPr>
              <w:ind w:left="180"/>
              <w:spacing w:after="0"/>
              <w:rPr>
                <w:sz w:val="20"/>
                <w:szCs w:val="20"/>
                <w:color w:val="auto"/>
              </w:rPr>
            </w:pPr>
            <w:r>
              <w:rPr>
                <w:rFonts w:ascii="Arial" w:cs="Arial" w:eastAsia="Arial" w:hAnsi="Arial"/>
                <w:sz w:val="14"/>
                <w:szCs w:val="14"/>
                <w:color w:val="auto"/>
              </w:rPr>
              <w:t>162</w:t>
            </w:r>
          </w:p>
        </w:tc>
      </w:tr>
      <w:tr>
        <w:trPr>
          <w:trHeight w:val="216"/>
        </w:trPr>
        <w:tc>
          <w:tcPr>
            <w:tcW w:w="8280" w:type="dxa"/>
            <w:vAlign w:val="bottom"/>
          </w:tcPr>
          <w:p>
            <w:pPr>
              <w:ind w:left="20"/>
              <w:spacing w:after="0"/>
              <w:rPr>
                <w:sz w:val="20"/>
                <w:szCs w:val="20"/>
                <w:color w:val="auto"/>
              </w:rPr>
            </w:pPr>
            <w:r>
              <w:rPr>
                <w:rFonts w:ascii="Arial" w:cs="Arial" w:eastAsia="Arial" w:hAnsi="Arial"/>
                <w:sz w:val="14"/>
                <w:szCs w:val="14"/>
                <w:color w:val="auto"/>
              </w:rPr>
              <w:t>Total Square Feet (includes unconsolidated joint ventures and properties under development/redevelopment)</w:t>
            </w:r>
          </w:p>
        </w:tc>
        <w:tc>
          <w:tcPr>
            <w:tcW w:w="1980" w:type="dxa"/>
            <w:vAlign w:val="bottom"/>
          </w:tcPr>
          <w:p>
            <w:pPr>
              <w:ind w:left="180"/>
              <w:spacing w:after="0"/>
              <w:rPr>
                <w:sz w:val="20"/>
                <w:szCs w:val="20"/>
                <w:color w:val="auto"/>
              </w:rPr>
            </w:pPr>
            <w:r>
              <w:rPr>
                <w:rFonts w:ascii="Arial" w:cs="Arial" w:eastAsia="Arial" w:hAnsi="Arial"/>
                <w:sz w:val="14"/>
                <w:szCs w:val="14"/>
                <w:color w:val="auto"/>
              </w:rPr>
              <w:t>50.6 million</w:t>
            </w:r>
          </w:p>
        </w:tc>
      </w:tr>
      <w:tr>
        <w:trPr>
          <w:trHeight w:val="199"/>
        </w:trPr>
        <w:tc>
          <w:tcPr>
            <w:tcW w:w="8280" w:type="dxa"/>
            <w:vAlign w:val="bottom"/>
          </w:tcPr>
          <w:p>
            <w:pPr>
              <w:ind w:left="20"/>
              <w:spacing w:after="0"/>
              <w:rPr>
                <w:sz w:val="20"/>
                <w:szCs w:val="20"/>
                <w:color w:val="auto"/>
              </w:rPr>
            </w:pPr>
            <w:r>
              <w:rPr>
                <w:rFonts w:ascii="Arial" w:cs="Arial" w:eastAsia="Arial" w:hAnsi="Arial"/>
                <w:sz w:val="14"/>
                <w:szCs w:val="14"/>
                <w:color w:val="auto"/>
              </w:rPr>
              <w:t>Common shares outstanding, plus common units and LTIP units (other than unearned Multi-Year Long-Term Incentive Program</w:t>
            </w:r>
          </w:p>
        </w:tc>
        <w:tc>
          <w:tcPr>
            <w:tcW w:w="1980" w:type="dxa"/>
            <w:vAlign w:val="bottom"/>
          </w:tcPr>
          <w:p>
            <w:pPr>
              <w:spacing w:after="0"/>
              <w:rPr>
                <w:sz w:val="17"/>
                <w:szCs w:val="17"/>
                <w:color w:val="auto"/>
              </w:rPr>
            </w:pPr>
          </w:p>
        </w:tc>
      </w:tr>
      <w:tr>
        <w:trPr>
          <w:trHeight w:val="232"/>
        </w:trPr>
        <w:tc>
          <w:tcPr>
            <w:tcW w:w="8280" w:type="dxa"/>
            <w:vAlign w:val="bottom"/>
          </w:tcPr>
          <w:p>
            <w:pPr>
              <w:ind w:left="180"/>
              <w:spacing w:after="0"/>
              <w:rPr>
                <w:sz w:val="20"/>
                <w:szCs w:val="20"/>
                <w:color w:val="auto"/>
              </w:rPr>
            </w:pPr>
            <w:r>
              <w:rPr>
                <w:rFonts w:ascii="Arial" w:cs="Arial" w:eastAsia="Arial" w:hAnsi="Arial"/>
                <w:sz w:val="14"/>
                <w:szCs w:val="14"/>
                <w:color w:val="auto"/>
              </w:rPr>
              <w:t xml:space="preserve">(MYLTIP) Units and Outperformance Plan (OPP) Units) on an as-converted basis </w:t>
            </w:r>
            <w:r>
              <w:rPr>
                <w:rFonts w:ascii="Arial" w:cs="Arial" w:eastAsia="Arial" w:hAnsi="Arial"/>
                <w:sz w:val="18"/>
                <w:szCs w:val="18"/>
                <w:color w:val="auto"/>
                <w:vertAlign w:val="superscript"/>
              </w:rPr>
              <w:t>1, 2</w:t>
            </w:r>
          </w:p>
        </w:tc>
        <w:tc>
          <w:tcPr>
            <w:tcW w:w="1980" w:type="dxa"/>
            <w:vAlign w:val="bottom"/>
          </w:tcPr>
          <w:p>
            <w:pPr>
              <w:ind w:left="180"/>
              <w:spacing w:after="0"/>
              <w:rPr>
                <w:sz w:val="20"/>
                <w:szCs w:val="20"/>
                <w:color w:val="auto"/>
              </w:rPr>
            </w:pPr>
            <w:r>
              <w:rPr>
                <w:rFonts w:ascii="Arial" w:cs="Arial" w:eastAsia="Arial" w:hAnsi="Arial"/>
                <w:sz w:val="14"/>
                <w:szCs w:val="14"/>
                <w:color w:val="auto"/>
              </w:rPr>
              <w:t>177.5 million</w:t>
            </w: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Closing Price, at the end of the quarter</w:t>
            </w:r>
          </w:p>
        </w:tc>
        <w:tc>
          <w:tcPr>
            <w:tcW w:w="1980" w:type="dxa"/>
            <w:vAlign w:val="bottom"/>
          </w:tcPr>
          <w:p>
            <w:pPr>
              <w:ind w:left="180"/>
              <w:spacing w:after="0"/>
              <w:rPr>
                <w:sz w:val="20"/>
                <w:szCs w:val="20"/>
                <w:color w:val="auto"/>
              </w:rPr>
            </w:pPr>
            <w:r>
              <w:rPr>
                <w:rFonts w:ascii="Arial" w:cs="Arial" w:eastAsia="Arial" w:hAnsi="Arial"/>
                <w:sz w:val="14"/>
                <w:szCs w:val="14"/>
                <w:color w:val="auto"/>
              </w:rPr>
              <w:t>$61.11 per share</w:t>
            </w:r>
          </w:p>
        </w:tc>
      </w:tr>
      <w:tr>
        <w:trPr>
          <w:trHeight w:val="216"/>
        </w:trPr>
        <w:tc>
          <w:tcPr>
            <w:tcW w:w="8280" w:type="dxa"/>
            <w:vAlign w:val="bottom"/>
          </w:tcPr>
          <w:p>
            <w:pPr>
              <w:ind w:left="20"/>
              <w:spacing w:after="0"/>
              <w:rPr>
                <w:sz w:val="20"/>
                <w:szCs w:val="20"/>
                <w:color w:val="auto"/>
              </w:rPr>
            </w:pPr>
            <w:r>
              <w:rPr>
                <w:rFonts w:ascii="Arial" w:cs="Arial" w:eastAsia="Arial" w:hAnsi="Arial"/>
                <w:sz w:val="14"/>
                <w:szCs w:val="14"/>
                <w:color w:val="auto"/>
              </w:rPr>
              <w:t>Dividend - Quarter/Annualized</w:t>
            </w:r>
          </w:p>
        </w:tc>
        <w:tc>
          <w:tcPr>
            <w:tcW w:w="1980" w:type="dxa"/>
            <w:vAlign w:val="bottom"/>
          </w:tcPr>
          <w:p>
            <w:pPr>
              <w:ind w:left="180"/>
              <w:spacing w:after="0"/>
              <w:rPr>
                <w:sz w:val="20"/>
                <w:szCs w:val="20"/>
                <w:color w:val="auto"/>
              </w:rPr>
            </w:pPr>
            <w:r>
              <w:rPr>
                <w:rFonts w:ascii="Arial" w:cs="Arial" w:eastAsia="Arial" w:hAnsi="Arial"/>
                <w:sz w:val="14"/>
                <w:szCs w:val="14"/>
                <w:color w:val="auto"/>
              </w:rPr>
              <w:t>$0.70/$2.80 per share</w:t>
            </w:r>
          </w:p>
        </w:tc>
      </w:tr>
      <w:tr>
        <w:trPr>
          <w:trHeight w:val="216"/>
        </w:trPr>
        <w:tc>
          <w:tcPr>
            <w:tcW w:w="828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980" w:type="dxa"/>
            <w:vAlign w:val="bottom"/>
          </w:tcPr>
          <w:p>
            <w:pPr>
              <w:ind w:left="180"/>
              <w:spacing w:after="0"/>
              <w:rPr>
                <w:sz w:val="20"/>
                <w:szCs w:val="20"/>
                <w:color w:val="auto"/>
              </w:rPr>
            </w:pPr>
            <w:r>
              <w:rPr>
                <w:rFonts w:ascii="Arial" w:cs="Arial" w:eastAsia="Arial" w:hAnsi="Arial"/>
                <w:sz w:val="14"/>
                <w:szCs w:val="14"/>
                <w:color w:val="auto"/>
              </w:rPr>
              <w:t>4.6%</w:t>
            </w:r>
          </w:p>
        </w:tc>
      </w:tr>
      <w:tr>
        <w:trPr>
          <w:trHeight w:val="239"/>
        </w:trPr>
        <w:tc>
          <w:tcPr>
            <w:tcW w:w="8280" w:type="dxa"/>
            <w:vAlign w:val="bottom"/>
          </w:tcPr>
          <w:p>
            <w:pPr>
              <w:ind w:left="20"/>
              <w:spacing w:after="0"/>
              <w:rPr>
                <w:sz w:val="20"/>
                <w:szCs w:val="20"/>
                <w:color w:val="auto"/>
              </w:rPr>
            </w:pPr>
            <w:r>
              <w:rPr>
                <w:rFonts w:ascii="Arial" w:cs="Arial" w:eastAsia="Arial" w:hAnsi="Arial"/>
                <w:sz w:val="14"/>
                <w:szCs w:val="14"/>
                <w:color w:val="auto"/>
              </w:rPr>
              <w:t xml:space="preserve">Consolidated Market Capitalization </w:t>
            </w:r>
            <w:r>
              <w:rPr>
                <w:rFonts w:ascii="Arial" w:cs="Arial" w:eastAsia="Arial" w:hAnsi="Arial"/>
                <w:sz w:val="18"/>
                <w:szCs w:val="18"/>
                <w:color w:val="auto"/>
                <w:vertAlign w:val="superscript"/>
              </w:rPr>
              <w:t>2</w:t>
            </w:r>
          </w:p>
        </w:tc>
        <w:tc>
          <w:tcPr>
            <w:tcW w:w="1980" w:type="dxa"/>
            <w:vAlign w:val="bottom"/>
          </w:tcPr>
          <w:p>
            <w:pPr>
              <w:ind w:left="180"/>
              <w:spacing w:after="0"/>
              <w:rPr>
                <w:sz w:val="20"/>
                <w:szCs w:val="20"/>
                <w:color w:val="auto"/>
              </w:rPr>
            </w:pPr>
            <w:r>
              <w:rPr>
                <w:rFonts w:ascii="Arial" w:cs="Arial" w:eastAsia="Arial" w:hAnsi="Arial"/>
                <w:sz w:val="14"/>
                <w:szCs w:val="14"/>
                <w:color w:val="auto"/>
              </w:rPr>
              <w:t>$27.4 billion</w:t>
            </w:r>
          </w:p>
        </w:tc>
      </w:tr>
      <w:tr>
        <w:trPr>
          <w:trHeight w:val="218"/>
        </w:trPr>
        <w:tc>
          <w:tcPr>
            <w:tcW w:w="8280" w:type="dxa"/>
            <w:vAlign w:val="bottom"/>
          </w:tcPr>
          <w:p>
            <w:pPr>
              <w:ind w:left="20"/>
              <w:spacing w:after="0"/>
              <w:rPr>
                <w:sz w:val="20"/>
                <w:szCs w:val="20"/>
                <w:color w:val="auto"/>
              </w:rPr>
            </w:pPr>
            <w:r>
              <w:rPr>
                <w:rFonts w:ascii="Arial" w:cs="Arial" w:eastAsia="Arial" w:hAnsi="Arial"/>
                <w:sz w:val="14"/>
                <w:szCs w:val="14"/>
                <w:color w:val="auto"/>
              </w:rPr>
              <w:t xml:space="preserve">BXP’s Share of Market Capitalization </w:t>
            </w:r>
            <w:r>
              <w:rPr>
                <w:rFonts w:ascii="Arial" w:cs="Arial" w:eastAsia="Arial" w:hAnsi="Arial"/>
                <w:sz w:val="18"/>
                <w:szCs w:val="18"/>
                <w:color w:val="auto"/>
                <w:vertAlign w:val="superscript"/>
              </w:rPr>
              <w:t>2, 3</w:t>
            </w:r>
          </w:p>
        </w:tc>
        <w:tc>
          <w:tcPr>
            <w:tcW w:w="1980" w:type="dxa"/>
            <w:vAlign w:val="bottom"/>
          </w:tcPr>
          <w:p>
            <w:pPr>
              <w:ind w:left="180"/>
              <w:spacing w:after="0"/>
              <w:rPr>
                <w:sz w:val="20"/>
                <w:szCs w:val="20"/>
                <w:color w:val="auto"/>
              </w:rPr>
            </w:pPr>
            <w:r>
              <w:rPr>
                <w:rFonts w:ascii="Arial" w:cs="Arial" w:eastAsia="Arial" w:hAnsi="Arial"/>
                <w:sz w:val="14"/>
                <w:szCs w:val="14"/>
                <w:color w:val="auto"/>
              </w:rPr>
              <w:t>$27.2 billion</w:t>
            </w:r>
          </w:p>
        </w:tc>
      </w:tr>
      <w:tr>
        <w:trPr>
          <w:trHeight w:val="190"/>
        </w:trPr>
        <w:tc>
          <w:tcPr>
            <w:tcW w:w="8280" w:type="dxa"/>
            <w:vAlign w:val="bottom"/>
          </w:tcPr>
          <w:p>
            <w:pPr>
              <w:ind w:left="20"/>
              <w:spacing w:after="0"/>
              <w:rPr>
                <w:sz w:val="20"/>
                <w:szCs w:val="20"/>
                <w:color w:val="auto"/>
              </w:rPr>
            </w:pPr>
            <w:r>
              <w:rPr>
                <w:rFonts w:ascii="Arial" w:cs="Arial" w:eastAsia="Arial" w:hAnsi="Arial"/>
                <w:sz w:val="14"/>
                <w:szCs w:val="14"/>
                <w:color w:val="auto"/>
              </w:rPr>
              <w:t>Unsecured Senior Debt Ratings</w:t>
            </w:r>
          </w:p>
        </w:tc>
        <w:tc>
          <w:tcPr>
            <w:tcW w:w="1980" w:type="dxa"/>
            <w:vAlign w:val="bottom"/>
          </w:tcPr>
          <w:p>
            <w:pPr>
              <w:ind w:left="180"/>
              <w:spacing w:after="0"/>
              <w:rPr>
                <w:sz w:val="20"/>
                <w:szCs w:val="20"/>
                <w:color w:val="auto"/>
              </w:rPr>
            </w:pPr>
            <w:r>
              <w:rPr>
                <w:rFonts w:ascii="Arial" w:cs="Arial" w:eastAsia="Arial" w:hAnsi="Arial"/>
                <w:sz w:val="14"/>
                <w:szCs w:val="14"/>
                <w:color w:val="auto"/>
              </w:rPr>
              <w:t>BBB (S&amp;P); Baa2 (Moody’s)</w:t>
            </w:r>
          </w:p>
        </w:tc>
      </w:tr>
    </w:tbl>
    <w:p>
      <w:pPr>
        <w:spacing w:after="0" w:line="35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4"/>
          <w:szCs w:val="14"/>
          <w:color w:val="auto"/>
        </w:rPr>
        <w:t>BXP’s primary business objective is to maximize return on investment in an effort to provide its investors with the greatest possible total return in all points of the economic cycle.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To achieve this objective, the key tenets of our long-term business strategy are to:</w:t>
      </w:r>
    </w:p>
    <w:p>
      <w:pPr>
        <w:spacing w:after="0" w:line="41" w:lineRule="exact"/>
        <w:rPr>
          <w:sz w:val="20"/>
          <w:szCs w:val="20"/>
          <w:color w:val="auto"/>
        </w:rPr>
      </w:pPr>
    </w:p>
    <w:p>
      <w:pPr>
        <w:ind w:left="660" w:right="140" w:hanging="328"/>
        <w:spacing w:after="0" w:line="301" w:lineRule="auto"/>
        <w:tabs>
          <w:tab w:leader="none" w:pos="656" w:val="left"/>
        </w:tabs>
        <w:numPr>
          <w:ilvl w:val="0"/>
          <w:numId w:val="2"/>
        </w:numPr>
        <w:rPr>
          <w:rFonts w:ascii="Arial" w:cs="Arial" w:eastAsia="Arial" w:hAnsi="Arial"/>
          <w:sz w:val="14"/>
          <w:szCs w:val="14"/>
          <w:color w:val="auto"/>
        </w:rPr>
      </w:pPr>
      <w:r>
        <w:rPr>
          <w:rFonts w:ascii="Arial" w:cs="Arial" w:eastAsia="Arial" w:hAnsi="Arial"/>
          <w:sz w:val="14"/>
          <w:szCs w:val="14"/>
          <w:color w:val="auto"/>
        </w:rPr>
        <w:t>continue to embrace our leadership position in the premier workplace segment and leverage our strengths in portfolio quality, client relationships, development skills, market penetration, and sustainability to profitably build market share;</w:t>
      </w:r>
    </w:p>
    <w:p>
      <w:pPr>
        <w:spacing w:after="0" w:line="1" w:lineRule="exact"/>
        <w:rPr>
          <w:rFonts w:ascii="Arial" w:cs="Arial" w:eastAsia="Arial" w:hAnsi="Arial"/>
          <w:sz w:val="14"/>
          <w:szCs w:val="14"/>
          <w:color w:val="auto"/>
        </w:rPr>
      </w:pPr>
    </w:p>
    <w:p>
      <w:pPr>
        <w:ind w:left="660" w:right="40" w:hanging="328"/>
        <w:spacing w:after="0" w:line="301" w:lineRule="auto"/>
        <w:tabs>
          <w:tab w:leader="none" w:pos="656" w:val="left"/>
        </w:tabs>
        <w:numPr>
          <w:ilvl w:val="0"/>
          <w:numId w:val="2"/>
        </w:numPr>
        <w:rPr>
          <w:rFonts w:ascii="Arial" w:cs="Arial" w:eastAsia="Arial" w:hAnsi="Arial"/>
          <w:sz w:val="14"/>
          <w:szCs w:val="14"/>
          <w:color w:val="auto"/>
        </w:rPr>
      </w:pPr>
      <w:r>
        <w:rPr>
          <w:rFonts w:ascii="Arial" w:cs="Arial" w:eastAsia="Arial" w:hAnsi="Arial"/>
          <w:sz w:val="14"/>
          <w:szCs w:val="14"/>
          <w:color w:val="auto"/>
        </w:rPr>
        <w:t>maintain a keen focus on select dynamic gateway markets that exhibit the strongest economic growth and investment characteristics over time - currently Boston, Los Angeles, New York, San Francisco, Seattle, and Washington, DC;</w:t>
      </w:r>
    </w:p>
    <w:p>
      <w:pPr>
        <w:spacing w:after="0" w:line="1" w:lineRule="exact"/>
        <w:rPr>
          <w:rFonts w:ascii="Arial" w:cs="Arial" w:eastAsia="Arial" w:hAnsi="Arial"/>
          <w:sz w:val="14"/>
          <w:szCs w:val="14"/>
          <w:color w:val="auto"/>
        </w:rPr>
      </w:pPr>
    </w:p>
    <w:p>
      <w:pPr>
        <w:ind w:left="660" w:right="80" w:hanging="328"/>
        <w:spacing w:after="0" w:line="285" w:lineRule="auto"/>
        <w:tabs>
          <w:tab w:leader="none" w:pos="656" w:val="left"/>
        </w:tabs>
        <w:numPr>
          <w:ilvl w:val="0"/>
          <w:numId w:val="2"/>
        </w:numPr>
        <w:rPr>
          <w:rFonts w:ascii="Arial" w:cs="Arial" w:eastAsia="Arial" w:hAnsi="Arial"/>
          <w:sz w:val="14"/>
          <w:szCs w:val="14"/>
          <w:color w:val="auto"/>
        </w:rPr>
      </w:pPr>
      <w:r>
        <w:rPr>
          <w:rFonts w:ascii="Arial" w:cs="Arial" w:eastAsia="Arial" w:hAnsi="Arial"/>
          <w:sz w:val="14"/>
          <w:szCs w:val="14"/>
          <w:color w:val="auto"/>
        </w:rPr>
        <w:t>invest in the highest quality buildings (primarily premier workplaces) with unique amenities and desirable locations that are able to maintain high occupancy rates and achieve premium rental rates through economic cycles;</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maintain scale and a full-service real estate capability (leasing, development, construction, marketing, legal, and property management) in our markets to ensure we</w:t>
      </w:r>
    </w:p>
    <w:p>
      <w:pPr>
        <w:spacing w:after="0" w:line="28" w:lineRule="exact"/>
        <w:rPr>
          <w:rFonts w:ascii="Arial" w:cs="Arial" w:eastAsia="Arial" w:hAnsi="Arial"/>
          <w:sz w:val="14"/>
          <w:szCs w:val="14"/>
          <w:color w:val="auto"/>
        </w:rPr>
      </w:pPr>
    </w:p>
    <w:p>
      <w:pPr>
        <w:ind w:left="660" w:right="40"/>
        <w:spacing w:after="0" w:line="272" w:lineRule="auto"/>
        <w:rPr>
          <w:rFonts w:ascii="Arial" w:cs="Arial" w:eastAsia="Arial" w:hAnsi="Arial"/>
          <w:sz w:val="14"/>
          <w:szCs w:val="14"/>
          <w:color w:val="auto"/>
        </w:rPr>
      </w:pPr>
      <w:r>
        <w:rPr>
          <w:rFonts w:ascii="Arial" w:cs="Arial" w:eastAsia="Arial" w:hAnsi="Arial"/>
          <w:sz w:val="14"/>
          <w:szCs w:val="14"/>
          <w:color w:val="auto"/>
        </w:rPr>
        <w:t>(1) see all relevant investment deal flow, (2) maintain an ability to execute on all types of real estate opportunities, such as acquisitions, dispositions, repositioning and development, throughout the real estate investment cycle, (3) provide superior service to our clients and (4) develop and manage our assets in the most sustainable manner possible;</w:t>
      </w:r>
    </w:p>
    <w:p>
      <w:pPr>
        <w:spacing w:after="0" w:line="5"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ensure a strong balance sheet to maintain consistent access to equity and debt capital and the ability to make new investments at opportune times;</w:t>
      </w:r>
    </w:p>
    <w:p>
      <w:pPr>
        <w:spacing w:after="0" w:line="68" w:lineRule="exact"/>
        <w:rPr>
          <w:rFonts w:ascii="Arial" w:cs="Arial" w:eastAsia="Arial" w:hAnsi="Arial"/>
          <w:sz w:val="14"/>
          <w:szCs w:val="14"/>
          <w:color w:val="auto"/>
        </w:rPr>
      </w:pPr>
    </w:p>
    <w:p>
      <w:pPr>
        <w:ind w:left="660" w:hanging="328"/>
        <w:spacing w:after="0"/>
        <w:tabs>
          <w:tab w:leader="none" w:pos="660"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pursue attractive asset class adjacencies where we have a track record of success, such as life sciences and residential development;</w:t>
      </w:r>
    </w:p>
    <w:p>
      <w:pPr>
        <w:spacing w:after="0" w:line="68" w:lineRule="exact"/>
        <w:rPr>
          <w:rFonts w:ascii="Arial" w:cs="Arial" w:eastAsia="Arial" w:hAnsi="Arial"/>
          <w:sz w:val="14"/>
          <w:szCs w:val="14"/>
          <w:color w:val="auto"/>
        </w:rPr>
      </w:pPr>
    </w:p>
    <w:p>
      <w:pPr>
        <w:ind w:left="660" w:right="20" w:hanging="328"/>
        <w:spacing w:after="0" w:line="301" w:lineRule="auto"/>
        <w:tabs>
          <w:tab w:leader="none" w:pos="6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recycle capital for future investment through disposing of assets that no longer meet our investment profile or provide an opportunity for an attractive sale price relative to reinvestment;</w:t>
      </w:r>
    </w:p>
    <w:p>
      <w:pPr>
        <w:spacing w:after="0" w:line="1" w:lineRule="exact"/>
        <w:rPr>
          <w:rFonts w:ascii="Arial" w:cs="Arial" w:eastAsia="Arial" w:hAnsi="Arial"/>
          <w:sz w:val="14"/>
          <w:szCs w:val="14"/>
          <w:color w:val="auto"/>
        </w:rPr>
      </w:pPr>
    </w:p>
    <w:p>
      <w:pPr>
        <w:ind w:left="660" w:right="580" w:hanging="328"/>
        <w:spacing w:after="0" w:line="285" w:lineRule="auto"/>
        <w:tabs>
          <w:tab w:leader="none" w:pos="656" w:val="left"/>
        </w:tabs>
        <w:numPr>
          <w:ilvl w:val="0"/>
          <w:numId w:val="2"/>
        </w:numPr>
        <w:rPr>
          <w:rFonts w:ascii="Arial" w:cs="Arial" w:eastAsia="Arial" w:hAnsi="Arial"/>
          <w:sz w:val="14"/>
          <w:szCs w:val="14"/>
          <w:color w:val="auto"/>
        </w:rPr>
      </w:pPr>
      <w:r>
        <w:rPr>
          <w:rFonts w:ascii="Arial" w:cs="Arial" w:eastAsia="Arial" w:hAnsi="Arial"/>
          <w:sz w:val="14"/>
          <w:szCs w:val="14"/>
          <w:color w:val="auto"/>
        </w:rPr>
        <w:t>maintain a leadership position in sustainability innovation to minimize emissions from BXP’s development and in-service portfolio, as well as to provide clients sustainable solutions for their space use needs; and</w:t>
      </w:r>
    </w:p>
    <w:p>
      <w:pPr>
        <w:spacing w:after="0" w:line="9" w:lineRule="exact"/>
        <w:rPr>
          <w:rFonts w:ascii="Arial" w:cs="Arial" w:eastAsia="Arial" w:hAnsi="Arial"/>
          <w:sz w:val="14"/>
          <w:szCs w:val="14"/>
          <w:color w:val="auto"/>
        </w:rPr>
      </w:pPr>
    </w:p>
    <w:p>
      <w:pPr>
        <w:ind w:left="660" w:right="240" w:hanging="328"/>
        <w:spacing w:after="0" w:line="305" w:lineRule="auto"/>
        <w:tabs>
          <w:tab w:leader="none" w:pos="656" w:val="left"/>
        </w:tabs>
        <w:numPr>
          <w:ilvl w:val="0"/>
          <w:numId w:val="2"/>
        </w:numPr>
        <w:rPr>
          <w:rFonts w:ascii="Arial" w:cs="Arial" w:eastAsia="Arial" w:hAnsi="Arial"/>
          <w:sz w:val="14"/>
          <w:szCs w:val="14"/>
          <w:color w:val="auto"/>
        </w:rPr>
      </w:pPr>
      <w:r>
        <w:rPr>
          <w:rFonts w:ascii="Arial" w:cs="Arial" w:eastAsia="Arial" w:hAnsi="Arial"/>
          <w:sz w:val="14"/>
          <w:szCs w:val="14"/>
          <w:color w:val="auto"/>
        </w:rPr>
        <w:t>foster a culture and reputation of integrity, excellence and purposefulness, making us the employer of choice for talented real estate professionals, the landlord and developer of choice for our clients, as well as the counterparty of choice for real estate industry participants.</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600" w:type="dxa"/>
            <w:vAlign w:val="bottom"/>
            <w:tcBorders>
              <w:bottom w:val="single" w:sz="8" w:color="828282"/>
            </w:tcBorders>
          </w:tcPr>
          <w:p>
            <w:pPr>
              <w:ind w:left="20"/>
              <w:spacing w:after="0"/>
              <w:rPr>
                <w:sz w:val="20"/>
                <w:szCs w:val="20"/>
                <w:color w:val="auto"/>
              </w:rPr>
            </w:pPr>
            <w:r>
              <w:rPr>
                <w:rFonts w:ascii="Arial" w:cs="Arial" w:eastAsia="Arial" w:hAnsi="Arial"/>
                <w:sz w:val="14"/>
                <w:szCs w:val="14"/>
                <w:b w:val="1"/>
                <w:bCs w:val="1"/>
                <w:color w:val="auto"/>
              </w:rPr>
              <w:t>Board of Directors</w:t>
            </w:r>
          </w:p>
        </w:tc>
        <w:tc>
          <w:tcPr>
            <w:tcW w:w="2920" w:type="dxa"/>
            <w:vAlign w:val="bottom"/>
            <w:tcBorders>
              <w:bottom w:val="single" w:sz="8" w:color="828282"/>
            </w:tcBorders>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tcBorders>
              <w:bottom w:val="single" w:sz="8" w:color="828282"/>
            </w:tcBorders>
          </w:tcPr>
          <w:p>
            <w:pPr>
              <w:ind w:left="20"/>
              <w:spacing w:after="0"/>
              <w:rPr>
                <w:sz w:val="20"/>
                <w:szCs w:val="20"/>
                <w:color w:val="auto"/>
              </w:rPr>
            </w:pPr>
            <w:r>
              <w:rPr>
                <w:rFonts w:ascii="Arial" w:cs="Arial" w:eastAsia="Arial" w:hAnsi="Arial"/>
                <w:sz w:val="14"/>
                <w:szCs w:val="14"/>
                <w:b w:val="1"/>
                <w:bCs w:val="1"/>
                <w:color w:val="auto"/>
              </w:rPr>
              <w:t>Executive Officers</w:t>
            </w:r>
          </w:p>
        </w:tc>
        <w:tc>
          <w:tcPr>
            <w:tcW w:w="4880" w:type="dxa"/>
            <w:vAlign w:val="bottom"/>
            <w:tcBorders>
              <w:bottom w:val="single" w:sz="8" w:color="828282"/>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600" w:type="dxa"/>
            <w:vAlign w:val="bottom"/>
          </w:tcPr>
          <w:p>
            <w:pPr>
              <w:ind w:left="20"/>
              <w:spacing w:after="0"/>
              <w:rPr>
                <w:sz w:val="20"/>
                <w:szCs w:val="20"/>
                <w:color w:val="auto"/>
              </w:rPr>
            </w:pPr>
            <w:r>
              <w:rPr>
                <w:rFonts w:ascii="Arial" w:cs="Arial" w:eastAsia="Arial" w:hAnsi="Arial"/>
                <w:sz w:val="14"/>
                <w:szCs w:val="14"/>
                <w:color w:val="auto"/>
              </w:rPr>
              <w:t>Owen D. Thomas</w:t>
            </w: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Chairman of the Board</w:t>
            </w:r>
          </w:p>
        </w:tc>
        <w:tc>
          <w:tcPr>
            <w:tcW w:w="1540" w:type="dxa"/>
            <w:vAlign w:val="bottom"/>
          </w:tcPr>
          <w:p>
            <w:pPr>
              <w:ind w:left="20"/>
              <w:spacing w:after="0"/>
              <w:rPr>
                <w:sz w:val="20"/>
                <w:szCs w:val="20"/>
                <w:color w:val="auto"/>
              </w:rPr>
            </w:pPr>
            <w:r>
              <w:rPr>
                <w:rFonts w:ascii="Arial" w:cs="Arial" w:eastAsia="Arial" w:hAnsi="Arial"/>
                <w:sz w:val="14"/>
                <w:szCs w:val="14"/>
                <w:color w:val="auto"/>
              </w:rPr>
              <w:t>Owen D. Thomas</w:t>
            </w:r>
          </w:p>
        </w:tc>
        <w:tc>
          <w:tcPr>
            <w:tcW w:w="4880" w:type="dxa"/>
            <w:vAlign w:val="bottom"/>
          </w:tcPr>
          <w:p>
            <w:pPr>
              <w:ind w:left="220"/>
              <w:spacing w:after="0"/>
              <w:rPr>
                <w:sz w:val="20"/>
                <w:szCs w:val="20"/>
                <w:color w:val="auto"/>
              </w:rPr>
            </w:pPr>
            <w:r>
              <w:rPr>
                <w:rFonts w:ascii="Arial" w:cs="Arial" w:eastAsia="Arial" w:hAnsi="Arial"/>
                <w:sz w:val="14"/>
                <w:szCs w:val="14"/>
                <w:color w:val="auto"/>
              </w:rPr>
              <w:t>Chief Executive Officer</w:t>
            </w:r>
          </w:p>
        </w:tc>
        <w:tc>
          <w:tcPr>
            <w:tcW w:w="0" w:type="dxa"/>
            <w:vAlign w:val="bottom"/>
          </w:tcPr>
          <w:p>
            <w:pPr>
              <w:spacing w:after="0"/>
              <w:rPr>
                <w:sz w:val="1"/>
                <w:szCs w:val="1"/>
                <w:color w:val="auto"/>
              </w:rPr>
            </w:pPr>
          </w:p>
        </w:tc>
      </w:tr>
      <w:tr>
        <w:trPr>
          <w:trHeight w:val="230"/>
        </w:trPr>
        <w:tc>
          <w:tcPr>
            <w:tcW w:w="1600" w:type="dxa"/>
            <w:vAlign w:val="bottom"/>
          </w:tcPr>
          <w:p>
            <w:pPr>
              <w:ind w:left="20"/>
              <w:spacing w:after="0"/>
              <w:rPr>
                <w:sz w:val="20"/>
                <w:szCs w:val="20"/>
                <w:color w:val="auto"/>
              </w:rPr>
            </w:pPr>
            <w:r>
              <w:rPr>
                <w:rFonts w:ascii="Arial" w:cs="Arial" w:eastAsia="Arial" w:hAnsi="Arial"/>
                <w:sz w:val="14"/>
                <w:szCs w:val="14"/>
                <w:color w:val="auto"/>
              </w:rPr>
              <w:t>Douglas T. Linde</w:t>
            </w: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ind w:left="20"/>
              <w:spacing w:after="0"/>
              <w:rPr>
                <w:sz w:val="20"/>
                <w:szCs w:val="20"/>
                <w:color w:val="auto"/>
              </w:rPr>
            </w:pPr>
            <w:r>
              <w:rPr>
                <w:rFonts w:ascii="Arial" w:cs="Arial" w:eastAsia="Arial" w:hAnsi="Arial"/>
                <w:sz w:val="14"/>
                <w:szCs w:val="14"/>
                <w:color w:val="auto"/>
              </w:rPr>
              <w:t>Douglas T. Linde</w:t>
            </w:r>
          </w:p>
        </w:tc>
        <w:tc>
          <w:tcPr>
            <w:tcW w:w="4880" w:type="dxa"/>
            <w:vAlign w:val="bottom"/>
          </w:tcPr>
          <w:p>
            <w:pPr>
              <w:ind w:left="220"/>
              <w:spacing w:after="0"/>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Arial" w:cs="Arial" w:eastAsia="Arial" w:hAnsi="Arial"/>
                <w:sz w:val="14"/>
                <w:szCs w:val="14"/>
                <w:color w:val="auto"/>
              </w:rPr>
              <w:t>Joel I. Klein</w:t>
            </w: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Lead Independent Director</w:t>
            </w:r>
          </w:p>
        </w:tc>
        <w:tc>
          <w:tcPr>
            <w:tcW w:w="1540" w:type="dxa"/>
            <w:vAlign w:val="bottom"/>
          </w:tcPr>
          <w:p>
            <w:pPr>
              <w:ind w:left="20"/>
              <w:spacing w:after="0"/>
              <w:rPr>
                <w:sz w:val="20"/>
                <w:szCs w:val="20"/>
                <w:color w:val="auto"/>
              </w:rPr>
            </w:pPr>
            <w:r>
              <w:rPr>
                <w:rFonts w:ascii="Arial" w:cs="Arial" w:eastAsia="Arial" w:hAnsi="Arial"/>
                <w:sz w:val="14"/>
                <w:szCs w:val="14"/>
                <w:color w:val="auto"/>
              </w:rPr>
              <w:t>Michael E. LaBelle</w:t>
            </w:r>
          </w:p>
        </w:tc>
        <w:tc>
          <w:tcPr>
            <w:tcW w:w="4880" w:type="dxa"/>
            <w:vAlign w:val="bottom"/>
          </w:tcPr>
          <w:p>
            <w:pPr>
              <w:ind w:left="220"/>
              <w:spacing w:after="0"/>
              <w:rPr>
                <w:sz w:val="20"/>
                <w:szCs w:val="20"/>
                <w:color w:val="auto"/>
              </w:rPr>
            </w:pPr>
            <w:r>
              <w:rPr>
                <w:rFonts w:ascii="Arial" w:cs="Arial" w:eastAsia="Arial" w:hAnsi="Arial"/>
                <w:sz w:val="14"/>
                <w:szCs w:val="14"/>
                <w:color w:val="auto"/>
              </w:rPr>
              <w:t>Executive Vice President, Chief Financial Officer and Treasurer</w:t>
            </w: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Arial" w:cs="Arial" w:eastAsia="Arial" w:hAnsi="Arial"/>
                <w:sz w:val="14"/>
                <w:szCs w:val="14"/>
                <w:color w:val="auto"/>
              </w:rPr>
              <w:t>Bruce W. Duncan</w:t>
            </w: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Chair of Audit Committee</w:t>
            </w:r>
          </w:p>
        </w:tc>
        <w:tc>
          <w:tcPr>
            <w:tcW w:w="1540" w:type="dxa"/>
            <w:vAlign w:val="bottom"/>
          </w:tcPr>
          <w:p>
            <w:pPr>
              <w:ind w:left="20"/>
              <w:spacing w:after="0"/>
              <w:rPr>
                <w:sz w:val="20"/>
                <w:szCs w:val="20"/>
                <w:color w:val="auto"/>
              </w:rPr>
            </w:pPr>
            <w:r>
              <w:rPr>
                <w:rFonts w:ascii="Arial" w:cs="Arial" w:eastAsia="Arial" w:hAnsi="Arial"/>
                <w:sz w:val="14"/>
                <w:szCs w:val="14"/>
                <w:color w:val="auto"/>
              </w:rPr>
              <w:t>Rodney C. Diehl</w:t>
            </w:r>
          </w:p>
        </w:tc>
        <w:tc>
          <w:tcPr>
            <w:tcW w:w="4880" w:type="dxa"/>
            <w:vAlign w:val="bottom"/>
          </w:tcPr>
          <w:p>
            <w:pPr>
              <w:ind w:left="220"/>
              <w:spacing w:after="0"/>
              <w:rPr>
                <w:sz w:val="20"/>
                <w:szCs w:val="20"/>
                <w:color w:val="auto"/>
              </w:rPr>
            </w:pPr>
            <w:r>
              <w:rPr>
                <w:rFonts w:ascii="Arial" w:cs="Arial" w:eastAsia="Arial" w:hAnsi="Arial"/>
                <w:sz w:val="14"/>
                <w:szCs w:val="14"/>
                <w:color w:val="auto"/>
              </w:rPr>
              <w:t>Executive Vice President, West Coast Regions</w:t>
            </w:r>
          </w:p>
        </w:tc>
        <w:tc>
          <w:tcPr>
            <w:tcW w:w="0" w:type="dxa"/>
            <w:vAlign w:val="bottom"/>
          </w:tcPr>
          <w:p>
            <w:pPr>
              <w:spacing w:after="0"/>
              <w:rPr>
                <w:sz w:val="1"/>
                <w:szCs w:val="1"/>
                <w:color w:val="auto"/>
              </w:rPr>
            </w:pPr>
          </w:p>
        </w:tc>
      </w:tr>
      <w:tr>
        <w:trPr>
          <w:trHeight w:val="378"/>
        </w:trPr>
        <w:tc>
          <w:tcPr>
            <w:tcW w:w="1600" w:type="dxa"/>
            <w:vAlign w:val="bottom"/>
          </w:tcPr>
          <w:p>
            <w:pPr>
              <w:ind w:left="20"/>
              <w:spacing w:after="0"/>
              <w:rPr>
                <w:sz w:val="20"/>
                <w:szCs w:val="20"/>
                <w:color w:val="auto"/>
              </w:rPr>
            </w:pPr>
            <w:r>
              <w:rPr>
                <w:rFonts w:ascii="Arial" w:cs="Arial" w:eastAsia="Arial" w:hAnsi="Arial"/>
                <w:sz w:val="14"/>
                <w:szCs w:val="14"/>
                <w:color w:val="auto"/>
              </w:rPr>
              <w:t>Diane J. Hoskins</w:t>
            </w: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Chair of Sustainability Committee</w:t>
            </w:r>
          </w:p>
        </w:tc>
        <w:tc>
          <w:tcPr>
            <w:tcW w:w="1540" w:type="dxa"/>
            <w:vAlign w:val="bottom"/>
          </w:tcPr>
          <w:p>
            <w:pPr>
              <w:ind w:left="20"/>
              <w:spacing w:after="0"/>
              <w:rPr>
                <w:sz w:val="20"/>
                <w:szCs w:val="20"/>
                <w:color w:val="auto"/>
              </w:rPr>
            </w:pPr>
            <w:r>
              <w:rPr>
                <w:rFonts w:ascii="Arial" w:cs="Arial" w:eastAsia="Arial" w:hAnsi="Arial"/>
                <w:sz w:val="14"/>
                <w:szCs w:val="14"/>
                <w:color w:val="auto"/>
              </w:rPr>
              <w:t>Donna D. Garesché</w:t>
            </w:r>
          </w:p>
        </w:tc>
        <w:tc>
          <w:tcPr>
            <w:tcW w:w="4880" w:type="dxa"/>
            <w:vAlign w:val="bottom"/>
          </w:tcPr>
          <w:p>
            <w:pPr>
              <w:ind w:left="220"/>
              <w:spacing w:after="0"/>
              <w:rPr>
                <w:sz w:val="20"/>
                <w:szCs w:val="20"/>
                <w:color w:val="auto"/>
              </w:rPr>
            </w:pPr>
            <w:r>
              <w:rPr>
                <w:rFonts w:ascii="Arial" w:cs="Arial" w:eastAsia="Arial" w:hAnsi="Arial"/>
                <w:sz w:val="14"/>
                <w:szCs w:val="14"/>
                <w:color w:val="auto"/>
              </w:rPr>
              <w:t>Executive Vice President, Chief Human Resources Officer</w:t>
            </w: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Arial" w:cs="Arial" w:eastAsia="Arial" w:hAnsi="Arial"/>
                <w:sz w:val="14"/>
                <w:szCs w:val="14"/>
                <w:color w:val="auto"/>
              </w:rPr>
              <w:t>Mary E. Kipp</w:t>
            </w: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ind w:left="20"/>
              <w:spacing w:after="0"/>
              <w:rPr>
                <w:sz w:val="20"/>
                <w:szCs w:val="20"/>
                <w:color w:val="auto"/>
              </w:rPr>
            </w:pPr>
            <w:r>
              <w:rPr>
                <w:rFonts w:ascii="Arial" w:cs="Arial" w:eastAsia="Arial" w:hAnsi="Arial"/>
                <w:sz w:val="14"/>
                <w:szCs w:val="14"/>
                <w:color w:val="auto"/>
              </w:rPr>
              <w:t>Bryan J. Koop</w:t>
            </w:r>
          </w:p>
        </w:tc>
        <w:tc>
          <w:tcPr>
            <w:tcW w:w="4880" w:type="dxa"/>
            <w:vAlign w:val="bottom"/>
          </w:tcPr>
          <w:p>
            <w:pPr>
              <w:ind w:left="220"/>
              <w:spacing w:after="0"/>
              <w:rPr>
                <w:sz w:val="20"/>
                <w:szCs w:val="20"/>
                <w:color w:val="auto"/>
              </w:rPr>
            </w:pPr>
            <w:r>
              <w:rPr>
                <w:rFonts w:ascii="Arial" w:cs="Arial" w:eastAsia="Arial" w:hAnsi="Arial"/>
                <w:sz w:val="14"/>
                <w:szCs w:val="14"/>
                <w:color w:val="auto"/>
              </w:rPr>
              <w:t>Executive Vice President, Boston Region</w:t>
            </w:r>
          </w:p>
        </w:tc>
        <w:tc>
          <w:tcPr>
            <w:tcW w:w="0" w:type="dxa"/>
            <w:vAlign w:val="bottom"/>
          </w:tcPr>
          <w:p>
            <w:pPr>
              <w:spacing w:after="0"/>
              <w:rPr>
                <w:sz w:val="1"/>
                <w:szCs w:val="1"/>
                <w:color w:val="auto"/>
              </w:rPr>
            </w:pPr>
          </w:p>
        </w:tc>
      </w:tr>
      <w:tr>
        <w:trPr>
          <w:trHeight w:val="230"/>
        </w:trPr>
        <w:tc>
          <w:tcPr>
            <w:tcW w:w="1600" w:type="dxa"/>
            <w:vAlign w:val="bottom"/>
          </w:tcPr>
          <w:p>
            <w:pPr>
              <w:ind w:left="20"/>
              <w:spacing w:after="0"/>
              <w:rPr>
                <w:sz w:val="20"/>
                <w:szCs w:val="20"/>
                <w:color w:val="auto"/>
              </w:rPr>
            </w:pPr>
            <w:r>
              <w:rPr>
                <w:rFonts w:ascii="Arial" w:cs="Arial" w:eastAsia="Arial" w:hAnsi="Arial"/>
                <w:sz w:val="14"/>
                <w:szCs w:val="14"/>
                <w:color w:val="auto"/>
              </w:rPr>
              <w:t>Matthew J. Lustig</w:t>
            </w: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Chair of Nominating &amp; Corporate</w:t>
            </w:r>
          </w:p>
        </w:tc>
        <w:tc>
          <w:tcPr>
            <w:tcW w:w="1540" w:type="dxa"/>
            <w:vAlign w:val="bottom"/>
          </w:tcPr>
          <w:p>
            <w:pPr>
              <w:ind w:left="20"/>
              <w:spacing w:after="0"/>
              <w:rPr>
                <w:sz w:val="20"/>
                <w:szCs w:val="20"/>
                <w:color w:val="auto"/>
              </w:rPr>
            </w:pPr>
            <w:r>
              <w:rPr>
                <w:rFonts w:ascii="Arial" w:cs="Arial" w:eastAsia="Arial" w:hAnsi="Arial"/>
                <w:sz w:val="14"/>
                <w:szCs w:val="14"/>
                <w:color w:val="auto"/>
              </w:rPr>
              <w:t>Peter V. Otteni</w:t>
            </w:r>
          </w:p>
        </w:tc>
        <w:tc>
          <w:tcPr>
            <w:tcW w:w="4880" w:type="dxa"/>
            <w:vAlign w:val="bottom"/>
          </w:tcPr>
          <w:p>
            <w:pPr>
              <w:ind w:left="220"/>
              <w:spacing w:after="0"/>
              <w:rPr>
                <w:sz w:val="20"/>
                <w:szCs w:val="20"/>
                <w:color w:val="auto"/>
              </w:rPr>
            </w:pPr>
            <w:r>
              <w:rPr>
                <w:rFonts w:ascii="Arial" w:cs="Arial" w:eastAsia="Arial" w:hAnsi="Arial"/>
                <w:sz w:val="14"/>
                <w:szCs w:val="14"/>
                <w:color w:val="auto"/>
              </w:rPr>
              <w:t>Executive Vice President, Co-Head of the Washington, DC</w:t>
            </w:r>
          </w:p>
        </w:tc>
        <w:tc>
          <w:tcPr>
            <w:tcW w:w="0" w:type="dxa"/>
            <w:vAlign w:val="bottom"/>
          </w:tcPr>
          <w:p>
            <w:pPr>
              <w:spacing w:after="0"/>
              <w:rPr>
                <w:sz w:val="1"/>
                <w:szCs w:val="1"/>
                <w:color w:val="auto"/>
              </w:rPr>
            </w:pPr>
          </w:p>
        </w:tc>
      </w:tr>
      <w:tr>
        <w:trPr>
          <w:trHeight w:val="229"/>
        </w:trPr>
        <w:tc>
          <w:tcPr>
            <w:tcW w:w="1600" w:type="dxa"/>
            <w:vAlign w:val="bottom"/>
          </w:tcPr>
          <w:p>
            <w:pPr>
              <w:spacing w:after="0"/>
              <w:rPr>
                <w:sz w:val="19"/>
                <w:szCs w:val="19"/>
                <w:color w:val="auto"/>
              </w:rPr>
            </w:pP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Governance Committee</w:t>
            </w:r>
          </w:p>
        </w:tc>
        <w:tc>
          <w:tcPr>
            <w:tcW w:w="1540" w:type="dxa"/>
            <w:vAlign w:val="bottom"/>
          </w:tcPr>
          <w:p>
            <w:pPr>
              <w:spacing w:after="0"/>
              <w:rPr>
                <w:sz w:val="19"/>
                <w:szCs w:val="19"/>
                <w:color w:val="auto"/>
              </w:rPr>
            </w:pPr>
          </w:p>
        </w:tc>
        <w:tc>
          <w:tcPr>
            <w:tcW w:w="4880" w:type="dxa"/>
            <w:vAlign w:val="bottom"/>
          </w:tcPr>
          <w:p>
            <w:pPr>
              <w:ind w:left="220"/>
              <w:spacing w:after="0"/>
              <w:rPr>
                <w:sz w:val="20"/>
                <w:szCs w:val="20"/>
                <w:color w:val="auto"/>
              </w:rPr>
            </w:pPr>
            <w:r>
              <w:rPr>
                <w:rFonts w:ascii="Arial" w:cs="Arial" w:eastAsia="Arial" w:hAnsi="Arial"/>
                <w:sz w:val="14"/>
                <w:szCs w:val="14"/>
                <w:color w:val="auto"/>
              </w:rPr>
              <w:t>Region</w:t>
            </w:r>
          </w:p>
        </w:tc>
        <w:tc>
          <w:tcPr>
            <w:tcW w:w="0" w:type="dxa"/>
            <w:vAlign w:val="bottom"/>
          </w:tcPr>
          <w:p>
            <w:pPr>
              <w:spacing w:after="0"/>
              <w:rPr>
                <w:sz w:val="1"/>
                <w:szCs w:val="1"/>
                <w:color w:val="auto"/>
              </w:rPr>
            </w:pPr>
          </w:p>
        </w:tc>
      </w:tr>
      <w:tr>
        <w:trPr>
          <w:trHeight w:val="216"/>
        </w:trPr>
        <w:tc>
          <w:tcPr>
            <w:tcW w:w="1600" w:type="dxa"/>
            <w:vAlign w:val="bottom"/>
            <w:vMerge w:val="restart"/>
          </w:tcPr>
          <w:p>
            <w:pPr>
              <w:ind w:left="20"/>
              <w:spacing w:after="0"/>
              <w:rPr>
                <w:sz w:val="20"/>
                <w:szCs w:val="20"/>
                <w:color w:val="auto"/>
              </w:rPr>
            </w:pPr>
            <w:r>
              <w:rPr>
                <w:rFonts w:ascii="Arial" w:cs="Arial" w:eastAsia="Arial" w:hAnsi="Arial"/>
                <w:sz w:val="14"/>
                <w:szCs w:val="14"/>
                <w:color w:val="auto"/>
              </w:rPr>
              <w:t>Timothy J. Naughton</w:t>
            </w:r>
          </w:p>
        </w:tc>
        <w:tc>
          <w:tcPr>
            <w:tcW w:w="3220" w:type="dxa"/>
            <w:vAlign w:val="bottom"/>
            <w:gridSpan w:val="2"/>
          </w:tcPr>
          <w:p>
            <w:pPr>
              <w:ind w:left="220"/>
              <w:spacing w:after="0"/>
              <w:rPr>
                <w:sz w:val="20"/>
                <w:szCs w:val="20"/>
                <w:color w:val="auto"/>
              </w:rPr>
            </w:pPr>
            <w:r>
              <w:rPr>
                <w:rFonts w:ascii="Arial" w:cs="Arial" w:eastAsia="Arial" w:hAnsi="Arial"/>
                <w:sz w:val="14"/>
                <w:szCs w:val="14"/>
                <w:color w:val="auto"/>
              </w:rPr>
              <w:t>Chair of Compensation Committee</w:t>
            </w:r>
          </w:p>
        </w:tc>
        <w:tc>
          <w:tcPr>
            <w:tcW w:w="1540" w:type="dxa"/>
            <w:vAlign w:val="bottom"/>
          </w:tcPr>
          <w:p>
            <w:pPr>
              <w:ind w:left="20"/>
              <w:spacing w:after="0"/>
              <w:rPr>
                <w:sz w:val="20"/>
                <w:szCs w:val="20"/>
                <w:color w:val="auto"/>
              </w:rPr>
            </w:pPr>
            <w:r>
              <w:rPr>
                <w:rFonts w:ascii="Arial" w:cs="Arial" w:eastAsia="Arial" w:hAnsi="Arial"/>
                <w:sz w:val="14"/>
                <w:szCs w:val="14"/>
                <w:color w:val="auto"/>
              </w:rPr>
              <w:t>Hilary J. Spann</w:t>
            </w:r>
          </w:p>
        </w:tc>
        <w:tc>
          <w:tcPr>
            <w:tcW w:w="4880" w:type="dxa"/>
            <w:vAlign w:val="bottom"/>
          </w:tcPr>
          <w:p>
            <w:pPr>
              <w:ind w:left="220"/>
              <w:spacing w:after="0"/>
              <w:rPr>
                <w:sz w:val="20"/>
                <w:szCs w:val="20"/>
                <w:color w:val="auto"/>
              </w:rPr>
            </w:pPr>
            <w:r>
              <w:rPr>
                <w:rFonts w:ascii="Arial" w:cs="Arial" w:eastAsia="Arial" w:hAnsi="Arial"/>
                <w:sz w:val="14"/>
                <w:szCs w:val="14"/>
                <w:color w:val="auto"/>
              </w:rPr>
              <w:t>Executive Vice President, New York Region</w:t>
            </w:r>
          </w:p>
        </w:tc>
        <w:tc>
          <w:tcPr>
            <w:tcW w:w="0" w:type="dxa"/>
            <w:vAlign w:val="bottom"/>
          </w:tcPr>
          <w:p>
            <w:pPr>
              <w:spacing w:after="0"/>
              <w:rPr>
                <w:sz w:val="1"/>
                <w:szCs w:val="1"/>
                <w:color w:val="auto"/>
              </w:rPr>
            </w:pPr>
          </w:p>
        </w:tc>
      </w:tr>
      <w:tr>
        <w:trPr>
          <w:trHeight w:val="108"/>
        </w:trPr>
        <w:tc>
          <w:tcPr>
            <w:tcW w:w="1600" w:type="dxa"/>
            <w:vAlign w:val="bottom"/>
            <w:vMerge w:val="continue"/>
          </w:tcPr>
          <w:p>
            <w:pPr>
              <w:spacing w:after="0"/>
              <w:rPr>
                <w:sz w:val="9"/>
                <w:szCs w:val="9"/>
                <w:color w:val="auto"/>
              </w:rPr>
            </w:pPr>
          </w:p>
        </w:tc>
        <w:tc>
          <w:tcPr>
            <w:tcW w:w="2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4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Arial" w:cs="Arial" w:eastAsia="Arial" w:hAnsi="Arial"/>
                <w:sz w:val="14"/>
                <w:szCs w:val="14"/>
                <w:color w:val="auto"/>
              </w:rPr>
              <w:t>Julie G. Richardson</w:t>
            </w: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ind w:left="20"/>
              <w:spacing w:after="0"/>
              <w:rPr>
                <w:sz w:val="20"/>
                <w:szCs w:val="20"/>
                <w:color w:val="auto"/>
              </w:rPr>
            </w:pPr>
            <w:r>
              <w:rPr>
                <w:rFonts w:ascii="Arial" w:cs="Arial" w:eastAsia="Arial" w:hAnsi="Arial"/>
                <w:sz w:val="14"/>
                <w:szCs w:val="14"/>
                <w:color w:val="auto"/>
              </w:rPr>
              <w:t>John J. Stroman</w:t>
            </w:r>
          </w:p>
        </w:tc>
        <w:tc>
          <w:tcPr>
            <w:tcW w:w="4880" w:type="dxa"/>
            <w:vAlign w:val="bottom"/>
          </w:tcPr>
          <w:p>
            <w:pPr>
              <w:ind w:left="220"/>
              <w:spacing w:after="0"/>
              <w:rPr>
                <w:sz w:val="20"/>
                <w:szCs w:val="20"/>
                <w:color w:val="auto"/>
              </w:rPr>
            </w:pPr>
            <w:r>
              <w:rPr>
                <w:rFonts w:ascii="Arial" w:cs="Arial" w:eastAsia="Arial" w:hAnsi="Arial"/>
                <w:sz w:val="14"/>
                <w:szCs w:val="14"/>
                <w:color w:val="auto"/>
              </w:rPr>
              <w:t>Executive Vice President, Co-Head of the Washington, DC</w:t>
            </w: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Arial" w:cs="Arial" w:eastAsia="Arial" w:hAnsi="Arial"/>
                <w:sz w:val="14"/>
                <w:szCs w:val="14"/>
                <w:color w:val="auto"/>
              </w:rPr>
              <w:t>William H. Walton, III</w:t>
            </w: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80" w:type="dxa"/>
            <w:vAlign w:val="bottom"/>
          </w:tcPr>
          <w:p>
            <w:pPr>
              <w:ind w:left="220"/>
              <w:spacing w:after="0"/>
              <w:rPr>
                <w:sz w:val="20"/>
                <w:szCs w:val="20"/>
                <w:color w:val="auto"/>
              </w:rPr>
            </w:pPr>
            <w:r>
              <w:rPr>
                <w:rFonts w:ascii="Arial" w:cs="Arial" w:eastAsia="Arial" w:hAnsi="Arial"/>
                <w:sz w:val="14"/>
                <w:szCs w:val="14"/>
                <w:color w:val="auto"/>
              </w:rPr>
              <w:t>Region</w:t>
            </w:r>
          </w:p>
        </w:tc>
        <w:tc>
          <w:tcPr>
            <w:tcW w:w="0" w:type="dxa"/>
            <w:vAlign w:val="bottom"/>
          </w:tcPr>
          <w:p>
            <w:pPr>
              <w:spacing w:after="0"/>
              <w:rPr>
                <w:sz w:val="1"/>
                <w:szCs w:val="1"/>
                <w:color w:val="auto"/>
              </w:rPr>
            </w:pPr>
          </w:p>
        </w:tc>
      </w:tr>
      <w:tr>
        <w:trPr>
          <w:trHeight w:val="229"/>
        </w:trPr>
        <w:tc>
          <w:tcPr>
            <w:tcW w:w="1600" w:type="dxa"/>
            <w:vAlign w:val="bottom"/>
          </w:tcPr>
          <w:p>
            <w:pPr>
              <w:ind w:left="20"/>
              <w:spacing w:after="0"/>
              <w:rPr>
                <w:sz w:val="20"/>
                <w:szCs w:val="20"/>
                <w:color w:val="auto"/>
              </w:rPr>
            </w:pPr>
            <w:r>
              <w:rPr>
                <w:rFonts w:ascii="Arial" w:cs="Arial" w:eastAsia="Arial" w:hAnsi="Arial"/>
                <w:sz w:val="14"/>
                <w:szCs w:val="14"/>
                <w:color w:val="auto"/>
              </w:rPr>
              <w:t>Derek A. (Tony) West</w:t>
            </w: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40" w:type="dxa"/>
            <w:vAlign w:val="bottom"/>
          </w:tcPr>
          <w:p>
            <w:pPr>
              <w:ind w:left="20"/>
              <w:spacing w:after="0"/>
              <w:rPr>
                <w:sz w:val="20"/>
                <w:szCs w:val="20"/>
                <w:color w:val="auto"/>
              </w:rPr>
            </w:pPr>
            <w:r>
              <w:rPr>
                <w:rFonts w:ascii="Arial" w:cs="Arial" w:eastAsia="Arial" w:hAnsi="Arial"/>
                <w:sz w:val="14"/>
                <w:szCs w:val="14"/>
                <w:color w:val="auto"/>
              </w:rPr>
              <w:t>Colin D. Joynt</w:t>
            </w:r>
          </w:p>
        </w:tc>
        <w:tc>
          <w:tcPr>
            <w:tcW w:w="4880" w:type="dxa"/>
            <w:vAlign w:val="bottom"/>
          </w:tcPr>
          <w:p>
            <w:pPr>
              <w:ind w:left="220"/>
              <w:spacing w:after="0"/>
              <w:rPr>
                <w:sz w:val="20"/>
                <w:szCs w:val="20"/>
                <w:color w:val="auto"/>
              </w:rPr>
            </w:pPr>
            <w:r>
              <w:rPr>
                <w:rFonts w:ascii="Arial" w:cs="Arial" w:eastAsia="Arial" w:hAnsi="Arial"/>
                <w:sz w:val="14"/>
                <w:szCs w:val="14"/>
                <w:color w:val="auto"/>
              </w:rPr>
              <w:t>Senior Vice President, Chief Information Officer</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ind w:left="20"/>
              <w:spacing w:after="0"/>
              <w:rPr>
                <w:sz w:val="20"/>
                <w:szCs w:val="20"/>
                <w:color w:val="auto"/>
              </w:rPr>
            </w:pPr>
            <w:r>
              <w:rPr>
                <w:rFonts w:ascii="Arial" w:cs="Arial" w:eastAsia="Arial" w:hAnsi="Arial"/>
                <w:sz w:val="14"/>
                <w:szCs w:val="14"/>
                <w:color w:val="auto"/>
              </w:rPr>
              <w:t>Eric G. Kevorkian</w:t>
            </w:r>
          </w:p>
        </w:tc>
        <w:tc>
          <w:tcPr>
            <w:tcW w:w="4880" w:type="dxa"/>
            <w:vAlign w:val="bottom"/>
          </w:tcPr>
          <w:p>
            <w:pPr>
              <w:ind w:left="220"/>
              <w:spacing w:after="0"/>
              <w:rPr>
                <w:sz w:val="20"/>
                <w:szCs w:val="20"/>
                <w:color w:val="auto"/>
              </w:rPr>
            </w:pPr>
            <w:r>
              <w:rPr>
                <w:rFonts w:ascii="Arial" w:cs="Arial" w:eastAsia="Arial" w:hAnsi="Arial"/>
                <w:sz w:val="14"/>
                <w:szCs w:val="14"/>
                <w:color w:val="auto"/>
              </w:rPr>
              <w:t>Senior Vice President, Chief Legal Officer and Secretary</w:t>
            </w:r>
          </w:p>
        </w:tc>
        <w:tc>
          <w:tcPr>
            <w:tcW w:w="0" w:type="dxa"/>
            <w:vAlign w:val="bottom"/>
          </w:tcPr>
          <w:p>
            <w:pPr>
              <w:spacing w:after="0"/>
              <w:rPr>
                <w:sz w:val="1"/>
                <w:szCs w:val="1"/>
                <w:color w:val="auto"/>
              </w:rPr>
            </w:pPr>
          </w:p>
        </w:tc>
      </w:tr>
      <w:tr>
        <w:trPr>
          <w:trHeight w:val="216"/>
        </w:trPr>
        <w:tc>
          <w:tcPr>
            <w:tcW w:w="16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ind w:left="20"/>
              <w:spacing w:after="0"/>
              <w:rPr>
                <w:sz w:val="20"/>
                <w:szCs w:val="20"/>
                <w:color w:val="auto"/>
              </w:rPr>
            </w:pPr>
            <w:r>
              <w:rPr>
                <w:rFonts w:ascii="Arial" w:cs="Arial" w:eastAsia="Arial" w:hAnsi="Arial"/>
                <w:sz w:val="14"/>
                <w:szCs w:val="14"/>
                <w:color w:val="auto"/>
              </w:rPr>
              <w:t>Michael R. Walsh</w:t>
            </w:r>
          </w:p>
        </w:tc>
        <w:tc>
          <w:tcPr>
            <w:tcW w:w="4880" w:type="dxa"/>
            <w:vAlign w:val="bottom"/>
          </w:tcPr>
          <w:p>
            <w:pPr>
              <w:ind w:left="220"/>
              <w:spacing w:after="0"/>
              <w:rPr>
                <w:sz w:val="20"/>
                <w:szCs w:val="20"/>
                <w:color w:val="auto"/>
              </w:rPr>
            </w:pPr>
            <w:r>
              <w:rPr>
                <w:rFonts w:ascii="Arial" w:cs="Arial" w:eastAsia="Arial" w:hAnsi="Arial"/>
                <w:sz w:val="14"/>
                <w:szCs w:val="14"/>
                <w:color w:val="auto"/>
              </w:rPr>
              <w:t>Senior Vice President, Chief Accounting Officer</w:t>
            </w:r>
          </w:p>
        </w:tc>
        <w:tc>
          <w:tcPr>
            <w:tcW w:w="0" w:type="dxa"/>
            <w:vAlign w:val="bottom"/>
          </w:tcPr>
          <w:p>
            <w:pPr>
              <w:spacing w:after="0"/>
              <w:rPr>
                <w:sz w:val="1"/>
                <w:szCs w:val="1"/>
                <w:color w:val="auto"/>
              </w:rPr>
            </w:pPr>
          </w:p>
        </w:tc>
      </w:tr>
      <w:tr>
        <w:trPr>
          <w:trHeight w:val="250"/>
        </w:trPr>
        <w:tc>
          <w:tcPr>
            <w:tcW w:w="1600" w:type="dxa"/>
            <w:vAlign w:val="bottom"/>
          </w:tcPr>
          <w:p>
            <w:pPr>
              <w:spacing w:after="0"/>
              <w:rPr>
                <w:sz w:val="20"/>
                <w:szCs w:val="20"/>
                <w:color w:val="auto"/>
              </w:rPr>
            </w:pPr>
            <w:r>
              <w:rPr>
                <w:rFonts w:ascii="Arial" w:cs="Arial" w:eastAsia="Arial" w:hAnsi="Arial"/>
                <w:sz w:val="13"/>
                <w:szCs w:val="13"/>
                <w:color w:val="auto"/>
              </w:rPr>
              <w:t>___________________</w:t>
            </w:r>
          </w:p>
        </w:tc>
        <w:tc>
          <w:tcPr>
            <w:tcW w:w="2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 w:right="40" w:hanging="72"/>
        <w:spacing w:after="0" w:line="238" w:lineRule="auto"/>
        <w:tabs>
          <w:tab w:leader="none" w:pos="78"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Common units and LTIP units are units of limited partnership interest in Boston Properties Limited Partnership, the entity through which the Company conducts substantially all of its business.</w:t>
      </w:r>
    </w:p>
    <w:p>
      <w:pPr>
        <w:ind w:left="80" w:hanging="72"/>
        <w:spacing w:after="0" w:line="223" w:lineRule="auto"/>
        <w:tabs>
          <w:tab w:leader="none" w:pos="8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For additional detail, see page 28.</w:t>
      </w:r>
    </w:p>
    <w:p>
      <w:pPr>
        <w:spacing w:after="0" w:line="27" w:lineRule="exact"/>
        <w:rPr>
          <w:sz w:val="20"/>
          <w:szCs w:val="20"/>
          <w:color w:val="auto"/>
        </w:rPr>
      </w:pPr>
    </w:p>
    <w:p>
      <w:pPr>
        <w:ind w:left="80" w:hanging="72"/>
        <w:spacing w:after="0"/>
        <w:tabs>
          <w:tab w:leader="none" w:pos="80" w:val="left"/>
        </w:tabs>
        <w:numPr>
          <w:ilvl w:val="0"/>
          <w:numId w:val="5"/>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and Reconciliations sections of this Supplemental package starting on page 56.</w:t>
      </w:r>
    </w:p>
    <w:p>
      <w:pPr>
        <w:sectPr>
          <w:pgSz w:w="11900" w:h="16838" w:orient="portrait"/>
          <w:cols w:equalWidth="0" w:num="1">
            <w:col w:w="11240"/>
          </w:cols>
          <w:pgMar w:left="320" w:top="279" w:right="339" w:bottom="1440" w:gutter="0" w:footer="0" w:header="0"/>
        </w:sectPr>
      </w:pPr>
    </w:p>
    <w:p>
      <w:pPr>
        <w:spacing w:after="0" w:line="136"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279" w:right="339" w:bottom="1440" w:gutter="0" w:footer="0" w:header="0"/>
          <w:type w:val="continuous"/>
        </w:sectPr>
      </w:pPr>
    </w:p>
    <w:bookmarkStart w:id="9" w:name="page10"/>
    <w:bookmarkEnd w:id="9"/>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Guidance and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GUIDANCE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9"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BXP’s guidance for full year 2026 for diluted earnings per common share attributable to BXP, Inc. (EPS) and diluted funds from operations (FFO) per common share attributable to BXP, Inc. is set forth and reconciled below. Except as described below, the estimates reflect management’s view of current and future market conditions, including assumptions with respect to rental rates, occupancy levels, interest rates, the timing of the lease-up of available space, the timing of development cost outlays and development deliveries, and the earnings impact of the events referenced in the Company’s earnings release issued on October 27, 2026 and those referenced during the related conference call. The estimates do not include (1) possible future gains or losses or the impact on operating results from other possible future property acquisitions or dispositions not under contract as of the date hereof, (2) the impacts of any other capital markets activity, (3) future write-offs or reinstatements of accounts receivable and accrued rent balances, or</w:t>
      </w:r>
    </w:p>
    <w:p>
      <w:pPr>
        <w:spacing w:after="0" w:line="3"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future impairment charges. EPS estimates may fluctuate as a result of several factors, including changes in the recognition of depreciation and amortization expense,</w:t>
      </w:r>
    </w:p>
    <w:p>
      <w:pPr>
        <w:spacing w:after="0" w:line="14" w:lineRule="exact"/>
        <w:rPr>
          <w:rFonts w:ascii="Arial" w:cs="Arial" w:eastAsia="Arial" w:hAnsi="Arial"/>
          <w:sz w:val="14"/>
          <w:szCs w:val="14"/>
          <w:color w:val="auto"/>
        </w:rPr>
      </w:pPr>
    </w:p>
    <w:p>
      <w:pPr>
        <w:ind w:right="60"/>
        <w:spacing w:after="0" w:line="262" w:lineRule="auto"/>
        <w:rPr>
          <w:rFonts w:ascii="Arial" w:cs="Arial" w:eastAsia="Arial" w:hAnsi="Arial"/>
          <w:sz w:val="14"/>
          <w:szCs w:val="14"/>
          <w:color w:val="auto"/>
        </w:rPr>
      </w:pPr>
      <w:r>
        <w:rPr>
          <w:rFonts w:ascii="Arial" w:cs="Arial" w:eastAsia="Arial" w:hAnsi="Arial"/>
          <w:sz w:val="14"/>
          <w:szCs w:val="14"/>
          <w:color w:val="auto"/>
        </w:rPr>
        <w:t>impairment losses on depreciable real estate, and any gains or losses associated with disposition activity. BXP is not able to assess at this time the potential impact of these factors on projected EPS. By definition, FFO does not include real estate-related depreciation and amortization, impairment losses on depreciable real estate, or gains or losses associated with disposition activities. For a complete definition of FFO and statements of the reasons why management believes it provides useful information to investors, see page 58. There can be no assurance that BXP’s actual results will not differ materially from the estimates set forth below.</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9"/>
              </w:rPr>
              <w:t>Full Year 2026</w:t>
            </w: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color w:val="auto"/>
              </w:rPr>
              <w:t>Low</w:t>
            </w:r>
          </w:p>
        </w:tc>
        <w:tc>
          <w:tcPr>
            <w:tcW w:w="340" w:type="dxa"/>
            <w:vAlign w:val="bottom"/>
          </w:tcPr>
          <w:p>
            <w:pPr>
              <w:spacing w:after="0"/>
              <w:rPr>
                <w:sz w:val="17"/>
                <w:szCs w:val="17"/>
                <w:color w:val="auto"/>
              </w:rPr>
            </w:pPr>
          </w:p>
        </w:tc>
        <w:tc>
          <w:tcPr>
            <w:tcW w:w="680" w:type="dxa"/>
            <w:vAlign w:val="bottom"/>
          </w:tcPr>
          <w:p>
            <w:pPr>
              <w:ind w:left="20"/>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205"/>
        </w:trPr>
        <w:tc>
          <w:tcPr>
            <w:tcW w:w="8880" w:type="dxa"/>
            <w:vAlign w:val="bottom"/>
          </w:tcPr>
          <w:p>
            <w:pPr>
              <w:spacing w:after="0"/>
              <w:rPr>
                <w:sz w:val="20"/>
                <w:szCs w:val="20"/>
                <w:color w:val="auto"/>
              </w:rPr>
            </w:pPr>
            <w:r>
              <w:rPr>
                <w:rFonts w:ascii="Arial" w:cs="Arial" w:eastAsia="Arial" w:hAnsi="Arial"/>
                <w:sz w:val="14"/>
                <w:szCs w:val="14"/>
                <w:color w:val="auto"/>
              </w:rPr>
              <w:t>Projected EPS (diluted)</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ind w:left="440"/>
              <w:spacing w:after="0"/>
              <w:rPr>
                <w:sz w:val="20"/>
                <w:szCs w:val="20"/>
                <w:color w:val="auto"/>
              </w:rPr>
            </w:pPr>
            <w:r>
              <w:rPr>
                <w:rFonts w:ascii="Arial" w:cs="Arial" w:eastAsia="Arial" w:hAnsi="Arial"/>
                <w:sz w:val="14"/>
                <w:szCs w:val="14"/>
                <w:color w:val="auto"/>
              </w:rPr>
              <w:t>2.35</w:t>
            </w:r>
          </w:p>
        </w:tc>
        <w:tc>
          <w:tcPr>
            <w:tcW w:w="280" w:type="dxa"/>
            <w:vAlign w:val="bottom"/>
          </w:tcPr>
          <w:p>
            <w:pPr>
              <w:spacing w:after="0"/>
              <w:rPr>
                <w:sz w:val="17"/>
                <w:szCs w:val="17"/>
                <w:color w:val="auto"/>
              </w:rPr>
            </w:pPr>
          </w:p>
        </w:tc>
        <w:tc>
          <w:tcPr>
            <w:tcW w:w="34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center"/>
              <w:ind w:left="208"/>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16"/>
        </w:trPr>
        <w:tc>
          <w:tcPr>
            <w:tcW w:w="8880" w:type="dxa"/>
            <w:vAlign w:val="bottom"/>
          </w:tcPr>
          <w:p>
            <w:pPr>
              <w:ind w:left="30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820"/>
              <w:spacing w:after="0"/>
              <w:rPr>
                <w:sz w:val="20"/>
                <w:szCs w:val="20"/>
                <w:color w:val="auto"/>
              </w:rPr>
            </w:pPr>
            <w:r>
              <w:rPr>
                <w:rFonts w:ascii="Arial" w:cs="Arial" w:eastAsia="Arial" w:hAnsi="Arial"/>
                <w:sz w:val="14"/>
                <w:szCs w:val="14"/>
                <w:color w:val="auto"/>
              </w:rPr>
              <w:t>Projected Company share of real estate depreciation and amortization</w:t>
            </w:r>
          </w:p>
        </w:tc>
        <w:tc>
          <w:tcPr>
            <w:tcW w:w="240" w:type="dxa"/>
            <w:vAlign w:val="bottom"/>
          </w:tcPr>
          <w:p>
            <w:pPr>
              <w:spacing w:after="0"/>
              <w:rPr>
                <w:sz w:val="18"/>
                <w:szCs w:val="18"/>
                <w:color w:val="auto"/>
              </w:rPr>
            </w:pPr>
          </w:p>
        </w:tc>
        <w:tc>
          <w:tcPr>
            <w:tcW w:w="800" w:type="dxa"/>
            <w:vAlign w:val="bottom"/>
          </w:tcPr>
          <w:p>
            <w:pPr>
              <w:ind w:left="440"/>
              <w:spacing w:after="0"/>
              <w:rPr>
                <w:sz w:val="20"/>
                <w:szCs w:val="20"/>
                <w:color w:val="auto"/>
              </w:rPr>
            </w:pPr>
            <w:r>
              <w:rPr>
                <w:rFonts w:ascii="Arial" w:cs="Arial" w:eastAsia="Arial" w:hAnsi="Arial"/>
                <w:sz w:val="14"/>
                <w:szCs w:val="14"/>
                <w:color w:val="auto"/>
              </w:rPr>
              <w:t>5.02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jc w:val="center"/>
              <w:ind w:left="208"/>
              <w:spacing w:after="0"/>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174"/>
        </w:trPr>
        <w:tc>
          <w:tcPr>
            <w:tcW w:w="8880" w:type="dxa"/>
            <w:vAlign w:val="bottom"/>
          </w:tcPr>
          <w:p>
            <w:pPr>
              <w:ind w:left="820"/>
              <w:spacing w:after="0"/>
              <w:rPr>
                <w:sz w:val="20"/>
                <w:szCs w:val="20"/>
                <w:color w:val="auto"/>
              </w:rPr>
            </w:pPr>
            <w:r>
              <w:rPr>
                <w:rFonts w:ascii="Arial" w:cs="Arial" w:eastAsia="Arial" w:hAnsi="Arial"/>
                <w:sz w:val="14"/>
                <w:szCs w:val="14"/>
                <w:color w:val="auto"/>
              </w:rPr>
              <w:t>Projected Company share of (gains)/losses on sales of real estate, gain on investment from unconsolidated joint venture</w:t>
            </w:r>
          </w:p>
        </w:tc>
        <w:tc>
          <w:tcPr>
            <w:tcW w:w="24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Arial" w:cs="Arial" w:eastAsia="Arial" w:hAnsi="Arial"/>
                <w:sz w:val="14"/>
                <w:szCs w:val="14"/>
                <w:color w:val="auto"/>
              </w:rPr>
              <w:t>(0.31)</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vMerge w:val="restart"/>
          </w:tcPr>
          <w:p>
            <w:pPr>
              <w:jc w:val="center"/>
              <w:ind w:left="188"/>
              <w:spacing w:after="0"/>
              <w:rPr>
                <w:sz w:val="20"/>
                <w:szCs w:val="20"/>
                <w:color w:val="auto"/>
              </w:rPr>
            </w:pPr>
            <w:r>
              <w:rPr>
                <w:rFonts w:ascii="Arial" w:cs="Arial" w:eastAsia="Arial" w:hAnsi="Arial"/>
                <w:sz w:val="14"/>
                <w:szCs w:val="14"/>
                <w:color w:val="auto"/>
              </w:rPr>
              <w:t>(0.31)</w:t>
            </w:r>
          </w:p>
        </w:tc>
        <w:tc>
          <w:tcPr>
            <w:tcW w:w="0" w:type="dxa"/>
            <w:vAlign w:val="bottom"/>
          </w:tcPr>
          <w:p>
            <w:pPr>
              <w:spacing w:after="0"/>
              <w:rPr>
                <w:sz w:val="1"/>
                <w:szCs w:val="1"/>
                <w:color w:val="auto"/>
              </w:rPr>
            </w:pPr>
          </w:p>
        </w:tc>
      </w:tr>
      <w:tr>
        <w:trPr>
          <w:trHeight w:val="185"/>
        </w:trPr>
        <w:tc>
          <w:tcPr>
            <w:tcW w:w="8880" w:type="dxa"/>
            <w:vAlign w:val="bottom"/>
          </w:tcPr>
          <w:p>
            <w:pPr>
              <w:ind w:left="1000"/>
              <w:spacing w:after="0"/>
              <w:rPr>
                <w:sz w:val="20"/>
                <w:szCs w:val="20"/>
                <w:color w:val="auto"/>
              </w:rPr>
            </w:pPr>
            <w:r>
              <w:rPr>
                <w:rFonts w:ascii="Arial" w:cs="Arial" w:eastAsia="Arial" w:hAnsi="Arial"/>
                <w:sz w:val="14"/>
                <w:szCs w:val="14"/>
                <w:color w:val="auto"/>
              </w:rPr>
              <w:t>and impairments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880" w:type="dxa"/>
            <w:vAlign w:val="bottom"/>
          </w:tcPr>
          <w:p>
            <w:pPr>
              <w:spacing w:after="0"/>
              <w:rPr>
                <w:sz w:val="20"/>
                <w:szCs w:val="20"/>
                <w:color w:val="auto"/>
              </w:rPr>
            </w:pPr>
            <w:r>
              <w:rPr>
                <w:rFonts w:ascii="Arial" w:cs="Arial" w:eastAsia="Arial" w:hAnsi="Arial"/>
                <w:sz w:val="14"/>
                <w:szCs w:val="14"/>
                <w:color w:val="auto"/>
              </w:rPr>
              <w:t>Projected FFO per share (diluted)</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7.06</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color w:val="auto"/>
              </w:rPr>
              <w:t>7.08</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ASSUMPTIONS</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Full Year 2026</w:t>
            </w:r>
          </w:p>
        </w:tc>
        <w:tc>
          <w:tcPr>
            <w:tcW w:w="780" w:type="dxa"/>
            <w:vAlign w:val="bottom"/>
            <w:tcBorders>
              <w:bottom w:val="single" w:sz="8" w:color="auto"/>
            </w:tcBorders>
          </w:tcPr>
          <w:p>
            <w:pPr>
              <w:spacing w:after="0"/>
              <w:rPr>
                <w:sz w:val="17"/>
                <w:szCs w:val="17"/>
                <w:color w:val="auto"/>
              </w:rPr>
            </w:pPr>
          </w:p>
        </w:tc>
      </w:tr>
      <w:tr>
        <w:trPr>
          <w:trHeight w:val="204"/>
        </w:trPr>
        <w:tc>
          <w:tcPr>
            <w:tcW w:w="8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360" w:type="dxa"/>
            <w:vAlign w:val="bottom"/>
          </w:tcPr>
          <w:p>
            <w:pPr>
              <w:spacing w:after="0"/>
              <w:rPr>
                <w:sz w:val="17"/>
                <w:szCs w:val="17"/>
                <w:color w:val="auto"/>
              </w:rPr>
            </w:pPr>
          </w:p>
        </w:tc>
        <w:tc>
          <w:tcPr>
            <w:tcW w:w="780" w:type="dxa"/>
            <w:vAlign w:val="bottom"/>
          </w:tcPr>
          <w:p>
            <w:pPr>
              <w:jc w:val="right"/>
              <w:ind w:right="348"/>
              <w:spacing w:after="0"/>
              <w:rPr>
                <w:sz w:val="20"/>
                <w:szCs w:val="20"/>
                <w:color w:val="auto"/>
              </w:rPr>
            </w:pPr>
            <w:r>
              <w:rPr>
                <w:rFonts w:ascii="Arial" w:cs="Arial" w:eastAsia="Arial" w:hAnsi="Arial"/>
                <w:sz w:val="14"/>
                <w:szCs w:val="14"/>
                <w:color w:val="auto"/>
              </w:rPr>
              <w:t>High</w:t>
            </w:r>
          </w:p>
        </w:tc>
      </w:tr>
      <w:tr>
        <w:trPr>
          <w:trHeight w:val="201"/>
        </w:trPr>
        <w:tc>
          <w:tcPr>
            <w:tcW w:w="8640" w:type="dxa"/>
            <w:vAlign w:val="bottom"/>
          </w:tcPr>
          <w:p>
            <w:pPr>
              <w:spacing w:after="0"/>
              <w:rPr>
                <w:sz w:val="20"/>
                <w:szCs w:val="20"/>
                <w:color w:val="auto"/>
              </w:rPr>
            </w:pPr>
            <w:r>
              <w:rPr>
                <w:rFonts w:ascii="Arial" w:cs="Arial" w:eastAsia="Arial" w:hAnsi="Arial"/>
                <w:sz w:val="14"/>
                <w:szCs w:val="14"/>
                <w:b w:val="1"/>
                <w:bCs w:val="1"/>
                <w:color w:val="auto"/>
              </w:rPr>
              <w:t>Operating property activity:</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36"/>
        </w:trPr>
        <w:tc>
          <w:tcPr>
            <w:tcW w:w="8640" w:type="dxa"/>
            <w:vAlign w:val="bottom"/>
          </w:tcPr>
          <w:p>
            <w:pPr>
              <w:ind w:left="400"/>
              <w:spacing w:after="0"/>
              <w:rPr>
                <w:sz w:val="20"/>
                <w:szCs w:val="20"/>
                <w:color w:val="auto"/>
              </w:rPr>
            </w:pPr>
            <w:r>
              <w:rPr>
                <w:rFonts w:ascii="Arial" w:cs="Arial" w:eastAsia="Arial" w:hAnsi="Arial"/>
                <w:sz w:val="14"/>
                <w:szCs w:val="14"/>
                <w:color w:val="auto"/>
              </w:rPr>
              <w:t xml:space="preserve">Average In-service portfolio occupancy </w:t>
            </w:r>
            <w:r>
              <w:rPr>
                <w:rFonts w:ascii="Arial" w:cs="Arial" w:eastAsia="Arial" w:hAnsi="Arial"/>
                <w:sz w:val="18"/>
                <w:szCs w:val="18"/>
                <w:color w:val="auto"/>
                <w:vertAlign w:val="superscript"/>
              </w:rPr>
              <w:t>1</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88.75 %</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89.25 %</w:t>
            </w:r>
          </w:p>
        </w:tc>
      </w:tr>
      <w:tr>
        <w:trPr>
          <w:trHeight w:val="190"/>
        </w:trPr>
        <w:tc>
          <w:tcPr>
            <w:tcW w:w="8640" w:type="dxa"/>
            <w:vAlign w:val="bottom"/>
          </w:tcPr>
          <w:p>
            <w:pPr>
              <w:ind w:left="400"/>
              <w:spacing w:after="0"/>
              <w:rPr>
                <w:sz w:val="20"/>
                <w:szCs w:val="20"/>
                <w:color w:val="auto"/>
              </w:rPr>
            </w:pPr>
            <w:r>
              <w:rPr>
                <w:rFonts w:ascii="Arial" w:cs="Arial" w:eastAsia="Arial" w:hAnsi="Arial"/>
                <w:sz w:val="14"/>
                <w:szCs w:val="14"/>
                <w:color w:val="auto"/>
              </w:rPr>
              <w:t>Change in BXP’s Share of Same Property net operating income (excluding termination income)</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2.35 %</w:t>
            </w: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2.75 %</w:t>
            </w:r>
          </w:p>
        </w:tc>
      </w:tr>
      <w:tr>
        <w:trPr>
          <w:trHeight w:val="216"/>
        </w:trPr>
        <w:tc>
          <w:tcPr>
            <w:tcW w:w="8640" w:type="dxa"/>
            <w:vAlign w:val="bottom"/>
          </w:tcPr>
          <w:p>
            <w:pPr>
              <w:ind w:left="400"/>
              <w:spacing w:after="0"/>
              <w:rPr>
                <w:sz w:val="20"/>
                <w:szCs w:val="20"/>
                <w:color w:val="auto"/>
              </w:rPr>
            </w:pPr>
            <w:r>
              <w:rPr>
                <w:rFonts w:ascii="Arial" w:cs="Arial" w:eastAsia="Arial" w:hAnsi="Arial"/>
                <w:sz w:val="14"/>
                <w:szCs w:val="14"/>
                <w:color w:val="auto"/>
              </w:rPr>
              <w:t>Change in BXP’s Share of Same Property net operating income - cash (excluding termination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(0.25)%</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0.25 %</w:t>
            </w:r>
          </w:p>
        </w:tc>
      </w:tr>
      <w:tr>
        <w:trPr>
          <w:trHeight w:val="216"/>
        </w:trPr>
        <w:tc>
          <w:tcPr>
            <w:tcW w:w="8640" w:type="dxa"/>
            <w:vAlign w:val="bottom"/>
          </w:tcPr>
          <w:p>
            <w:pPr>
              <w:ind w:left="400"/>
              <w:spacing w:after="0"/>
              <w:rPr>
                <w:sz w:val="20"/>
                <w:szCs w:val="20"/>
                <w:color w:val="auto"/>
              </w:rPr>
            </w:pPr>
            <w:r>
              <w:rPr>
                <w:rFonts w:ascii="Arial" w:cs="Arial" w:eastAsia="Arial" w:hAnsi="Arial"/>
                <w:sz w:val="14"/>
                <w:szCs w:val="14"/>
                <w:color w:val="auto"/>
              </w:rPr>
              <w:t>BXP’s Share of Non Same Properties’ incremental contribution to net operating income over prior year (excluding asset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52,000</w:t>
            </w:r>
          </w:p>
        </w:tc>
        <w:tc>
          <w:tcPr>
            <w:tcW w:w="3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56,000</w:t>
            </w:r>
          </w:p>
        </w:tc>
      </w:tr>
      <w:tr>
        <w:trPr>
          <w:trHeight w:val="216"/>
        </w:trPr>
        <w:tc>
          <w:tcPr>
            <w:tcW w:w="8640" w:type="dxa"/>
            <w:vAlign w:val="bottom"/>
          </w:tcPr>
          <w:p>
            <w:pPr>
              <w:ind w:left="400"/>
              <w:spacing w:after="0"/>
              <w:rPr>
                <w:sz w:val="20"/>
                <w:szCs w:val="20"/>
                <w:color w:val="auto"/>
              </w:rPr>
            </w:pPr>
            <w:r>
              <w:rPr>
                <w:rFonts w:ascii="Arial" w:cs="Arial" w:eastAsia="Arial" w:hAnsi="Arial"/>
                <w:sz w:val="14"/>
                <w:szCs w:val="14"/>
                <w:color w:val="auto"/>
              </w:rPr>
              <w:t>Taking Buildings Out-of-Service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(11,000)</w:t>
            </w:r>
          </w:p>
        </w:tc>
        <w:tc>
          <w:tcPr>
            <w:tcW w:w="3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(11,000)</w:t>
            </w:r>
          </w:p>
        </w:tc>
      </w:tr>
      <w:tr>
        <w:trPr>
          <w:trHeight w:val="216"/>
        </w:trPr>
        <w:tc>
          <w:tcPr>
            <w:tcW w:w="8640" w:type="dxa"/>
            <w:vAlign w:val="bottom"/>
          </w:tcPr>
          <w:p>
            <w:pPr>
              <w:ind w:left="400"/>
              <w:spacing w:after="0"/>
              <w:rPr>
                <w:sz w:val="20"/>
                <w:szCs w:val="20"/>
                <w:color w:val="auto"/>
              </w:rPr>
            </w:pPr>
            <w:r>
              <w:rPr>
                <w:rFonts w:ascii="Arial" w:cs="Arial" w:eastAsia="Arial" w:hAnsi="Arial"/>
                <w:sz w:val="14"/>
                <w:szCs w:val="14"/>
                <w:color w:val="auto"/>
              </w:rPr>
              <w:t>BXP’s Share of incremental net operating income related to assets sold over prior year</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(79,000)</w:t>
            </w:r>
          </w:p>
        </w:tc>
        <w:tc>
          <w:tcPr>
            <w:tcW w:w="3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(78,000)</w:t>
            </w:r>
          </w:p>
        </w:tc>
      </w:tr>
      <w:tr>
        <w:trPr>
          <w:trHeight w:val="216"/>
        </w:trPr>
        <w:tc>
          <w:tcPr>
            <w:tcW w:w="8640" w:type="dxa"/>
            <w:vAlign w:val="bottom"/>
          </w:tcPr>
          <w:p>
            <w:pPr>
              <w:ind w:left="400"/>
              <w:spacing w:after="0"/>
              <w:rPr>
                <w:sz w:val="20"/>
                <w:szCs w:val="20"/>
                <w:color w:val="auto"/>
              </w:rPr>
            </w:pPr>
            <w:r>
              <w:rPr>
                <w:rFonts w:ascii="Arial" w:cs="Arial" w:eastAsia="Arial" w:hAnsi="Arial"/>
                <w:sz w:val="14"/>
                <w:szCs w:val="14"/>
                <w:color w:val="auto"/>
              </w:rPr>
              <w:t>BXP’s Share of straight-line rent and fair value lease revenue (non-cash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150,000</w:t>
            </w:r>
          </w:p>
        </w:tc>
        <w:tc>
          <w:tcPr>
            <w:tcW w:w="3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162,000</w:t>
            </w:r>
          </w:p>
        </w:tc>
      </w:tr>
      <w:tr>
        <w:trPr>
          <w:trHeight w:val="216"/>
        </w:trPr>
        <w:tc>
          <w:tcPr>
            <w:tcW w:w="8640" w:type="dxa"/>
            <w:vAlign w:val="bottom"/>
          </w:tcPr>
          <w:p>
            <w:pPr>
              <w:ind w:left="400"/>
              <w:spacing w:after="0"/>
              <w:rPr>
                <w:sz w:val="20"/>
                <w:szCs w:val="20"/>
                <w:color w:val="auto"/>
              </w:rPr>
            </w:pPr>
            <w:r>
              <w:rPr>
                <w:rFonts w:ascii="Arial" w:cs="Arial" w:eastAsia="Arial" w:hAnsi="Arial"/>
                <w:sz w:val="14"/>
                <w:szCs w:val="14"/>
                <w:color w:val="auto"/>
              </w:rPr>
              <w:t>BXP’s Share of Termination income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23,000</w:t>
            </w:r>
          </w:p>
        </w:tc>
        <w:tc>
          <w:tcPr>
            <w:tcW w:w="3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25,000</w:t>
            </w:r>
          </w:p>
        </w:tc>
      </w:tr>
      <w:tr>
        <w:trPr>
          <w:trHeight w:val="438"/>
        </w:trPr>
        <w:tc>
          <w:tcPr>
            <w:tcW w:w="8640" w:type="dxa"/>
            <w:vAlign w:val="bottom"/>
          </w:tcPr>
          <w:p>
            <w:pPr>
              <w:spacing w:after="0"/>
              <w:rPr>
                <w:sz w:val="20"/>
                <w:szCs w:val="20"/>
                <w:color w:val="auto"/>
              </w:rPr>
            </w:pPr>
            <w:r>
              <w:rPr>
                <w:rFonts w:ascii="Arial" w:cs="Arial" w:eastAsia="Arial" w:hAnsi="Arial"/>
                <w:sz w:val="14"/>
                <w:szCs w:val="14"/>
                <w:b w:val="1"/>
                <w:bCs w:val="1"/>
                <w:color w:val="auto"/>
              </w:rPr>
              <w:t>Other revenue (expense):</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8640" w:type="dxa"/>
            <w:vAlign w:val="bottom"/>
          </w:tcPr>
          <w:p>
            <w:pPr>
              <w:ind w:left="400"/>
              <w:spacing w:after="0"/>
              <w:rPr>
                <w:sz w:val="20"/>
                <w:szCs w:val="20"/>
                <w:color w:val="auto"/>
              </w:rPr>
            </w:pPr>
            <w:r>
              <w:rPr>
                <w:rFonts w:ascii="Arial" w:cs="Arial" w:eastAsia="Arial" w:hAnsi="Arial"/>
                <w:sz w:val="14"/>
                <w:szCs w:val="14"/>
                <w:color w:val="auto"/>
              </w:rPr>
              <w:t>Development, management services and other revenue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34,000</w:t>
            </w:r>
          </w:p>
        </w:tc>
        <w:tc>
          <w:tcPr>
            <w:tcW w:w="3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36,000</w:t>
            </w:r>
          </w:p>
        </w:tc>
      </w:tr>
      <w:tr>
        <w:trPr>
          <w:trHeight w:val="242"/>
        </w:trPr>
        <w:tc>
          <w:tcPr>
            <w:tcW w:w="8640" w:type="dxa"/>
            <w:vAlign w:val="bottom"/>
          </w:tcPr>
          <w:p>
            <w:pPr>
              <w:ind w:left="400"/>
              <w:spacing w:after="0"/>
              <w:rPr>
                <w:sz w:val="20"/>
                <w:szCs w:val="20"/>
                <w:color w:val="auto"/>
              </w:rPr>
            </w:pPr>
            <w:r>
              <w:rPr>
                <w:rFonts w:ascii="Arial" w:cs="Arial" w:eastAsia="Arial" w:hAnsi="Arial"/>
                <w:sz w:val="14"/>
                <w:szCs w:val="14"/>
                <w:color w:val="auto"/>
              </w:rPr>
              <w:t xml:space="preserve">General and administrative expense </w:t>
            </w:r>
            <w:r>
              <w:rPr>
                <w:rFonts w:ascii="Arial" w:cs="Arial" w:eastAsia="Arial" w:hAnsi="Arial"/>
                <w:sz w:val="18"/>
                <w:szCs w:val="18"/>
                <w:color w:val="auto"/>
                <w:vertAlign w:val="superscript"/>
              </w:rPr>
              <w:t>2</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(183,000)</w:t>
            </w:r>
          </w:p>
        </w:tc>
        <w:tc>
          <w:tcPr>
            <w:tcW w:w="300" w:type="dxa"/>
            <w:vAlign w:val="bottom"/>
          </w:tcPr>
          <w:p>
            <w:pPr>
              <w:spacing w:after="0"/>
              <w:rPr>
                <w:sz w:val="21"/>
                <w:szCs w:val="21"/>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(176,000)</w:t>
            </w:r>
          </w:p>
        </w:tc>
      </w:tr>
      <w:tr>
        <w:trPr>
          <w:trHeight w:val="190"/>
        </w:trPr>
        <w:tc>
          <w:tcPr>
            <w:tcW w:w="8640" w:type="dxa"/>
            <w:vAlign w:val="bottom"/>
          </w:tcPr>
          <w:p>
            <w:pPr>
              <w:ind w:left="400"/>
              <w:spacing w:after="0"/>
              <w:rPr>
                <w:sz w:val="20"/>
                <w:szCs w:val="20"/>
                <w:color w:val="auto"/>
              </w:rPr>
            </w:pPr>
            <w:r>
              <w:rPr>
                <w:rFonts w:ascii="Arial" w:cs="Arial" w:eastAsia="Arial" w:hAnsi="Arial"/>
                <w:sz w:val="14"/>
                <w:szCs w:val="14"/>
                <w:color w:val="auto"/>
              </w:rPr>
              <w:t>Consolidated net interest expense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(598,000)</w:t>
            </w:r>
          </w:p>
        </w:tc>
        <w:tc>
          <w:tcPr>
            <w:tcW w:w="3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(593,000)</w:t>
            </w:r>
          </w:p>
        </w:tc>
      </w:tr>
      <w:tr>
        <w:trPr>
          <w:trHeight w:val="216"/>
        </w:trPr>
        <w:tc>
          <w:tcPr>
            <w:tcW w:w="8640" w:type="dxa"/>
            <w:vAlign w:val="bottom"/>
          </w:tcPr>
          <w:p>
            <w:pPr>
              <w:ind w:left="400"/>
              <w:spacing w:after="0"/>
              <w:rPr>
                <w:sz w:val="20"/>
                <w:szCs w:val="20"/>
                <w:color w:val="auto"/>
              </w:rPr>
            </w:pPr>
            <w:r>
              <w:rPr>
                <w:rFonts w:ascii="Arial" w:cs="Arial" w:eastAsia="Arial" w:hAnsi="Arial"/>
                <w:sz w:val="14"/>
                <w:szCs w:val="14"/>
                <w:color w:val="auto"/>
              </w:rPr>
              <w:t>Unconsolidated joint venture interest expense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(62,000)</w:t>
            </w:r>
          </w:p>
        </w:tc>
        <w:tc>
          <w:tcPr>
            <w:tcW w:w="3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(60,000)</w:t>
            </w:r>
          </w:p>
        </w:tc>
      </w:tr>
      <w:tr>
        <w:trPr>
          <w:trHeight w:val="438"/>
        </w:trPr>
        <w:tc>
          <w:tcPr>
            <w:tcW w:w="8640" w:type="dxa"/>
            <w:vAlign w:val="bottom"/>
          </w:tcPr>
          <w:p>
            <w:pPr>
              <w:spacing w:after="0"/>
              <w:rPr>
                <w:sz w:val="20"/>
                <w:szCs w:val="20"/>
                <w:color w:val="auto"/>
              </w:rPr>
            </w:pPr>
            <w:r>
              <w:rPr>
                <w:rFonts w:ascii="Arial" w:cs="Arial" w:eastAsia="Arial" w:hAnsi="Arial"/>
                <w:sz w:val="14"/>
                <w:szCs w:val="14"/>
                <w:b w:val="1"/>
                <w:bCs w:val="1"/>
                <w:color w:val="auto"/>
              </w:rPr>
              <w:t>Noncontrolling interest:</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10"/>
        </w:trPr>
        <w:tc>
          <w:tcPr>
            <w:tcW w:w="8640" w:type="dxa"/>
            <w:vAlign w:val="bottom"/>
          </w:tcPr>
          <w:p>
            <w:pPr>
              <w:ind w:left="400"/>
              <w:spacing w:after="0"/>
              <w:rPr>
                <w:sz w:val="20"/>
                <w:szCs w:val="20"/>
                <w:color w:val="auto"/>
              </w:rPr>
            </w:pPr>
            <w:r>
              <w:rPr>
                <w:rFonts w:ascii="Arial" w:cs="Arial" w:eastAsia="Arial" w:hAnsi="Arial"/>
                <w:sz w:val="14"/>
                <w:szCs w:val="14"/>
                <w:color w:val="auto"/>
              </w:rPr>
              <w:t>Noncontrolling interest in property partnerships’ share of FFO</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(197,000)</w:t>
            </w:r>
          </w:p>
        </w:tc>
        <w:tc>
          <w:tcPr>
            <w:tcW w:w="3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(194,000)</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w:t>
      </w:r>
    </w:p>
    <w:p>
      <w:pPr>
        <w:spacing w:after="0" w:line="8" w:lineRule="exact"/>
        <w:rPr>
          <w:sz w:val="20"/>
          <w:szCs w:val="20"/>
          <w:color w:val="auto"/>
        </w:rPr>
      </w:pPr>
    </w:p>
    <w:p>
      <w:pPr>
        <w:ind w:left="160" w:hanging="71"/>
        <w:spacing w:after="0"/>
        <w:tabs>
          <w:tab w:leader="none" w:pos="16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Excludes development properties placed into service in 2026.</w:t>
      </w:r>
    </w:p>
    <w:p>
      <w:pPr>
        <w:ind w:left="160" w:hanging="71"/>
        <w:spacing w:after="0" w:line="222" w:lineRule="auto"/>
        <w:tabs>
          <w:tab w:leader="none" w:pos="1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Excludes estimated changes in the market value of the Company’s deferred compensation plan and gains (losses) from investments in securities.</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279" w:right="339" w:bottom="1440" w:gutter="0" w:footer="0" w:header="0"/>
        </w:sectPr>
      </w:pPr>
    </w:p>
    <w:bookmarkStart w:id="10" w:name="page11"/>
    <w:bookmarkEnd w:id="10"/>
    <w:tbl>
      <w:tblPr>
        <w:tblLayout w:type="fixed"/>
        <w:tblInd w:w="73"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Q3 2026</w:t>
            </w:r>
          </w:p>
        </w:tc>
      </w:tr>
      <w:tr>
        <w:trPr>
          <w:trHeight w:val="244"/>
        </w:trPr>
        <w:tc>
          <w:tcPr>
            <w:tcW w:w="83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00497F"/>
              </w:rPr>
              <w:t>Financial highlights</w:t>
            </w:r>
          </w:p>
        </w:tc>
      </w:tr>
      <w:tr>
        <w:trPr>
          <w:trHeight w:val="586"/>
        </w:trPr>
        <w:tc>
          <w:tcPr>
            <w:tcW w:w="8360" w:type="dxa"/>
            <w:vAlign w:val="bottom"/>
          </w:tcPr>
          <w:p>
            <w:pPr>
              <w:spacing w:after="0"/>
              <w:rPr>
                <w:sz w:val="20"/>
                <w:szCs w:val="20"/>
                <w:color w:val="auto"/>
              </w:rPr>
            </w:pPr>
            <w:r>
              <w:rPr>
                <w:rFonts w:ascii="Arial" w:cs="Arial" w:eastAsia="Arial" w:hAnsi="Arial"/>
                <w:sz w:val="14"/>
                <w:szCs w:val="14"/>
                <w:color w:val="auto"/>
              </w:rPr>
              <w:t>(unaudited and in thousands, except ratios and per share amounts)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6"/>
        </w:trPr>
        <w:tc>
          <w:tcPr>
            <w:tcW w:w="8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r>
      <w:tr>
        <w:trPr>
          <w:trHeight w:val="210"/>
        </w:trPr>
        <w:tc>
          <w:tcPr>
            <w:tcW w:w="8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30-Sep-26</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30-Jun-26</w:t>
            </w:r>
          </w:p>
        </w:tc>
      </w:tr>
      <w:tr>
        <w:trPr>
          <w:trHeight w:val="202"/>
        </w:trPr>
        <w:tc>
          <w:tcPr>
            <w:tcW w:w="8360" w:type="dxa"/>
            <w:vAlign w:val="bottom"/>
          </w:tcPr>
          <w:p>
            <w:pPr>
              <w:ind w:left="20"/>
              <w:spacing w:after="0"/>
              <w:rPr>
                <w:sz w:val="20"/>
                <w:szCs w:val="20"/>
                <w:color w:val="auto"/>
              </w:rPr>
            </w:pPr>
            <w:r>
              <w:rPr>
                <w:rFonts w:ascii="Arial" w:cs="Arial" w:eastAsia="Arial" w:hAnsi="Arial"/>
                <w:sz w:val="14"/>
                <w:szCs w:val="14"/>
                <w:color w:val="auto"/>
              </w:rPr>
              <w:t>Net income attributable to BXP, Inc.</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114,482</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68,564</w:t>
            </w:r>
          </w:p>
        </w:tc>
      </w:tr>
      <w:tr>
        <w:trPr>
          <w:trHeight w:val="216"/>
        </w:trPr>
        <w:tc>
          <w:tcPr>
            <w:tcW w:w="8360" w:type="dxa"/>
            <w:vAlign w:val="bottom"/>
          </w:tcPr>
          <w:p>
            <w:pPr>
              <w:ind w:left="20"/>
              <w:spacing w:after="0"/>
              <w:rPr>
                <w:sz w:val="20"/>
                <w:szCs w:val="20"/>
                <w:color w:val="auto"/>
              </w:rPr>
            </w:pPr>
            <w:r>
              <w:rPr>
                <w:rFonts w:ascii="Arial" w:cs="Arial" w:eastAsia="Arial" w:hAnsi="Arial"/>
                <w:sz w:val="14"/>
                <w:szCs w:val="14"/>
                <w:color w:val="auto"/>
              </w:rPr>
              <w:t>Net income attributable to BXP, Inc. per share - diluted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0.71</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0.43</w:t>
            </w:r>
          </w:p>
        </w:tc>
      </w:tr>
      <w:tr>
        <w:trPr>
          <w:trHeight w:val="239"/>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FFO attributable to BXP, Inc. </w:t>
            </w:r>
            <w:r>
              <w:rPr>
                <w:rFonts w:ascii="Arial" w:cs="Arial" w:eastAsia="Arial" w:hAnsi="Arial"/>
                <w:sz w:val="18"/>
                <w:szCs w:val="18"/>
                <w:color w:val="auto"/>
                <w:vertAlign w:val="superscript"/>
              </w:rPr>
              <w:t>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302,240</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283,412</w:t>
            </w:r>
          </w:p>
        </w:tc>
      </w:tr>
      <w:tr>
        <w:trPr>
          <w:trHeight w:val="218"/>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Diluted FFO per share </w:t>
            </w:r>
            <w:r>
              <w:rPr>
                <w:rFonts w:ascii="Arial" w:cs="Arial" w:eastAsia="Arial" w:hAnsi="Arial"/>
                <w:sz w:val="18"/>
                <w:szCs w:val="18"/>
                <w:color w:val="auto"/>
                <w:vertAlign w:val="superscript"/>
              </w:rPr>
              <w:t>1</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1.89</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1.78</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Dividends per common share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0.70</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0.70</w:t>
            </w:r>
          </w:p>
        </w:tc>
      </w:tr>
      <w:tr>
        <w:trPr>
          <w:trHeight w:val="273"/>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Funds available for distribution to common shareholders and common unitholders (FAD) </w:t>
            </w:r>
            <w:r>
              <w:rPr>
                <w:rFonts w:ascii="Arial" w:cs="Arial" w:eastAsia="Arial" w:hAnsi="Arial"/>
                <w:sz w:val="18"/>
                <w:szCs w:val="18"/>
                <w:color w:val="auto"/>
                <w:vertAlign w:val="superscript"/>
              </w:rPr>
              <w:t>2</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163,414</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142,069</w:t>
            </w:r>
          </w:p>
        </w:tc>
      </w:tr>
      <w:tr>
        <w:trPr>
          <w:trHeight w:val="273"/>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Selected items:</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0"/>
        </w:trPr>
        <w:tc>
          <w:tcPr>
            <w:tcW w:w="8360" w:type="dxa"/>
            <w:vAlign w:val="bottom"/>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911,431</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895,699</w:t>
            </w:r>
          </w:p>
        </w:tc>
      </w:tr>
      <w:tr>
        <w:trPr>
          <w:trHeight w:val="216"/>
        </w:trPr>
        <w:tc>
          <w:tcPr>
            <w:tcW w:w="8360" w:type="dxa"/>
            <w:vAlign w:val="bottom"/>
          </w:tcPr>
          <w:p>
            <w:pPr>
              <w:ind w:left="20"/>
              <w:spacing w:after="0"/>
              <w:rPr>
                <w:sz w:val="20"/>
                <w:szCs w:val="20"/>
                <w:color w:val="auto"/>
              </w:rPr>
            </w:pPr>
            <w:r>
              <w:rPr>
                <w:rFonts w:ascii="Arial" w:cs="Arial" w:eastAsia="Arial" w:hAnsi="Arial"/>
                <w:sz w:val="14"/>
                <w:szCs w:val="14"/>
                <w:color w:val="auto"/>
              </w:rPr>
              <w:t>Recoveries from clients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153,825</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152,352</w:t>
            </w:r>
          </w:p>
        </w:tc>
      </w:tr>
      <w:tr>
        <w:trPr>
          <w:trHeight w:val="216"/>
        </w:trPr>
        <w:tc>
          <w:tcPr>
            <w:tcW w:w="8360" w:type="dxa"/>
            <w:vAlign w:val="bottom"/>
          </w:tcPr>
          <w:p>
            <w:pPr>
              <w:ind w:left="20"/>
              <w:spacing w:after="0"/>
              <w:rPr>
                <w:sz w:val="20"/>
                <w:szCs w:val="20"/>
                <w:color w:val="auto"/>
              </w:rPr>
            </w:pPr>
            <w:r>
              <w:rPr>
                <w:rFonts w:ascii="Arial" w:cs="Arial" w:eastAsia="Arial" w:hAnsi="Arial"/>
                <w:sz w:val="14"/>
                <w:szCs w:val="14"/>
                <w:color w:val="auto"/>
              </w:rPr>
              <w:t>Service income from clients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4,472</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4,840</w:t>
            </w:r>
          </w:p>
        </w:tc>
      </w:tr>
      <w:tr>
        <w:trPr>
          <w:trHeight w:val="239"/>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BXP’s Share of revenue </w:t>
            </w:r>
            <w:r>
              <w:rPr>
                <w:rFonts w:ascii="Arial" w:cs="Arial" w:eastAsia="Arial" w:hAnsi="Arial"/>
                <w:sz w:val="18"/>
                <w:szCs w:val="18"/>
                <w:color w:val="auto"/>
                <w:vertAlign w:val="superscript"/>
              </w:rPr>
              <w:t>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854,287</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838,636</w:t>
            </w:r>
          </w:p>
        </w:tc>
      </w:tr>
      <w:tr>
        <w:trPr>
          <w:trHeight w:val="216"/>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BXP’s Share of straight-line rent </w:t>
            </w:r>
            <w:r>
              <w:rPr>
                <w:rFonts w:ascii="Arial" w:cs="Arial" w:eastAsia="Arial" w:hAnsi="Arial"/>
                <w:sz w:val="18"/>
                <w:szCs w:val="18"/>
                <w:color w:val="auto"/>
                <w:vertAlign w:val="superscript"/>
              </w:rPr>
              <w:t>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46,541</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19,396</w:t>
            </w:r>
          </w:p>
        </w:tc>
      </w:tr>
      <w:tr>
        <w:trPr>
          <w:trHeight w:val="216"/>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BXP’s Share of fair value lease revenue </w:t>
            </w:r>
            <w:r>
              <w:rPr>
                <w:rFonts w:ascii="Arial" w:cs="Arial" w:eastAsia="Arial" w:hAnsi="Arial"/>
                <w:sz w:val="18"/>
                <w:szCs w:val="18"/>
                <w:color w:val="auto"/>
                <w:vertAlign w:val="superscript"/>
              </w:rPr>
              <w:t>3, 4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2,863</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2,864</w:t>
            </w:r>
          </w:p>
        </w:tc>
      </w:tr>
      <w:tr>
        <w:trPr>
          <w:trHeight w:val="218"/>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BXP’s Share of termination income </w:t>
            </w:r>
            <w:r>
              <w:rPr>
                <w:rFonts w:ascii="Arial" w:cs="Arial" w:eastAsia="Arial" w:hAnsi="Arial"/>
                <w:sz w:val="18"/>
                <w:szCs w:val="18"/>
                <w:color w:val="auto"/>
                <w:vertAlign w:val="superscript"/>
              </w:rPr>
              <w:t>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7,000</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2,805</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Ground rent expense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3,313</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3,876</w:t>
            </w:r>
          </w:p>
        </w:tc>
      </w:tr>
      <w:tr>
        <w:trPr>
          <w:trHeight w:val="242"/>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Capitalized interest </w:t>
            </w:r>
            <w:r>
              <w:rPr>
                <w:rFonts w:ascii="Arial" w:cs="Arial" w:eastAsia="Arial" w:hAnsi="Arial"/>
                <w:sz w:val="18"/>
                <w:szCs w:val="18"/>
                <w:color w:val="auto"/>
                <w:vertAlign w:val="superscript"/>
              </w:rPr>
              <w:t>5</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14,398</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12,868</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Capitalized wages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4,087</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4,585</w:t>
            </w:r>
          </w:p>
        </w:tc>
      </w:tr>
      <w:tr>
        <w:trPr>
          <w:trHeight w:val="239"/>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Income (loss) from unconsolidated joint ventures </w:t>
            </w:r>
            <w:r>
              <w:rPr>
                <w:rFonts w:ascii="Arial" w:cs="Arial" w:eastAsia="Arial" w:hAnsi="Arial"/>
                <w:sz w:val="18"/>
                <w:szCs w:val="18"/>
                <w:color w:val="auto"/>
                <w:vertAlign w:val="superscript"/>
              </w:rPr>
              <w:t>6</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1,145</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(2,448)</w:t>
            </w:r>
          </w:p>
        </w:tc>
      </w:tr>
      <w:tr>
        <w:trPr>
          <w:trHeight w:val="218"/>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BXP’s share of FFO from unconsolidated joint ventures </w:t>
            </w:r>
            <w:r>
              <w:rPr>
                <w:rFonts w:ascii="Arial" w:cs="Arial" w:eastAsia="Arial" w:hAnsi="Arial"/>
                <w:sz w:val="18"/>
                <w:szCs w:val="18"/>
                <w:color w:val="auto"/>
                <w:vertAlign w:val="superscript"/>
              </w:rPr>
              <w:t>7</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13,192</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9,111</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 in property partnerships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28,692</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26,121</w:t>
            </w:r>
          </w:p>
        </w:tc>
      </w:tr>
      <w:tr>
        <w:trPr>
          <w:trHeight w:val="273"/>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FFO attributable to noncontrolling interests in property partnerships </w:t>
            </w:r>
            <w:r>
              <w:rPr>
                <w:rFonts w:ascii="Arial" w:cs="Arial" w:eastAsia="Arial" w:hAnsi="Arial"/>
                <w:sz w:val="18"/>
                <w:szCs w:val="18"/>
                <w:color w:val="auto"/>
                <w:vertAlign w:val="superscript"/>
              </w:rPr>
              <w:t>8</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52,593</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49,457</w:t>
            </w:r>
          </w:p>
        </w:tc>
      </w:tr>
      <w:tr>
        <w:trPr>
          <w:trHeight w:val="273"/>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Balance Sheet items:</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0"/>
        </w:trPr>
        <w:tc>
          <w:tcPr>
            <w:tcW w:w="8360" w:type="dxa"/>
            <w:vAlign w:val="bottom"/>
          </w:tcPr>
          <w:p>
            <w:pPr>
              <w:ind w:left="20"/>
              <w:spacing w:after="0"/>
              <w:rPr>
                <w:sz w:val="20"/>
                <w:szCs w:val="20"/>
                <w:color w:val="auto"/>
              </w:rPr>
            </w:pPr>
            <w:r>
              <w:rPr>
                <w:rFonts w:ascii="Arial" w:cs="Arial" w:eastAsia="Arial" w:hAnsi="Arial"/>
                <w:sz w:val="14"/>
                <w:szCs w:val="14"/>
                <w:color w:val="auto"/>
              </w:rPr>
              <w:t>Above-market rents (included within Prepaid Expenses and Other Assets)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4,111</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4,351</w:t>
            </w:r>
          </w:p>
        </w:tc>
      </w:tr>
      <w:tr>
        <w:trPr>
          <w:trHeight w:val="216"/>
        </w:trPr>
        <w:tc>
          <w:tcPr>
            <w:tcW w:w="8360" w:type="dxa"/>
            <w:vAlign w:val="bottom"/>
          </w:tcPr>
          <w:p>
            <w:pPr>
              <w:ind w:left="20"/>
              <w:spacing w:after="0"/>
              <w:rPr>
                <w:sz w:val="20"/>
                <w:szCs w:val="20"/>
                <w:color w:val="auto"/>
              </w:rPr>
            </w:pPr>
            <w:r>
              <w:rPr>
                <w:rFonts w:ascii="Arial" w:cs="Arial" w:eastAsia="Arial" w:hAnsi="Arial"/>
                <w:sz w:val="14"/>
                <w:szCs w:val="14"/>
                <w:color w:val="auto"/>
              </w:rPr>
              <w:t>Below-market rents (included within Other Liabilities)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10,609</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13,000</w:t>
            </w:r>
          </w:p>
        </w:tc>
      </w:tr>
      <w:tr>
        <w:trPr>
          <w:trHeight w:val="216"/>
        </w:trPr>
        <w:tc>
          <w:tcPr>
            <w:tcW w:w="8360" w:type="dxa"/>
            <w:vAlign w:val="bottom"/>
          </w:tcPr>
          <w:p>
            <w:pPr>
              <w:ind w:left="20"/>
              <w:spacing w:after="0"/>
              <w:rPr>
                <w:sz w:val="20"/>
                <w:szCs w:val="20"/>
                <w:color w:val="auto"/>
              </w:rPr>
            </w:pPr>
            <w:r>
              <w:rPr>
                <w:rFonts w:ascii="Arial" w:cs="Arial" w:eastAsia="Arial" w:hAnsi="Arial"/>
                <w:sz w:val="14"/>
                <w:szCs w:val="14"/>
                <w:color w:val="auto"/>
              </w:rPr>
              <w:t>Accrued rental income liability (included within Other Liabilities)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112,668</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125,794</w:t>
            </w:r>
          </w:p>
        </w:tc>
      </w:tr>
      <w:tr>
        <w:trPr>
          <w:trHeight w:val="330"/>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Ratios: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3"/>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Interest Coverage Ratio (excluding capitalized interest) </w:t>
            </w:r>
            <w:r>
              <w:rPr>
                <w:rFonts w:ascii="Arial" w:cs="Arial" w:eastAsia="Arial" w:hAnsi="Arial"/>
                <w:sz w:val="18"/>
                <w:szCs w:val="18"/>
                <w:color w:val="auto"/>
                <w:vertAlign w:val="superscript"/>
              </w:rPr>
              <w:t>9</w:t>
            </w:r>
          </w:p>
        </w:tc>
        <w:tc>
          <w:tcPr>
            <w:tcW w:w="220" w:type="dxa"/>
            <w:vAlign w:val="bottom"/>
          </w:tcPr>
          <w:p>
            <w:pPr>
              <w:spacing w:after="0"/>
              <w:rPr>
                <w:sz w:val="20"/>
                <w:szCs w:val="20"/>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2.98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3.12</w:t>
            </w:r>
          </w:p>
        </w:tc>
      </w:tr>
      <w:tr>
        <w:trPr>
          <w:trHeight w:val="216"/>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Interest Coverage Ratio (including capitalized interest) </w:t>
            </w:r>
            <w:r>
              <w:rPr>
                <w:rFonts w:ascii="Arial" w:cs="Arial" w:eastAsia="Arial" w:hAnsi="Arial"/>
                <w:sz w:val="18"/>
                <w:szCs w:val="18"/>
                <w:color w:val="auto"/>
                <w:vertAlign w:val="superscript"/>
              </w:rPr>
              <w:t>9</w:t>
            </w:r>
          </w:p>
        </w:tc>
        <w:tc>
          <w:tcPr>
            <w:tcW w:w="220" w:type="dxa"/>
            <w:vAlign w:val="bottom"/>
          </w:tcPr>
          <w:p>
            <w:pPr>
              <w:spacing w:after="0"/>
              <w:rPr>
                <w:sz w:val="18"/>
                <w:szCs w:val="18"/>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2.73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2.87</w:t>
            </w:r>
          </w:p>
        </w:tc>
      </w:tr>
      <w:tr>
        <w:trPr>
          <w:trHeight w:val="216"/>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Fixed Charge Coverage Ratio </w:t>
            </w:r>
            <w:r>
              <w:rPr>
                <w:rFonts w:ascii="Arial" w:cs="Arial" w:eastAsia="Arial" w:hAnsi="Arial"/>
                <w:sz w:val="18"/>
                <w:szCs w:val="18"/>
                <w:color w:val="auto"/>
                <w:vertAlign w:val="superscript"/>
              </w:rPr>
              <w:t>9</w:t>
            </w:r>
          </w:p>
        </w:tc>
        <w:tc>
          <w:tcPr>
            <w:tcW w:w="220" w:type="dxa"/>
            <w:vAlign w:val="bottom"/>
          </w:tcPr>
          <w:p>
            <w:pPr>
              <w:spacing w:after="0"/>
              <w:rPr>
                <w:sz w:val="18"/>
                <w:szCs w:val="18"/>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2.62</w:t>
            </w:r>
          </w:p>
        </w:tc>
      </w:tr>
      <w:tr>
        <w:trPr>
          <w:trHeight w:val="216"/>
        </w:trPr>
        <w:tc>
          <w:tcPr>
            <w:tcW w:w="8360" w:type="dxa"/>
            <w:vAlign w:val="bottom"/>
          </w:tcPr>
          <w:p>
            <w:pPr>
              <w:ind w:left="20"/>
              <w:spacing w:after="0"/>
              <w:rPr>
                <w:sz w:val="20"/>
                <w:szCs w:val="20"/>
                <w:color w:val="auto"/>
              </w:rPr>
            </w:pPr>
            <w:r>
              <w:rPr>
                <w:rFonts w:ascii="Arial" w:cs="Arial" w:eastAsia="Arial" w:hAnsi="Arial"/>
                <w:sz w:val="14"/>
                <w:szCs w:val="14"/>
                <w:color w:val="auto"/>
              </w:rPr>
              <w:t>BXP’s Share of Net Debt to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(Annualized) </w:t>
            </w:r>
            <w:r>
              <w:rPr>
                <w:rFonts w:ascii="Arial" w:cs="Arial" w:eastAsia="Arial" w:hAnsi="Arial"/>
                <w:sz w:val="18"/>
                <w:szCs w:val="18"/>
                <w:color w:val="auto"/>
                <w:vertAlign w:val="superscript"/>
              </w:rPr>
              <w:t>10</w:t>
            </w:r>
          </w:p>
        </w:tc>
        <w:tc>
          <w:tcPr>
            <w:tcW w:w="220" w:type="dxa"/>
            <w:vAlign w:val="bottom"/>
          </w:tcPr>
          <w:p>
            <w:pPr>
              <w:spacing w:after="0"/>
              <w:rPr>
                <w:sz w:val="18"/>
                <w:szCs w:val="18"/>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7.52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7.94</w:t>
            </w:r>
          </w:p>
        </w:tc>
      </w:tr>
      <w:tr>
        <w:trPr>
          <w:trHeight w:val="216"/>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Change in BXP’s Share of Same Property Net Operating Income (NOI) (excluding termination income) </w:t>
            </w:r>
            <w:r>
              <w:rPr>
                <w:rFonts w:ascii="Arial" w:cs="Arial" w:eastAsia="Arial" w:hAnsi="Arial"/>
                <w:sz w:val="18"/>
                <w:szCs w:val="18"/>
                <w:color w:val="auto"/>
                <w:vertAlign w:val="superscript"/>
              </w:rPr>
              <w:t>11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3.4 %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3.5 %</w:t>
            </w:r>
          </w:p>
        </w:tc>
      </w:tr>
      <w:tr>
        <w:trPr>
          <w:trHeight w:val="216"/>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Change in BXP’s Share of Same Property NOI (excluding termination income) - cash </w:t>
            </w:r>
            <w:r>
              <w:rPr>
                <w:rFonts w:ascii="Arial" w:cs="Arial" w:eastAsia="Arial" w:hAnsi="Arial"/>
                <w:sz w:val="18"/>
                <w:szCs w:val="18"/>
                <w:color w:val="auto"/>
                <w:vertAlign w:val="superscript"/>
              </w:rPr>
              <w:t>11</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0.8 %</w:t>
            </w:r>
          </w:p>
        </w:tc>
      </w:tr>
      <w:tr>
        <w:trPr>
          <w:trHeight w:val="218"/>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FAD Payout Ratio </w:t>
            </w:r>
            <w:r>
              <w:rPr>
                <w:rFonts w:ascii="Arial" w:cs="Arial" w:eastAsia="Arial" w:hAnsi="Arial"/>
                <w:sz w:val="18"/>
                <w:szCs w:val="18"/>
                <w:color w:val="auto"/>
                <w:vertAlign w:val="superscript"/>
              </w:rPr>
              <w:t>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76.11 %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87.54 %</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Operating Margins [(rental revenue - rental expense)/rental revenue]</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62.1 %</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61.3 %</w:t>
            </w:r>
          </w:p>
        </w:tc>
      </w:tr>
      <w:tr>
        <w:trPr>
          <w:trHeight w:val="239"/>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Occupancy % of In-Service Properties </w:t>
            </w:r>
            <w:r>
              <w:rPr>
                <w:rFonts w:ascii="Arial" w:cs="Arial" w:eastAsia="Arial" w:hAnsi="Arial"/>
                <w:sz w:val="18"/>
                <w:szCs w:val="18"/>
                <w:color w:val="auto"/>
                <w:vertAlign w:val="superscript"/>
              </w:rPr>
              <w:t>12</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89.4 %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88.4 %</w:t>
            </w:r>
          </w:p>
        </w:tc>
      </w:tr>
      <w:tr>
        <w:trPr>
          <w:trHeight w:val="250"/>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Leased % of In-Service Properties </w:t>
            </w:r>
            <w:r>
              <w:rPr>
                <w:rFonts w:ascii="Arial" w:cs="Arial" w:eastAsia="Arial" w:hAnsi="Arial"/>
                <w:sz w:val="18"/>
                <w:szCs w:val="18"/>
                <w:color w:val="auto"/>
                <w:vertAlign w:val="superscript"/>
              </w:rPr>
              <w:t>13</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91.9 %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91.3 %</w:t>
            </w:r>
          </w:p>
        </w:tc>
      </w:tr>
      <w:tr>
        <w:trPr>
          <w:trHeight w:val="273"/>
        </w:trPr>
        <w:tc>
          <w:tcPr>
            <w:tcW w:w="8360" w:type="dxa"/>
            <w:vAlign w:val="bottom"/>
          </w:tcPr>
          <w:p>
            <w:pPr>
              <w:ind w:left="20"/>
              <w:spacing w:after="0"/>
              <w:rPr>
                <w:sz w:val="20"/>
                <w:szCs w:val="20"/>
                <w:color w:val="auto"/>
              </w:rPr>
            </w:pPr>
            <w:r>
              <w:rPr>
                <w:rFonts w:ascii="Arial" w:cs="Arial" w:eastAsia="Arial" w:hAnsi="Arial"/>
                <w:sz w:val="14"/>
                <w:szCs w:val="14"/>
                <w:b w:val="1"/>
                <w:bCs w:val="1"/>
                <w:color w:val="auto"/>
              </w:rPr>
              <w:t>Capitalization:</w:t>
            </w: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10"/>
        </w:trPr>
        <w:tc>
          <w:tcPr>
            <w:tcW w:w="8360" w:type="dxa"/>
            <w:vAlign w:val="bottom"/>
          </w:tcPr>
          <w:p>
            <w:pPr>
              <w:ind w:left="20"/>
              <w:spacing w:after="0"/>
              <w:rPr>
                <w:sz w:val="20"/>
                <w:szCs w:val="20"/>
                <w:color w:val="auto"/>
              </w:rPr>
            </w:pPr>
            <w:r>
              <w:rPr>
                <w:rFonts w:ascii="Arial" w:cs="Arial" w:eastAsia="Arial" w:hAnsi="Arial"/>
                <w:sz w:val="14"/>
                <w:szCs w:val="14"/>
                <w:color w:val="auto"/>
              </w:rPr>
              <w:t>Consolidated Debt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16,590,522</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15,618,563</w:t>
            </w:r>
          </w:p>
        </w:tc>
      </w:tr>
      <w:tr>
        <w:trPr>
          <w:trHeight w:val="242"/>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BXP’s Share of Debt </w:t>
            </w:r>
            <w:r>
              <w:rPr>
                <w:rFonts w:ascii="Arial" w:cs="Arial" w:eastAsia="Arial" w:hAnsi="Arial"/>
                <w:sz w:val="18"/>
                <w:szCs w:val="18"/>
                <w:color w:val="auto"/>
                <w:vertAlign w:val="superscript"/>
              </w:rPr>
              <w:t>14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16,325,843</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15,355,350</w:t>
            </w:r>
          </w:p>
        </w:tc>
      </w:tr>
      <w:tr>
        <w:trPr>
          <w:trHeight w:val="190"/>
        </w:trPr>
        <w:tc>
          <w:tcPr>
            <w:tcW w:w="8360" w:type="dxa"/>
            <w:vAlign w:val="bottom"/>
          </w:tcPr>
          <w:p>
            <w:pPr>
              <w:ind w:left="20"/>
              <w:spacing w:after="0"/>
              <w:rPr>
                <w:sz w:val="20"/>
                <w:szCs w:val="20"/>
                <w:color w:val="auto"/>
              </w:rPr>
            </w:pPr>
            <w:r>
              <w:rPr>
                <w:rFonts w:ascii="Arial" w:cs="Arial" w:eastAsia="Arial" w:hAnsi="Arial"/>
                <w:sz w:val="14"/>
                <w:szCs w:val="14"/>
                <w:color w:val="auto"/>
              </w:rPr>
              <w:t>Consolidated Market Capitalization</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27,437,364</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27,388,124</w:t>
            </w:r>
          </w:p>
        </w:tc>
      </w:tr>
      <w:tr>
        <w:trPr>
          <w:trHeight w:val="216"/>
        </w:trPr>
        <w:tc>
          <w:tcPr>
            <w:tcW w:w="8360" w:type="dxa"/>
            <w:vAlign w:val="bottom"/>
          </w:tcPr>
          <w:p>
            <w:pPr>
              <w:ind w:left="20"/>
              <w:spacing w:after="0"/>
              <w:rPr>
                <w:sz w:val="20"/>
                <w:szCs w:val="20"/>
                <w:color w:val="auto"/>
              </w:rPr>
            </w:pPr>
            <w:r>
              <w:rPr>
                <w:rFonts w:ascii="Arial" w:cs="Arial" w:eastAsia="Arial" w:hAnsi="Arial"/>
                <w:sz w:val="14"/>
                <w:szCs w:val="14"/>
                <w:color w:val="auto"/>
              </w:rPr>
              <w:t>Consolidated Debt/Consolidated Market Capitalization</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60.47 %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57.03 %</w:t>
            </w:r>
          </w:p>
        </w:tc>
      </w:tr>
      <w:tr>
        <w:trPr>
          <w:trHeight w:val="239"/>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BXP’s Share of Market Capitalization </w:t>
            </w:r>
            <w:r>
              <w:rPr>
                <w:rFonts w:ascii="Arial" w:cs="Arial" w:eastAsia="Arial" w:hAnsi="Arial"/>
                <w:sz w:val="18"/>
                <w:szCs w:val="18"/>
                <w:color w:val="auto"/>
                <w:vertAlign w:val="superscript"/>
              </w:rPr>
              <w:t>14</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27,172,685</w:t>
            </w:r>
          </w:p>
        </w:tc>
        <w:tc>
          <w:tcPr>
            <w:tcW w:w="3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27,124,911</w:t>
            </w:r>
          </w:p>
        </w:tc>
      </w:tr>
      <w:tr>
        <w:trPr>
          <w:trHeight w:val="250"/>
        </w:trPr>
        <w:tc>
          <w:tcPr>
            <w:tcW w:w="8360" w:type="dxa"/>
            <w:vAlign w:val="bottom"/>
          </w:tcPr>
          <w:p>
            <w:pPr>
              <w:ind w:left="20"/>
              <w:spacing w:after="0"/>
              <w:rPr>
                <w:sz w:val="20"/>
                <w:szCs w:val="20"/>
                <w:color w:val="auto"/>
              </w:rPr>
            </w:pPr>
            <w:r>
              <w:rPr>
                <w:rFonts w:ascii="Arial" w:cs="Arial" w:eastAsia="Arial" w:hAnsi="Arial"/>
                <w:sz w:val="14"/>
                <w:szCs w:val="14"/>
                <w:color w:val="auto"/>
              </w:rPr>
              <w:t xml:space="preserve">BXP’s Share of Debt/BXP’s Share of Market Capitalization </w:t>
            </w:r>
            <w:r>
              <w:rPr>
                <w:rFonts w:ascii="Arial" w:cs="Arial" w:eastAsia="Arial" w:hAnsi="Arial"/>
                <w:sz w:val="18"/>
                <w:szCs w:val="18"/>
                <w:color w:val="auto"/>
                <w:vertAlign w:val="superscript"/>
              </w:rPr>
              <w:t>14</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60.08 %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56.61 %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85725</wp:posOffset>
            </wp:positionH>
            <wp:positionV relativeFrom="paragraph">
              <wp:posOffset>-7128510</wp:posOffset>
            </wp:positionV>
            <wp:extent cx="25717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ind w:left="73"/>
        <w:spacing w:after="0"/>
        <w:rPr>
          <w:sz w:val="20"/>
          <w:szCs w:val="20"/>
          <w:color w:val="auto"/>
        </w:rPr>
      </w:pPr>
      <w:r>
        <w:rPr>
          <w:rFonts w:ascii="Arial" w:cs="Arial" w:eastAsia="Arial" w:hAnsi="Arial"/>
          <w:sz w:val="13"/>
          <w:szCs w:val="13"/>
          <w:color w:val="auto"/>
        </w:rPr>
        <w:t>_____________</w:t>
      </w:r>
    </w:p>
    <w:p>
      <w:pPr>
        <w:spacing w:after="0" w:line="20" w:lineRule="exact"/>
        <w:rPr>
          <w:sz w:val="20"/>
          <w:szCs w:val="20"/>
          <w:color w:val="auto"/>
        </w:rPr>
      </w:pPr>
    </w:p>
    <w:p>
      <w:pPr>
        <w:ind w:left="153" w:hanging="72"/>
        <w:spacing w:after="0"/>
        <w:tabs>
          <w:tab w:leader="none" w:pos="15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of FFO attributable to BXP, Inc. and Diluted FFO per share, see page 7.</w:t>
      </w:r>
    </w:p>
    <w:p>
      <w:pPr>
        <w:spacing w:after="0" w:line="31" w:lineRule="exact"/>
        <w:rPr>
          <w:sz w:val="20"/>
          <w:szCs w:val="20"/>
          <w:color w:val="auto"/>
        </w:rPr>
      </w:pPr>
    </w:p>
    <w:p>
      <w:pPr>
        <w:ind w:left="153" w:right="440" w:hanging="72"/>
        <w:spacing w:after="0" w:line="226" w:lineRule="auto"/>
        <w:tabs>
          <w:tab w:leader="none" w:pos="151"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For a quantitative reconciliation of FAD, see page 8. FAD Payout Ratio equals distributions to common shareholders and unitholders (excluding any special distributions) divided by FAD.</w:t>
      </w:r>
    </w:p>
    <w:p>
      <w:pPr>
        <w:ind w:left="153" w:hanging="72"/>
        <w:spacing w:after="0" w:line="237" w:lineRule="auto"/>
        <w:tabs>
          <w:tab w:leader="none" w:pos="153"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56.</w:t>
      </w:r>
    </w:p>
    <w:p>
      <w:pPr>
        <w:spacing w:after="0" w:line="27" w:lineRule="exact"/>
        <w:rPr>
          <w:sz w:val="20"/>
          <w:szCs w:val="20"/>
          <w:color w:val="auto"/>
        </w:rPr>
      </w:pPr>
    </w:p>
    <w:p>
      <w:pPr>
        <w:ind w:left="153" w:hanging="72"/>
        <w:spacing w:after="0"/>
        <w:tabs>
          <w:tab w:leader="none" w:pos="153" w:val="left"/>
        </w:tabs>
        <w:numPr>
          <w:ilvl w:val="0"/>
          <w:numId w:val="12"/>
        </w:numPr>
        <w:rPr>
          <w:rFonts w:ascii="Arial" w:cs="Arial" w:eastAsia="Arial" w:hAnsi="Arial"/>
          <w:sz w:val="9"/>
          <w:szCs w:val="9"/>
          <w:color w:val="auto"/>
        </w:rPr>
      </w:pPr>
      <w:r>
        <w:rPr>
          <w:rFonts w:ascii="Arial" w:cs="Arial" w:eastAsia="Arial" w:hAnsi="Arial"/>
          <w:sz w:val="14"/>
          <w:szCs w:val="14"/>
          <w:color w:val="auto"/>
        </w:rPr>
        <w:t>Represents the net adjustment for above- and below-market leases that are amortized over the terms of the respective leases in place at the property acquisition dates.</w:t>
      </w:r>
    </w:p>
    <w:p>
      <w:pPr>
        <w:spacing w:after="0" w:line="38" w:lineRule="exact"/>
        <w:rPr>
          <w:rFonts w:ascii="Arial" w:cs="Arial" w:eastAsia="Arial" w:hAnsi="Arial"/>
          <w:sz w:val="9"/>
          <w:szCs w:val="9"/>
          <w:color w:val="auto"/>
        </w:rPr>
      </w:pPr>
    </w:p>
    <w:p>
      <w:pPr>
        <w:ind w:left="73" w:right="2980"/>
        <w:spacing w:after="0" w:line="283" w:lineRule="auto"/>
        <w:rPr>
          <w:rFonts w:ascii="Arial" w:cs="Arial" w:eastAsia="Arial" w:hAnsi="Arial"/>
          <w:sz w:val="9"/>
          <w:szCs w:val="9"/>
          <w:color w:val="auto"/>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For the three months ended September 30, 2026, includes approximately $2.4 million of amortization of deferred financing costs. </w:t>
      </w:r>
      <w:r>
        <w:rPr>
          <w:rFonts w:ascii="Arial" w:cs="Arial" w:eastAsia="Arial" w:hAnsi="Arial"/>
          <w:sz w:val="18"/>
          <w:szCs w:val="18"/>
          <w:color w:val="auto"/>
          <w:vertAlign w:val="superscript"/>
        </w:rPr>
        <w:t>6</w:t>
      </w:r>
      <w:r>
        <w:rPr>
          <w:rFonts w:ascii="Arial" w:cs="Arial" w:eastAsia="Arial" w:hAnsi="Arial"/>
          <w:sz w:val="14"/>
          <w:szCs w:val="14"/>
          <w:color w:val="auto"/>
        </w:rPr>
        <w:t xml:space="preserve"> For the three months ended June 30, 2026, amount includes gains on sales of approximately $1.2 million.</w:t>
      </w:r>
    </w:p>
    <w:p>
      <w:pPr>
        <w:spacing w:after="0" w:line="1" w:lineRule="exact"/>
        <w:rPr>
          <w:rFonts w:ascii="Arial" w:cs="Arial" w:eastAsia="Arial" w:hAnsi="Arial"/>
          <w:sz w:val="9"/>
          <w:szCs w:val="9"/>
          <w:color w:val="auto"/>
        </w:rPr>
      </w:pPr>
    </w:p>
    <w:p>
      <w:pPr>
        <w:ind w:left="73"/>
        <w:spacing w:after="0" w:line="234" w:lineRule="auto"/>
        <w:rPr>
          <w:rFonts w:ascii="Arial" w:cs="Arial" w:eastAsia="Arial" w:hAnsi="Arial"/>
          <w:sz w:val="9"/>
          <w:szCs w:val="9"/>
          <w:color w:val="auto"/>
        </w:rPr>
      </w:pPr>
      <w:r>
        <w:rPr>
          <w:rFonts w:ascii="Arial" w:cs="Arial" w:eastAsia="Arial" w:hAnsi="Arial"/>
          <w:sz w:val="18"/>
          <w:szCs w:val="18"/>
          <w:color w:val="auto"/>
          <w:vertAlign w:val="superscript"/>
        </w:rPr>
        <w:t>7</w:t>
      </w:r>
      <w:r>
        <w:rPr>
          <w:rFonts w:ascii="Arial" w:cs="Arial" w:eastAsia="Arial" w:hAnsi="Arial"/>
          <w:sz w:val="14"/>
          <w:szCs w:val="14"/>
          <w:color w:val="auto"/>
        </w:rPr>
        <w:t xml:space="preserve"> For a quantitative reconciliation for the three months ended September 30, 2026, see page 37.</w:t>
      </w:r>
    </w:p>
    <w:p>
      <w:pPr>
        <w:ind w:left="73"/>
        <w:spacing w:after="0"/>
        <w:rPr>
          <w:rFonts w:ascii="Arial" w:cs="Arial" w:eastAsia="Arial" w:hAnsi="Arial"/>
          <w:sz w:val="9"/>
          <w:szCs w:val="9"/>
          <w:color w:val="auto"/>
        </w:rPr>
      </w:pPr>
      <w:r>
        <w:rPr>
          <w:rFonts w:ascii="Arial" w:cs="Arial" w:eastAsia="Arial" w:hAnsi="Arial"/>
          <w:sz w:val="18"/>
          <w:szCs w:val="18"/>
          <w:color w:val="auto"/>
          <w:vertAlign w:val="superscript"/>
        </w:rPr>
        <w:t>8</w:t>
      </w:r>
      <w:r>
        <w:rPr>
          <w:rFonts w:ascii="Arial" w:cs="Arial" w:eastAsia="Arial" w:hAnsi="Arial"/>
          <w:sz w:val="14"/>
          <w:szCs w:val="14"/>
          <w:color w:val="auto"/>
        </w:rPr>
        <w:t xml:space="preserve"> For a quantitative reconciliation for the three months ended September 30, 2026, see page 34.</w:t>
      </w:r>
    </w:p>
    <w:p>
      <w:pPr>
        <w:spacing w:after="0" w:line="9" w:lineRule="exact"/>
        <w:rPr>
          <w:rFonts w:ascii="Arial" w:cs="Arial" w:eastAsia="Arial" w:hAnsi="Arial"/>
          <w:sz w:val="9"/>
          <w:szCs w:val="9"/>
          <w:color w:val="auto"/>
        </w:rPr>
      </w:pPr>
    </w:p>
    <w:p>
      <w:pPr>
        <w:ind w:left="73"/>
        <w:spacing w:after="0" w:line="225" w:lineRule="auto"/>
        <w:rPr>
          <w:rFonts w:ascii="Arial" w:cs="Arial" w:eastAsia="Arial" w:hAnsi="Arial"/>
          <w:sz w:val="9"/>
          <w:szCs w:val="9"/>
          <w:color w:val="auto"/>
        </w:rPr>
      </w:pPr>
      <w:r>
        <w:rPr>
          <w:rFonts w:ascii="Arial" w:cs="Arial" w:eastAsia="Arial" w:hAnsi="Arial"/>
          <w:sz w:val="18"/>
          <w:szCs w:val="18"/>
          <w:color w:val="auto"/>
          <w:vertAlign w:val="superscript"/>
        </w:rPr>
        <w:t>9</w:t>
      </w:r>
      <w:r>
        <w:rPr>
          <w:rFonts w:ascii="Arial" w:cs="Arial" w:eastAsia="Arial" w:hAnsi="Arial"/>
          <w:sz w:val="14"/>
          <w:szCs w:val="14"/>
          <w:color w:val="auto"/>
        </w:rPr>
        <w:t xml:space="preserve"> For a quantitative reconciliation for the three months ended September 30, 2026 and June 30, 2026, see page 32.</w:t>
      </w:r>
    </w:p>
    <w:p>
      <w:pPr>
        <w:ind w:left="153" w:hanging="153"/>
        <w:spacing w:after="0" w:line="202" w:lineRule="auto"/>
        <w:tabs>
          <w:tab w:leader="none" w:pos="153"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for the three months ended September 30, 2026 and June 30, 2026, see page 31.</w:t>
      </w:r>
    </w:p>
    <w:p>
      <w:pPr>
        <w:spacing w:after="0" w:line="27" w:lineRule="exact"/>
        <w:rPr>
          <w:rFonts w:ascii="Arial" w:cs="Arial" w:eastAsia="Arial" w:hAnsi="Arial"/>
          <w:sz w:val="19"/>
          <w:szCs w:val="19"/>
          <w:color w:val="auto"/>
          <w:vertAlign w:val="superscript"/>
        </w:rPr>
      </w:pPr>
    </w:p>
    <w:p>
      <w:pPr>
        <w:ind w:left="153" w:hanging="153"/>
        <w:spacing w:after="0"/>
        <w:tabs>
          <w:tab w:leader="none" w:pos="153" w:val="left"/>
        </w:tabs>
        <w:numPr>
          <w:ilvl w:val="0"/>
          <w:numId w:val="13"/>
        </w:numPr>
        <w:rPr>
          <w:rFonts w:ascii="Arial" w:cs="Arial" w:eastAsia="Arial" w:hAnsi="Arial"/>
          <w:sz w:val="9"/>
          <w:szCs w:val="9"/>
          <w:color w:val="auto"/>
        </w:rPr>
      </w:pPr>
      <w:r>
        <w:rPr>
          <w:rFonts w:ascii="Arial" w:cs="Arial" w:eastAsia="Arial" w:hAnsi="Arial"/>
          <w:sz w:val="14"/>
          <w:szCs w:val="14"/>
          <w:color w:val="auto"/>
        </w:rPr>
        <w:t>For a quantitative reconciliation for the three months ended September 30, 2026 and June 30, 2026, see pages 11, 66 and 67.</w:t>
      </w:r>
    </w:p>
    <w:p>
      <w:pPr>
        <w:sectPr>
          <w:pgSz w:w="11900" w:h="16838" w:orient="portrait"/>
          <w:cols w:equalWidth="0" w:num="1">
            <w:col w:w="11313"/>
          </w:cols>
          <w:pgMar w:left="247" w:top="279"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11233"/>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313"/>
          </w:cols>
          <w:pgMar w:left="247" w:top="279" w:right="339" w:bottom="1440" w:gutter="0" w:footer="0" w:header="0"/>
          <w:type w:val="continuous"/>
        </w:sectPr>
      </w:pPr>
    </w:p>
    <w:bookmarkStart w:id="11" w:name="page12"/>
    <w:bookmarkEnd w:id="11"/>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-61595</wp:posOffset>
            </wp:positionV>
            <wp:extent cx="25717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Financial highlights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32385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60" w:hanging="153"/>
        <w:spacing w:after="0"/>
        <w:tabs>
          <w:tab w:leader="none" w:pos="16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Represents signed leases for which revenue recognition has commenced in accordance with GAAP. Excludes hotel and residential properties.</w:t>
      </w:r>
    </w:p>
    <w:p>
      <w:pPr>
        <w:spacing w:after="0" w:line="26" w:lineRule="exact"/>
        <w:rPr>
          <w:rFonts w:ascii="Arial" w:cs="Arial" w:eastAsia="Arial" w:hAnsi="Arial"/>
          <w:sz w:val="19"/>
          <w:szCs w:val="19"/>
          <w:color w:val="auto"/>
          <w:vertAlign w:val="superscript"/>
        </w:rPr>
      </w:pPr>
    </w:p>
    <w:p>
      <w:pPr>
        <w:ind w:left="160" w:right="320" w:hanging="153"/>
        <w:spacing w:after="0" w:line="222" w:lineRule="auto"/>
        <w:tabs>
          <w:tab w:leader="none" w:pos="156"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Represents signed leases for which revenue recognition has commenced in accordance with GAAP and signed leases for vacant space with future commencement dates. Excludes hotel and residential properties.</w:t>
      </w:r>
    </w:p>
    <w:p>
      <w:pPr>
        <w:ind w:left="160" w:hanging="153"/>
        <w:spacing w:after="0" w:line="222" w:lineRule="auto"/>
        <w:tabs>
          <w:tab w:leader="none" w:pos="16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for September 30, 2026, see page 28.</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320"/>
          </w:cols>
          <w:pgMar w:left="240" w:top="279" w:right="339" w:bottom="1440" w:gutter="0" w:footer="0" w:header="0"/>
        </w:sectPr>
      </w:pPr>
    </w:p>
    <w:bookmarkStart w:id="12" w:name="page13"/>
    <w:bookmarkEnd w:id="12"/>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20"/>
                <w:szCs w:val="20"/>
                <w:color w:val="auto"/>
              </w:rPr>
            </w:pPr>
            <w:r>
              <w:rPr>
                <w:rFonts w:ascii="Arial" w:cs="Arial" w:eastAsia="Arial" w:hAnsi="Arial"/>
                <w:sz w:val="14"/>
                <w:szCs w:val="14"/>
                <w:color w:val="auto"/>
              </w:rPr>
              <w:t>(unaudited and in thousands)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8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30-Sep-26</w:t>
            </w:r>
          </w:p>
        </w:tc>
        <w:tc>
          <w:tcPr>
            <w:tcW w:w="180" w:type="dxa"/>
            <w:vAlign w:val="bottom"/>
          </w:tcPr>
          <w:p>
            <w:pPr>
              <w:spacing w:after="0"/>
              <w:rPr>
                <w:sz w:val="24"/>
                <w:szCs w:val="24"/>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30-Jun-26</w:t>
            </w:r>
          </w:p>
        </w:tc>
        <w:tc>
          <w:tcPr>
            <w:tcW w:w="0" w:type="dxa"/>
            <w:vAlign w:val="bottom"/>
          </w:tcPr>
          <w:p>
            <w:pPr>
              <w:spacing w:after="0"/>
              <w:rPr>
                <w:sz w:val="1"/>
                <w:szCs w:val="1"/>
                <w:color w:val="auto"/>
              </w:rPr>
            </w:pPr>
          </w:p>
        </w:tc>
      </w:tr>
      <w:tr>
        <w:trPr>
          <w:trHeight w:val="196"/>
        </w:trPr>
        <w:tc>
          <w:tcPr>
            <w:tcW w:w="872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4"/>
                <w:szCs w:val="14"/>
                <w:color w:val="auto"/>
              </w:rPr>
              <w:t>Real estate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27,106,552</w:t>
            </w:r>
          </w:p>
        </w:tc>
        <w:tc>
          <w:tcPr>
            <w:tcW w:w="2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27,132,125</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1,128,313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975,361</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4"/>
                <w:szCs w:val="14"/>
                <w:color w:val="auto"/>
              </w:rPr>
              <w:t>Land held for future development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503,648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499,424</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4"/>
                <w:szCs w:val="14"/>
                <w:color w:val="auto"/>
              </w:rPr>
              <w:t>Right of use assets - finance leases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372,619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371,889</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4"/>
                <w:szCs w:val="14"/>
                <w:color w:val="auto"/>
              </w:rPr>
              <w:t>Right of use assets - operating leases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285,912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290,726</w:t>
            </w:r>
          </w:p>
        </w:tc>
        <w:tc>
          <w:tcPr>
            <w:tcW w:w="0" w:type="dxa"/>
            <w:vAlign w:val="bottom"/>
          </w:tcPr>
          <w:p>
            <w:pPr>
              <w:spacing w:after="0"/>
              <w:rPr>
                <w:sz w:val="1"/>
                <w:szCs w:val="1"/>
                <w:color w:val="auto"/>
              </w:rPr>
            </w:pPr>
          </w:p>
        </w:tc>
      </w:tr>
      <w:tr>
        <w:trPr>
          <w:trHeight w:val="220"/>
        </w:trPr>
        <w:tc>
          <w:tcPr>
            <w:tcW w:w="8720" w:type="dxa"/>
            <w:vAlign w:val="bottom"/>
          </w:tcPr>
          <w:p>
            <w:pPr>
              <w:ind w:left="360"/>
              <w:spacing w:after="0"/>
              <w:rPr>
                <w:sz w:val="20"/>
                <w:szCs w:val="20"/>
                <w:color w:val="auto"/>
              </w:rPr>
            </w:pPr>
            <w:r>
              <w:rPr>
                <w:rFonts w:ascii="Arial" w:cs="Arial" w:eastAsia="Arial" w:hAnsi="Arial"/>
                <w:sz w:val="14"/>
                <w:szCs w:val="14"/>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(8,319,577)</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(8,277,690)</w:t>
            </w:r>
          </w:p>
        </w:tc>
        <w:tc>
          <w:tcPr>
            <w:tcW w:w="0" w:type="dxa"/>
            <w:vAlign w:val="bottom"/>
          </w:tcPr>
          <w:p>
            <w:pPr>
              <w:spacing w:after="0"/>
              <w:rPr>
                <w:sz w:val="1"/>
                <w:szCs w:val="1"/>
                <w:color w:val="auto"/>
              </w:rPr>
            </w:pPr>
          </w:p>
        </w:tc>
      </w:tr>
      <w:tr>
        <w:trPr>
          <w:trHeight w:val="205"/>
        </w:trPr>
        <w:tc>
          <w:tcPr>
            <w:tcW w:w="8720" w:type="dxa"/>
            <w:vAlign w:val="bottom"/>
          </w:tcPr>
          <w:p>
            <w:pPr>
              <w:ind w:left="680"/>
              <w:spacing w:after="0"/>
              <w:rPr>
                <w:sz w:val="20"/>
                <w:szCs w:val="20"/>
                <w:color w:val="auto"/>
              </w:rPr>
            </w:pPr>
            <w:r>
              <w:rPr>
                <w:rFonts w:ascii="Arial" w:cs="Arial" w:eastAsia="Arial" w:hAnsi="Arial"/>
                <w:sz w:val="14"/>
                <w:szCs w:val="14"/>
                <w:color w:val="auto"/>
              </w:rPr>
              <w:t>Total real estate</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21,077,467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20,991,835</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1,471,631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493,949</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4"/>
                <w:szCs w:val="14"/>
                <w:color w:val="auto"/>
              </w:rPr>
              <w:t>Cash held in escrows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59,514</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4"/>
                <w:szCs w:val="14"/>
                <w:color w:val="auto"/>
              </w:rPr>
              <w:t>Investments in securities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45,932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46,526</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4"/>
                <w:szCs w:val="14"/>
                <w:color w:val="auto"/>
              </w:rPr>
              <w:t>Tenant and other receivables,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92,300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90,679</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4"/>
                <w:szCs w:val="14"/>
                <w:color w:val="auto"/>
              </w:rPr>
              <w:t>Note receivable,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12,495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12,185</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4"/>
                <w:szCs w:val="14"/>
                <w:color w:val="auto"/>
              </w:rPr>
              <w:t>Related party notes receivable,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28,166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35,337</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4"/>
                <w:szCs w:val="14"/>
                <w:color w:val="auto"/>
              </w:rPr>
              <w:t>Sales-type lease receivable,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16,332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16,170</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4"/>
                <w:szCs w:val="14"/>
                <w:color w:val="auto"/>
              </w:rPr>
              <w:t>Accrued rental income,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1,599,110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1,573,959</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4"/>
                <w:szCs w:val="14"/>
                <w:color w:val="auto"/>
              </w:rPr>
              <w:t>Deferred charges,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843,151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848,273</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4"/>
                <w:szCs w:val="14"/>
                <w:color w:val="auto"/>
              </w:rPr>
              <w:t>Prepaid expenses and other assets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193,572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122,830</w:t>
            </w: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4"/>
                <w:szCs w:val="14"/>
                <w:color w:val="auto"/>
              </w:rPr>
              <w:t>Investments in unconsolidated joint ventures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831,228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820,068</w:t>
            </w:r>
          </w:p>
        </w:tc>
        <w:tc>
          <w:tcPr>
            <w:tcW w:w="0" w:type="dxa"/>
            <w:vAlign w:val="bottom"/>
          </w:tcPr>
          <w:p>
            <w:pPr>
              <w:spacing w:after="0"/>
              <w:rPr>
                <w:sz w:val="1"/>
                <w:szCs w:val="1"/>
                <w:color w:val="auto"/>
              </w:rPr>
            </w:pPr>
          </w:p>
        </w:tc>
      </w:tr>
      <w:tr>
        <w:trPr>
          <w:trHeight w:val="220"/>
        </w:trPr>
        <w:tc>
          <w:tcPr>
            <w:tcW w:w="8720" w:type="dxa"/>
            <w:vAlign w:val="bottom"/>
          </w:tcPr>
          <w:p>
            <w:pPr>
              <w:ind w:left="20"/>
              <w:spacing w:after="0"/>
              <w:rPr>
                <w:sz w:val="20"/>
                <w:szCs w:val="20"/>
                <w:color w:val="auto"/>
              </w:rPr>
            </w:pPr>
            <w:r>
              <w:rPr>
                <w:rFonts w:ascii="Arial" w:cs="Arial" w:eastAsia="Arial" w:hAnsi="Arial"/>
                <w:sz w:val="14"/>
                <w:szCs w:val="14"/>
                <w:color w:val="auto"/>
              </w:rPr>
              <w:t>Assets held for sale</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10,425</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62,544</w:t>
            </w:r>
          </w:p>
        </w:tc>
        <w:tc>
          <w:tcPr>
            <w:tcW w:w="0" w:type="dxa"/>
            <w:vAlign w:val="bottom"/>
          </w:tcPr>
          <w:p>
            <w:pPr>
              <w:spacing w:after="0"/>
              <w:rPr>
                <w:sz w:val="1"/>
                <w:szCs w:val="1"/>
                <w:color w:val="auto"/>
              </w:rPr>
            </w:pPr>
          </w:p>
        </w:tc>
      </w:tr>
      <w:tr>
        <w:trPr>
          <w:trHeight w:val="214"/>
        </w:trPr>
        <w:tc>
          <w:tcPr>
            <w:tcW w:w="8720" w:type="dxa"/>
            <w:vAlign w:val="bottom"/>
          </w:tcPr>
          <w:p>
            <w:pPr>
              <w:ind w:left="13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26,271,838</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25,173,869</w:t>
            </w:r>
          </w:p>
        </w:tc>
        <w:tc>
          <w:tcPr>
            <w:tcW w:w="0" w:type="dxa"/>
            <w:vAlign w:val="bottom"/>
          </w:tcPr>
          <w:p>
            <w:pPr>
              <w:spacing w:after="0"/>
              <w:rPr>
                <w:sz w:val="1"/>
                <w:szCs w:val="1"/>
                <w:color w:val="auto"/>
              </w:rPr>
            </w:pPr>
          </w:p>
        </w:tc>
      </w:tr>
      <w:tr>
        <w:trPr>
          <w:trHeight w:val="20"/>
        </w:trPr>
        <w:tc>
          <w:tcPr>
            <w:tcW w:w="8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3"/>
        </w:trPr>
        <w:tc>
          <w:tcPr>
            <w:tcW w:w="8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72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4"/>
                <w:szCs w:val="14"/>
                <w:color w:val="auto"/>
              </w:rPr>
              <w:t>Mortgage notes payable, net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4,309,813</w:t>
            </w:r>
          </w:p>
        </w:tc>
        <w:tc>
          <w:tcPr>
            <w:tcW w:w="2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4,281,198</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4"/>
                <w:szCs w:val="14"/>
                <w:color w:val="auto"/>
              </w:rPr>
              <w:t>Unsecured senior notes,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9,506,144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8,811,158</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4"/>
                <w:szCs w:val="14"/>
                <w:color w:val="auto"/>
              </w:rPr>
              <w:t>Unsecured exchangeable senior notes,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979,894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978,642</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4"/>
                <w:szCs w:val="14"/>
                <w:color w:val="auto"/>
              </w:rPr>
              <w:t>Unsecured line of credit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247,000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4"/>
                <w:szCs w:val="14"/>
                <w:color w:val="auto"/>
              </w:rPr>
              <w:t>Unsecured term loans, net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797,671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797,565</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4"/>
                <w:szCs w:val="14"/>
                <w:color w:val="auto"/>
              </w:rPr>
              <w:t>Unsecured commercial paper</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4"/>
                <w:szCs w:val="14"/>
                <w:color w:val="auto"/>
              </w:rPr>
              <w:t>Lease liabilities - finance leases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350,953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353,436</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4"/>
                <w:szCs w:val="14"/>
                <w:color w:val="auto"/>
              </w:rPr>
              <w:t>Lease liabilities - operating leases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384,213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386,487</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4"/>
                <w:szCs w:val="14"/>
                <w:color w:val="auto"/>
              </w:rPr>
              <w:t>Accounts payable and accrued expenses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536,428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474,141</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4"/>
                <w:szCs w:val="14"/>
                <w:color w:val="auto"/>
              </w:rPr>
              <w:t>Dividends and distributions payable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123,849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123,857</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4"/>
                <w:szCs w:val="14"/>
                <w:color w:val="auto"/>
              </w:rPr>
              <w:t>Accrued interest payable</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127,383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109,523</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4"/>
                <w:szCs w:val="14"/>
                <w:color w:val="auto"/>
              </w:rPr>
              <w:t>Other liabilities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346,911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364,082</w:t>
            </w:r>
          </w:p>
        </w:tc>
        <w:tc>
          <w:tcPr>
            <w:tcW w:w="0" w:type="dxa"/>
            <w:vAlign w:val="bottom"/>
          </w:tcPr>
          <w:p>
            <w:pPr>
              <w:spacing w:after="0"/>
              <w:rPr>
                <w:sz w:val="1"/>
                <w:szCs w:val="1"/>
                <w:color w:val="auto"/>
              </w:rPr>
            </w:pPr>
          </w:p>
        </w:tc>
      </w:tr>
      <w:tr>
        <w:trPr>
          <w:trHeight w:val="220"/>
        </w:trPr>
        <w:tc>
          <w:tcPr>
            <w:tcW w:w="8720" w:type="dxa"/>
            <w:vAlign w:val="bottom"/>
          </w:tcPr>
          <w:p>
            <w:pPr>
              <w:ind w:left="360"/>
              <w:spacing w:after="0"/>
              <w:rPr>
                <w:sz w:val="20"/>
                <w:szCs w:val="20"/>
                <w:color w:val="auto"/>
              </w:rPr>
            </w:pPr>
            <w:r>
              <w:rPr>
                <w:rFonts w:ascii="Arial" w:cs="Arial" w:eastAsia="Arial" w:hAnsi="Arial"/>
                <w:sz w:val="14"/>
                <w:szCs w:val="14"/>
                <w:color w:val="auto"/>
              </w:rPr>
              <w:t>Liabilities held for sale</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6,130</w:t>
            </w:r>
          </w:p>
        </w:tc>
        <w:tc>
          <w:tcPr>
            <w:tcW w:w="0" w:type="dxa"/>
            <w:vAlign w:val="bottom"/>
          </w:tcPr>
          <w:p>
            <w:pPr>
              <w:spacing w:after="0"/>
              <w:rPr>
                <w:sz w:val="1"/>
                <w:szCs w:val="1"/>
                <w:color w:val="auto"/>
              </w:rPr>
            </w:pPr>
          </w:p>
        </w:tc>
      </w:tr>
      <w:tr>
        <w:trPr>
          <w:trHeight w:val="205"/>
        </w:trPr>
        <w:tc>
          <w:tcPr>
            <w:tcW w:w="8720" w:type="dxa"/>
            <w:vAlign w:val="bottom"/>
          </w:tcPr>
          <w:p>
            <w:pPr>
              <w:ind w:left="1000"/>
              <w:spacing w:after="0"/>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18,460,370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17,436,219</w:t>
            </w:r>
          </w:p>
        </w:tc>
        <w:tc>
          <w:tcPr>
            <w:tcW w:w="0" w:type="dxa"/>
            <w:vAlign w:val="bottom"/>
          </w:tcPr>
          <w:p>
            <w:pPr>
              <w:spacing w:after="0"/>
              <w:rPr>
                <w:sz w:val="1"/>
                <w:szCs w:val="1"/>
                <w:color w:val="auto"/>
              </w:rPr>
            </w:pPr>
          </w:p>
        </w:tc>
      </w:tr>
      <w:tr>
        <w:trPr>
          <w:trHeight w:val="423"/>
        </w:trPr>
        <w:tc>
          <w:tcPr>
            <w:tcW w:w="8720" w:type="dxa"/>
            <w:vAlign w:val="bottom"/>
          </w:tcPr>
          <w:p>
            <w:pPr>
              <w:ind w:left="20"/>
              <w:spacing w:after="0"/>
              <w:rPr>
                <w:sz w:val="20"/>
                <w:szCs w:val="20"/>
                <w:color w:val="auto"/>
              </w:rPr>
            </w:pPr>
            <w:r>
              <w:rPr>
                <w:rFonts w:ascii="Arial" w:cs="Arial" w:eastAsia="Arial" w:hAnsi="Arial"/>
                <w:sz w:val="14"/>
                <w:szCs w:val="14"/>
                <w:color w:val="auto"/>
              </w:rPr>
              <w:t>Commitments and contingencies</w:t>
            </w:r>
          </w:p>
        </w:tc>
        <w:tc>
          <w:tcPr>
            <w:tcW w:w="180" w:type="dxa"/>
            <w:vAlign w:val="bottom"/>
          </w:tcPr>
          <w:p>
            <w:pPr>
              <w:spacing w:after="0"/>
              <w:rPr>
                <w:sz w:val="24"/>
                <w:szCs w:val="24"/>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8720" w:type="dxa"/>
            <w:vAlign w:val="bottom"/>
          </w:tcPr>
          <w:p>
            <w:pPr>
              <w:ind w:left="20"/>
              <w:spacing w:after="0"/>
              <w:rPr>
                <w:sz w:val="20"/>
                <w:szCs w:val="20"/>
                <w:color w:val="auto"/>
              </w:rPr>
            </w:pPr>
            <w:r>
              <w:rPr>
                <w:rFonts w:ascii="Arial" w:cs="Arial" w:eastAsia="Arial" w:hAnsi="Arial"/>
                <w:sz w:val="14"/>
                <w:szCs w:val="14"/>
                <w:color w:val="auto"/>
              </w:rPr>
              <w:t>Redeemable deferred stock units</w:t>
            </w: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7,577</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7,927</w:t>
            </w:r>
          </w:p>
        </w:tc>
        <w:tc>
          <w:tcPr>
            <w:tcW w:w="0" w:type="dxa"/>
            <w:vAlign w:val="bottom"/>
          </w:tcPr>
          <w:p>
            <w:pPr>
              <w:spacing w:after="0"/>
              <w:rPr>
                <w:sz w:val="1"/>
                <w:szCs w:val="1"/>
                <w:color w:val="auto"/>
              </w:rPr>
            </w:pPr>
          </w:p>
        </w:tc>
      </w:tr>
      <w:tr>
        <w:trPr>
          <w:trHeight w:val="397"/>
        </w:trPr>
        <w:tc>
          <w:tcPr>
            <w:tcW w:w="8720" w:type="dxa"/>
            <w:vAlign w:val="bottom"/>
          </w:tcPr>
          <w:p>
            <w:pPr>
              <w:ind w:left="20"/>
              <w:spacing w:after="0"/>
              <w:rPr>
                <w:sz w:val="20"/>
                <w:szCs w:val="20"/>
                <w:color w:val="auto"/>
              </w:rPr>
            </w:pPr>
            <w:r>
              <w:rPr>
                <w:rFonts w:ascii="Arial" w:cs="Arial" w:eastAsia="Arial" w:hAnsi="Arial"/>
                <w:sz w:val="14"/>
                <w:szCs w:val="14"/>
                <w:color w:val="auto"/>
              </w:rPr>
              <w:t>Equity:</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20"/>
              <w:spacing w:after="0"/>
              <w:rPr>
                <w:sz w:val="20"/>
                <w:szCs w:val="20"/>
                <w:color w:val="auto"/>
              </w:rPr>
            </w:pPr>
            <w:r>
              <w:rPr>
                <w:rFonts w:ascii="Arial" w:cs="Arial" w:eastAsia="Arial" w:hAnsi="Arial"/>
                <w:sz w:val="14"/>
                <w:szCs w:val="14"/>
                <w:color w:val="auto"/>
              </w:rPr>
              <w:t>Stockholders’ equity attributable to BXP, Inc.:</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4"/>
                <w:szCs w:val="14"/>
                <w:color w:val="auto"/>
              </w:rPr>
              <w:t>Excess stock, $0.01 par value, 150,000,000 shares authorized, none issued or outstanding</w:t>
            </w:r>
          </w:p>
        </w:tc>
        <w:tc>
          <w:tcPr>
            <w:tcW w:w="18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4"/>
        </w:trPr>
        <w:tc>
          <w:tcPr>
            <w:tcW w:w="8720" w:type="dxa"/>
            <w:vAlign w:val="bottom"/>
          </w:tcPr>
          <w:p>
            <w:pPr>
              <w:ind w:left="360"/>
              <w:spacing w:after="0"/>
              <w:rPr>
                <w:sz w:val="20"/>
                <w:szCs w:val="20"/>
                <w:color w:val="auto"/>
              </w:rPr>
            </w:pPr>
            <w:r>
              <w:rPr>
                <w:rFonts w:ascii="Arial" w:cs="Arial" w:eastAsia="Arial" w:hAnsi="Arial"/>
                <w:sz w:val="14"/>
                <w:szCs w:val="14"/>
                <w:color w:val="auto"/>
              </w:rPr>
              <w:t>Common stock, $0.01 par value, 250,000,000 shares authorized, 159,751,217 and 159,600,410 issued and 159,672,317 and</w:t>
            </w: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1,597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1,595</w:t>
            </w:r>
          </w:p>
        </w:tc>
        <w:tc>
          <w:tcPr>
            <w:tcW w:w="0" w:type="dxa"/>
            <w:vAlign w:val="bottom"/>
          </w:tcPr>
          <w:p>
            <w:pPr>
              <w:spacing w:after="0"/>
              <w:rPr>
                <w:sz w:val="1"/>
                <w:szCs w:val="1"/>
                <w:color w:val="auto"/>
              </w:rPr>
            </w:pPr>
          </w:p>
        </w:tc>
      </w:tr>
      <w:tr>
        <w:trPr>
          <w:trHeight w:val="190"/>
        </w:trPr>
        <w:tc>
          <w:tcPr>
            <w:tcW w:w="8720" w:type="dxa"/>
            <w:vAlign w:val="bottom"/>
          </w:tcPr>
          <w:p>
            <w:pPr>
              <w:ind w:left="520"/>
              <w:spacing w:after="0"/>
              <w:rPr>
                <w:sz w:val="20"/>
                <w:szCs w:val="20"/>
                <w:color w:val="auto"/>
              </w:rPr>
            </w:pPr>
            <w:r>
              <w:rPr>
                <w:rFonts w:ascii="Arial" w:cs="Arial" w:eastAsia="Arial" w:hAnsi="Arial"/>
                <w:sz w:val="14"/>
                <w:szCs w:val="14"/>
                <w:color w:val="auto"/>
              </w:rPr>
              <w:t>159,521,510 outstanding at September 30, 2026 and June 30, 2026, respectively</w:t>
            </w: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720" w:type="dxa"/>
            <w:vAlign w:val="bottom"/>
          </w:tcPr>
          <w:p>
            <w:pPr>
              <w:ind w:left="36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6,902,261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6,881,671</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4"/>
                <w:szCs w:val="14"/>
                <w:color w:val="auto"/>
              </w:rPr>
              <w:t>Dividends in excess of earnings</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(1,724,898)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(1,727,547)</w:t>
            </w: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4"/>
                <w:szCs w:val="14"/>
                <w:color w:val="auto"/>
              </w:rPr>
              <w:t>Treasury common stock at cost, 78,900 shares at September 30, 2026 and June 30, 2026</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(2,722)</w:t>
            </w:r>
          </w:p>
        </w:tc>
        <w:tc>
          <w:tcPr>
            <w:tcW w:w="0" w:type="dxa"/>
            <w:vAlign w:val="bottom"/>
          </w:tcPr>
          <w:p>
            <w:pPr>
              <w:spacing w:after="0"/>
              <w:rPr>
                <w:sz w:val="1"/>
                <w:szCs w:val="1"/>
                <w:color w:val="auto"/>
              </w:rPr>
            </w:pPr>
          </w:p>
        </w:tc>
      </w:tr>
      <w:tr>
        <w:trPr>
          <w:trHeight w:val="220"/>
        </w:trPr>
        <w:tc>
          <w:tcPr>
            <w:tcW w:w="8720" w:type="dxa"/>
            <w:vAlign w:val="bottom"/>
          </w:tcPr>
          <w:p>
            <w:pPr>
              <w:ind w:left="360"/>
              <w:spacing w:after="0"/>
              <w:rPr>
                <w:sz w:val="20"/>
                <w:szCs w:val="20"/>
                <w:color w:val="auto"/>
              </w:rPr>
            </w:pPr>
            <w:r>
              <w:rPr>
                <w:rFonts w:ascii="Arial" w:cs="Arial" w:eastAsia="Arial" w:hAnsi="Arial"/>
                <w:sz w:val="14"/>
                <w:szCs w:val="14"/>
                <w:color w:val="auto"/>
              </w:rPr>
              <w:t>Accumulated other comprehensive income (loss)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15,265</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2,148</w:t>
            </w:r>
          </w:p>
        </w:tc>
        <w:tc>
          <w:tcPr>
            <w:tcW w:w="0" w:type="dxa"/>
            <w:vAlign w:val="bottom"/>
          </w:tcPr>
          <w:p>
            <w:pPr>
              <w:spacing w:after="0"/>
              <w:rPr>
                <w:sz w:val="1"/>
                <w:szCs w:val="1"/>
                <w:color w:val="auto"/>
              </w:rPr>
            </w:pPr>
          </w:p>
        </w:tc>
      </w:tr>
      <w:tr>
        <w:trPr>
          <w:trHeight w:val="206"/>
        </w:trPr>
        <w:tc>
          <w:tcPr>
            <w:tcW w:w="8720" w:type="dxa"/>
            <w:vAlign w:val="bottom"/>
          </w:tcPr>
          <w:p>
            <w:pPr>
              <w:ind w:left="680"/>
              <w:spacing w:after="0"/>
              <w:rPr>
                <w:sz w:val="20"/>
                <w:szCs w:val="20"/>
                <w:color w:val="auto"/>
              </w:rPr>
            </w:pPr>
            <w:r>
              <w:rPr>
                <w:rFonts w:ascii="Arial" w:cs="Arial" w:eastAsia="Arial" w:hAnsi="Arial"/>
                <w:sz w:val="14"/>
                <w:szCs w:val="14"/>
                <w:color w:val="auto"/>
              </w:rPr>
              <w:t>Total stockholders’ equity attributable to BXP, Inc.</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5,191,503</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5,155,145</w:t>
            </w:r>
          </w:p>
        </w:tc>
        <w:tc>
          <w:tcPr>
            <w:tcW w:w="0" w:type="dxa"/>
            <w:vAlign w:val="bottom"/>
          </w:tcPr>
          <w:p>
            <w:pPr>
              <w:spacing w:after="0"/>
              <w:rPr>
                <w:sz w:val="1"/>
                <w:szCs w:val="1"/>
                <w:color w:val="auto"/>
              </w:rPr>
            </w:pPr>
          </w:p>
        </w:tc>
      </w:tr>
      <w:tr>
        <w:trPr>
          <w:trHeight w:val="418"/>
        </w:trPr>
        <w:tc>
          <w:tcPr>
            <w:tcW w:w="8720" w:type="dxa"/>
            <w:vAlign w:val="bottom"/>
          </w:tcPr>
          <w:p>
            <w:pPr>
              <w:ind w:left="20"/>
              <w:spacing w:after="0"/>
              <w:rPr>
                <w:sz w:val="20"/>
                <w:szCs w:val="20"/>
                <w:color w:val="auto"/>
              </w:rPr>
            </w:pPr>
            <w:r>
              <w:rPr>
                <w:rFonts w:ascii="Arial" w:cs="Arial" w:eastAsia="Arial" w:hAnsi="Arial"/>
                <w:sz w:val="14"/>
                <w:szCs w:val="14"/>
                <w:color w:val="auto"/>
              </w:rPr>
              <w:t>Noncontrolling interests: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4"/>
                <w:szCs w:val="14"/>
                <w:color w:val="auto"/>
              </w:rPr>
              <w:t>Common units of the Operating Partnership</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555,123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555,763</w:t>
            </w:r>
          </w:p>
        </w:tc>
        <w:tc>
          <w:tcPr>
            <w:tcW w:w="0" w:type="dxa"/>
            <w:vAlign w:val="bottom"/>
          </w:tcPr>
          <w:p>
            <w:pPr>
              <w:spacing w:after="0"/>
              <w:rPr>
                <w:sz w:val="1"/>
                <w:szCs w:val="1"/>
                <w:color w:val="auto"/>
              </w:rPr>
            </w:pPr>
          </w:p>
        </w:tc>
      </w:tr>
      <w:tr>
        <w:trPr>
          <w:trHeight w:val="220"/>
        </w:trPr>
        <w:tc>
          <w:tcPr>
            <w:tcW w:w="8720" w:type="dxa"/>
            <w:vAlign w:val="bottom"/>
          </w:tcPr>
          <w:p>
            <w:pPr>
              <w:ind w:left="360"/>
              <w:spacing w:after="0"/>
              <w:rPr>
                <w:sz w:val="20"/>
                <w:szCs w:val="20"/>
                <w:color w:val="auto"/>
              </w:rPr>
            </w:pPr>
            <w:r>
              <w:rPr>
                <w:rFonts w:ascii="Arial" w:cs="Arial" w:eastAsia="Arial" w:hAnsi="Arial"/>
                <w:sz w:val="14"/>
                <w:szCs w:val="14"/>
                <w:color w:val="auto"/>
              </w:rPr>
              <w:t>Property partnerships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2,057,265</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2,018,815</w:t>
            </w:r>
          </w:p>
        </w:tc>
        <w:tc>
          <w:tcPr>
            <w:tcW w:w="0" w:type="dxa"/>
            <w:vAlign w:val="bottom"/>
          </w:tcPr>
          <w:p>
            <w:pPr>
              <w:spacing w:after="0"/>
              <w:rPr>
                <w:sz w:val="1"/>
                <w:szCs w:val="1"/>
                <w:color w:val="auto"/>
              </w:rPr>
            </w:pPr>
          </w:p>
        </w:tc>
      </w:tr>
      <w:tr>
        <w:trPr>
          <w:trHeight w:val="209"/>
        </w:trPr>
        <w:tc>
          <w:tcPr>
            <w:tcW w:w="8720" w:type="dxa"/>
            <w:vAlign w:val="bottom"/>
          </w:tcPr>
          <w:p>
            <w:pPr>
              <w:ind w:left="1000"/>
              <w:spacing w:after="0"/>
              <w:rPr>
                <w:sz w:val="20"/>
                <w:szCs w:val="20"/>
                <w:color w:val="auto"/>
              </w:rPr>
            </w:pPr>
            <w:r>
              <w:rPr>
                <w:rFonts w:ascii="Arial" w:cs="Arial" w:eastAsia="Arial" w:hAnsi="Arial"/>
                <w:sz w:val="14"/>
                <w:szCs w:val="14"/>
                <w:color w:val="auto"/>
              </w:rPr>
              <w:t>Total equity</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7,803,891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7,729,723</w:t>
            </w:r>
          </w:p>
        </w:tc>
        <w:tc>
          <w:tcPr>
            <w:tcW w:w="0" w:type="dxa"/>
            <w:vAlign w:val="bottom"/>
          </w:tcPr>
          <w:p>
            <w:pPr>
              <w:spacing w:after="0"/>
              <w:rPr>
                <w:sz w:val="1"/>
                <w:szCs w:val="1"/>
                <w:color w:val="auto"/>
              </w:rPr>
            </w:pPr>
          </w:p>
        </w:tc>
      </w:tr>
      <w:tr>
        <w:trPr>
          <w:trHeight w:val="214"/>
        </w:trPr>
        <w:tc>
          <w:tcPr>
            <w:tcW w:w="8720" w:type="dxa"/>
            <w:vAlign w:val="bottom"/>
          </w:tcPr>
          <w:p>
            <w:pPr>
              <w:ind w:left="1320"/>
              <w:spacing w:after="0"/>
              <w:rPr>
                <w:sz w:val="20"/>
                <w:szCs w:val="20"/>
                <w:color w:val="auto"/>
              </w:rPr>
            </w:pPr>
            <w:r>
              <w:rPr>
                <w:rFonts w:ascii="Arial" w:cs="Arial" w:eastAsia="Arial" w:hAnsi="Arial"/>
                <w:sz w:val="14"/>
                <w:szCs w:val="14"/>
                <w:b w:val="1"/>
                <w:bCs w:val="1"/>
                <w:color w:val="auto"/>
              </w:rPr>
              <w:t>Total liabilities and equity</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26,271,838</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25,173,869</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9" w:right="339" w:bottom="1440" w:gutter="0" w:footer="0" w:header="0"/>
        </w:sectPr>
      </w:pPr>
    </w:p>
    <w:p>
      <w:pPr>
        <w:spacing w:after="0" w:line="358"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279" w:right="339" w:bottom="1440" w:gutter="0" w:footer="0" w:header="0"/>
          <w:type w:val="continuous"/>
        </w:sectPr>
      </w:pPr>
    </w:p>
    <w:bookmarkStart w:id="13" w:name="page14"/>
    <w:bookmarkEnd w:id="13"/>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Consolidated Income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20"/>
                <w:szCs w:val="20"/>
                <w:color w:val="auto"/>
              </w:rPr>
            </w:pPr>
            <w:r>
              <w:rPr>
                <w:rFonts w:ascii="Arial" w:cs="Arial" w:eastAsia="Arial" w:hAnsi="Arial"/>
                <w:sz w:val="14"/>
                <w:szCs w:val="14"/>
                <w:color w:val="auto"/>
              </w:rPr>
              <w:t>(unaudited and in thousands, except per share amounts)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8"/>
        </w:trPr>
        <w:tc>
          <w:tcPr>
            <w:tcW w:w="8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30-Sep-26</w:t>
            </w:r>
          </w:p>
        </w:tc>
        <w:tc>
          <w:tcPr>
            <w:tcW w:w="180" w:type="dxa"/>
            <w:vAlign w:val="bottom"/>
          </w:tcPr>
          <w:p>
            <w:pPr>
              <w:spacing w:after="0"/>
              <w:rPr>
                <w:sz w:val="18"/>
                <w:szCs w:val="18"/>
                <w:color w:val="auto"/>
              </w:rPr>
            </w:pPr>
          </w:p>
        </w:tc>
        <w:tc>
          <w:tcPr>
            <w:tcW w:w="1040" w:type="dxa"/>
            <w:vAlign w:val="bottom"/>
          </w:tcPr>
          <w:p>
            <w:pPr>
              <w:jc w:val="right"/>
              <w:ind w:right="208"/>
              <w:spacing w:after="0"/>
              <w:rPr>
                <w:sz w:val="20"/>
                <w:szCs w:val="20"/>
                <w:color w:val="auto"/>
              </w:rPr>
            </w:pPr>
            <w:r>
              <w:rPr>
                <w:rFonts w:ascii="Arial" w:cs="Arial" w:eastAsia="Arial" w:hAnsi="Arial"/>
                <w:sz w:val="14"/>
                <w:szCs w:val="14"/>
                <w:b w:val="1"/>
                <w:bCs w:val="1"/>
                <w:color w:val="auto"/>
              </w:rPr>
              <w:t>30-Jun-26</w:t>
            </w:r>
          </w:p>
        </w:tc>
        <w:tc>
          <w:tcPr>
            <w:tcW w:w="0" w:type="dxa"/>
            <w:vAlign w:val="bottom"/>
          </w:tcPr>
          <w:p>
            <w:pPr>
              <w:spacing w:after="0"/>
              <w:rPr>
                <w:sz w:val="1"/>
                <w:szCs w:val="1"/>
                <w:color w:val="auto"/>
              </w:rPr>
            </w:pPr>
          </w:p>
        </w:tc>
      </w:tr>
      <w:tr>
        <w:trPr>
          <w:trHeight w:val="190"/>
        </w:trPr>
        <w:tc>
          <w:tcPr>
            <w:tcW w:w="8600" w:type="dxa"/>
            <w:vAlign w:val="bottom"/>
          </w:tcPr>
          <w:p>
            <w:pPr>
              <w:ind w:left="20"/>
              <w:spacing w:after="0"/>
              <w:rPr>
                <w:sz w:val="20"/>
                <w:szCs w:val="20"/>
                <w:color w:val="auto"/>
              </w:rPr>
            </w:pPr>
            <w:r>
              <w:rPr>
                <w:rFonts w:ascii="Arial" w:cs="Arial" w:eastAsia="Arial" w:hAnsi="Arial"/>
                <w:sz w:val="14"/>
                <w:szCs w:val="14"/>
                <w:color w:val="auto"/>
              </w:rPr>
              <w:t>Revenue</w:t>
            </w: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Lease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846,159</w:t>
            </w:r>
          </w:p>
        </w:tc>
        <w:tc>
          <w:tcPr>
            <w:tcW w:w="200" w:type="dxa"/>
            <w:vAlign w:val="bottom"/>
          </w:tcPr>
          <w:p>
            <w:pPr>
              <w:spacing w:after="0"/>
              <w:rPr>
                <w:sz w:val="18"/>
                <w:szCs w:val="18"/>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831,678</w:t>
            </w: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Parking and other</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36,887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36,485</w:t>
            </w: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Insurance proceeds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Hotel revenue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13,219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14,901</w:t>
            </w: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Development and management services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7,633</w:t>
            </w:r>
          </w:p>
        </w:tc>
        <w:tc>
          <w:tcPr>
            <w:tcW w:w="0" w:type="dxa"/>
            <w:vAlign w:val="bottom"/>
          </w:tcPr>
          <w:p>
            <w:pPr>
              <w:spacing w:after="0"/>
              <w:rPr>
                <w:sz w:val="1"/>
                <w:szCs w:val="1"/>
                <w:color w:val="auto"/>
              </w:rPr>
            </w:pPr>
          </w:p>
        </w:tc>
      </w:tr>
      <w:tr>
        <w:trPr>
          <w:trHeight w:val="220"/>
        </w:trPr>
        <w:tc>
          <w:tcPr>
            <w:tcW w:w="8600" w:type="dxa"/>
            <w:vAlign w:val="bottom"/>
          </w:tcPr>
          <w:p>
            <w:pPr>
              <w:ind w:left="26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3,992</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3,901</w:t>
            </w:r>
          </w:p>
        </w:tc>
        <w:tc>
          <w:tcPr>
            <w:tcW w:w="0" w:type="dxa"/>
            <w:vAlign w:val="bottom"/>
          </w:tcPr>
          <w:p>
            <w:pPr>
              <w:spacing w:after="0"/>
              <w:rPr>
                <w:sz w:val="1"/>
                <w:szCs w:val="1"/>
                <w:color w:val="auto"/>
              </w:rPr>
            </w:pPr>
          </w:p>
        </w:tc>
      </w:tr>
      <w:tr>
        <w:trPr>
          <w:trHeight w:val="207"/>
        </w:trPr>
        <w:tc>
          <w:tcPr>
            <w:tcW w:w="8600" w:type="dxa"/>
            <w:vAlign w:val="bottom"/>
          </w:tcPr>
          <w:p>
            <w:pPr>
              <w:ind w:left="1080"/>
              <w:spacing w:after="0"/>
              <w:rPr>
                <w:sz w:val="20"/>
                <w:szCs w:val="20"/>
                <w:color w:val="auto"/>
              </w:rPr>
            </w:pPr>
            <w:r>
              <w:rPr>
                <w:rFonts w:ascii="Arial" w:cs="Arial" w:eastAsia="Arial" w:hAnsi="Arial"/>
                <w:sz w:val="14"/>
                <w:szCs w:val="14"/>
                <w:color w:val="auto"/>
              </w:rPr>
              <w:t>Total revenue</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911,431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895,699</w:t>
            </w:r>
          </w:p>
        </w:tc>
        <w:tc>
          <w:tcPr>
            <w:tcW w:w="0" w:type="dxa"/>
            <w:vAlign w:val="bottom"/>
          </w:tcPr>
          <w:p>
            <w:pPr>
              <w:spacing w:after="0"/>
              <w:rPr>
                <w:sz w:val="1"/>
                <w:szCs w:val="1"/>
                <w:color w:val="auto"/>
              </w:rPr>
            </w:pPr>
          </w:p>
        </w:tc>
      </w:tr>
      <w:tr>
        <w:trPr>
          <w:trHeight w:val="194"/>
        </w:trPr>
        <w:tc>
          <w:tcPr>
            <w:tcW w:w="8600" w:type="dxa"/>
            <w:vAlign w:val="bottom"/>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Operating</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192,257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192,421</w:t>
            </w: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Real estate taxes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141,967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142,194</w:t>
            </w: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Restoration expenses related to insurance claims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1,526</w:t>
            </w: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Hotel operating</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9,925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9,369</w:t>
            </w: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 xml:space="preserve">General and administrative </w:t>
            </w:r>
            <w:r>
              <w:rPr>
                <w:rFonts w:ascii="Arial" w:cs="Arial" w:eastAsia="Arial" w:hAnsi="Arial"/>
                <w:sz w:val="9"/>
                <w:szCs w:val="9"/>
                <w:color w:val="auto"/>
              </w:rPr>
              <w:t>1, 2</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37,604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50,444</w:t>
            </w: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Payroll and related costs from management services contracts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3,901</w:t>
            </w: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Transaction costs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20"/>
        </w:trPr>
        <w:tc>
          <w:tcPr>
            <w:tcW w:w="860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228,679</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236,977</w:t>
            </w:r>
          </w:p>
        </w:tc>
        <w:tc>
          <w:tcPr>
            <w:tcW w:w="0" w:type="dxa"/>
            <w:vAlign w:val="bottom"/>
          </w:tcPr>
          <w:p>
            <w:pPr>
              <w:spacing w:after="0"/>
              <w:rPr>
                <w:sz w:val="1"/>
                <w:szCs w:val="1"/>
                <w:color w:val="auto"/>
              </w:rPr>
            </w:pPr>
          </w:p>
        </w:tc>
      </w:tr>
      <w:tr>
        <w:trPr>
          <w:trHeight w:val="207"/>
        </w:trPr>
        <w:tc>
          <w:tcPr>
            <w:tcW w:w="8600" w:type="dxa"/>
            <w:vAlign w:val="bottom"/>
          </w:tcPr>
          <w:p>
            <w:pPr>
              <w:ind w:left="1080"/>
              <w:spacing w:after="0"/>
              <w:rPr>
                <w:sz w:val="20"/>
                <w:szCs w:val="20"/>
                <w:color w:val="auto"/>
              </w:rPr>
            </w:pPr>
            <w:r>
              <w:rPr>
                <w:rFonts w:ascii="Arial" w:cs="Arial" w:eastAsia="Arial" w:hAnsi="Arial"/>
                <w:sz w:val="14"/>
                <w:szCs w:val="14"/>
                <w:color w:val="auto"/>
              </w:rPr>
              <w:t>Total expenses</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615,646</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636,770</w:t>
            </w:r>
          </w:p>
        </w:tc>
        <w:tc>
          <w:tcPr>
            <w:tcW w:w="0" w:type="dxa"/>
            <w:vAlign w:val="bottom"/>
          </w:tcPr>
          <w:p>
            <w:pPr>
              <w:spacing w:after="0"/>
              <w:rPr>
                <w:sz w:val="1"/>
                <w:szCs w:val="1"/>
                <w:color w:val="auto"/>
              </w:rPr>
            </w:pPr>
          </w:p>
        </w:tc>
      </w:tr>
      <w:tr>
        <w:trPr>
          <w:trHeight w:val="194"/>
        </w:trPr>
        <w:tc>
          <w:tcPr>
            <w:tcW w:w="86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 xml:space="preserve">Income (loss) from unconsolidated joint ventures </w:t>
            </w:r>
            <w:r>
              <w:rPr>
                <w:rFonts w:ascii="Arial" w:cs="Arial" w:eastAsia="Arial" w:hAnsi="Arial"/>
                <w:sz w:val="9"/>
                <w:szCs w:val="9"/>
                <w:color w:val="auto"/>
              </w:rPr>
              <w:t>3</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(2,448)</w:t>
            </w: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 xml:space="preserve">Gains on sales of real estate </w:t>
            </w:r>
            <w:r>
              <w:rPr>
                <w:rFonts w:ascii="Arial" w:cs="Arial" w:eastAsia="Arial" w:hAnsi="Arial"/>
                <w:sz w:val="9"/>
                <w:szCs w:val="9"/>
                <w:color w:val="auto"/>
              </w:rPr>
              <w:t>4</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6,997</w:t>
            </w: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 xml:space="preserve">Gains (losses) from investments in securities </w:t>
            </w:r>
            <w:r>
              <w:rPr>
                <w:rFonts w:ascii="Arial" w:cs="Arial" w:eastAsia="Arial" w:hAnsi="Arial"/>
                <w:sz w:val="9"/>
                <w:szCs w:val="9"/>
                <w:color w:val="auto"/>
              </w:rPr>
              <w:t>2</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4,385</w:t>
            </w: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Unrealized gain (loss) on non-real estate investments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Interest and other income</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6,137</w:t>
            </w: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 xml:space="preserve">Impairment loss </w:t>
            </w:r>
            <w:r>
              <w:rPr>
                <w:rFonts w:ascii="Arial" w:cs="Arial" w:eastAsia="Arial" w:hAnsi="Arial"/>
                <w:sz w:val="9"/>
                <w:szCs w:val="9"/>
                <w:color w:val="auto"/>
              </w:rPr>
              <w:t>5</w:t>
            </w:r>
          </w:p>
        </w:tc>
        <w:tc>
          <w:tcPr>
            <w:tcW w:w="18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(18,036)</w:t>
            </w:r>
          </w:p>
        </w:tc>
        <w:tc>
          <w:tcPr>
            <w:tcW w:w="0" w:type="dxa"/>
            <w:vAlign w:val="bottom"/>
          </w:tcPr>
          <w:p>
            <w:pPr>
              <w:spacing w:after="0"/>
              <w:rPr>
                <w:sz w:val="1"/>
                <w:szCs w:val="1"/>
                <w:color w:val="auto"/>
              </w:rPr>
            </w:pPr>
          </w:p>
        </w:tc>
      </w:tr>
      <w:tr>
        <w:trPr>
          <w:trHeight w:val="220"/>
        </w:trPr>
        <w:tc>
          <w:tcPr>
            <w:tcW w:w="8600" w:type="dxa"/>
            <w:vAlign w:val="bottom"/>
          </w:tcPr>
          <w:p>
            <w:pPr>
              <w:ind w:left="26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(159,127)</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(153,425)</w:t>
            </w:r>
          </w:p>
        </w:tc>
        <w:tc>
          <w:tcPr>
            <w:tcW w:w="0" w:type="dxa"/>
            <w:vAlign w:val="bottom"/>
          </w:tcPr>
          <w:p>
            <w:pPr>
              <w:spacing w:after="0"/>
              <w:rPr>
                <w:sz w:val="1"/>
                <w:szCs w:val="1"/>
                <w:color w:val="auto"/>
              </w:rPr>
            </w:pPr>
          </w:p>
        </w:tc>
      </w:tr>
      <w:tr>
        <w:trPr>
          <w:trHeight w:val="205"/>
        </w:trPr>
        <w:tc>
          <w:tcPr>
            <w:tcW w:w="86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155,494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102,464</w:t>
            </w:r>
          </w:p>
        </w:tc>
        <w:tc>
          <w:tcPr>
            <w:tcW w:w="0" w:type="dxa"/>
            <w:vAlign w:val="bottom"/>
          </w:tcPr>
          <w:p>
            <w:pPr>
              <w:spacing w:after="0"/>
              <w:rPr>
                <w:sz w:val="1"/>
                <w:szCs w:val="1"/>
                <w:color w:val="auto"/>
              </w:rPr>
            </w:pPr>
          </w:p>
        </w:tc>
      </w:tr>
      <w:tr>
        <w:trPr>
          <w:trHeight w:val="216"/>
        </w:trPr>
        <w:tc>
          <w:tcPr>
            <w:tcW w:w="860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0" w:type="dxa"/>
            <w:vAlign w:val="bottom"/>
          </w:tcPr>
          <w:p>
            <w:pPr>
              <w:ind w:left="260"/>
              <w:spacing w:after="0"/>
              <w:rPr>
                <w:sz w:val="20"/>
                <w:szCs w:val="20"/>
                <w:color w:val="auto"/>
              </w:rPr>
            </w:pPr>
            <w:r>
              <w:rPr>
                <w:rFonts w:ascii="Arial" w:cs="Arial" w:eastAsia="Arial" w:hAnsi="Arial"/>
                <w:sz w:val="14"/>
                <w:szCs w:val="14"/>
                <w:color w:val="auto"/>
              </w:rPr>
              <w:t>Noncontrolling interest in property partnerships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(28,692)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(26,121)</w:t>
            </w:r>
          </w:p>
        </w:tc>
        <w:tc>
          <w:tcPr>
            <w:tcW w:w="0" w:type="dxa"/>
            <w:vAlign w:val="bottom"/>
          </w:tcPr>
          <w:p>
            <w:pPr>
              <w:spacing w:after="0"/>
              <w:rPr>
                <w:sz w:val="1"/>
                <w:szCs w:val="1"/>
                <w:color w:val="auto"/>
              </w:rPr>
            </w:pPr>
          </w:p>
        </w:tc>
      </w:tr>
      <w:tr>
        <w:trPr>
          <w:trHeight w:val="220"/>
        </w:trPr>
        <w:tc>
          <w:tcPr>
            <w:tcW w:w="8600" w:type="dxa"/>
            <w:vAlign w:val="bottom"/>
          </w:tcPr>
          <w:p>
            <w:pPr>
              <w:ind w:left="260"/>
              <w:spacing w:after="0"/>
              <w:rPr>
                <w:sz w:val="20"/>
                <w:szCs w:val="20"/>
                <w:color w:val="auto"/>
              </w:rPr>
            </w:pPr>
            <w:r>
              <w:rPr>
                <w:rFonts w:ascii="Arial" w:cs="Arial" w:eastAsia="Arial" w:hAnsi="Arial"/>
                <w:sz w:val="14"/>
                <w:szCs w:val="14"/>
                <w:color w:val="auto"/>
              </w:rPr>
              <w:t xml:space="preserve">Noncontrolling interest - common units of the Operating Partnership </w:t>
            </w:r>
            <w:r>
              <w:rPr>
                <w:rFonts w:ascii="Arial" w:cs="Arial" w:eastAsia="Arial" w:hAnsi="Arial"/>
                <w:sz w:val="9"/>
                <w:szCs w:val="9"/>
                <w:color w:val="auto"/>
              </w:rPr>
              <w:t>6</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(12,320)</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(7,779)</w:t>
            </w:r>
          </w:p>
        </w:tc>
        <w:tc>
          <w:tcPr>
            <w:tcW w:w="0" w:type="dxa"/>
            <w:vAlign w:val="bottom"/>
          </w:tcPr>
          <w:p>
            <w:pPr>
              <w:spacing w:after="0"/>
              <w:rPr>
                <w:sz w:val="1"/>
                <w:szCs w:val="1"/>
                <w:color w:val="auto"/>
              </w:rPr>
            </w:pPr>
          </w:p>
        </w:tc>
      </w:tr>
      <w:tr>
        <w:trPr>
          <w:trHeight w:val="214"/>
        </w:trPr>
        <w:tc>
          <w:tcPr>
            <w:tcW w:w="8600" w:type="dxa"/>
            <w:vAlign w:val="bottom"/>
          </w:tcPr>
          <w:p>
            <w:pPr>
              <w:ind w:left="20"/>
              <w:spacing w:after="0"/>
              <w:rPr>
                <w:sz w:val="20"/>
                <w:szCs w:val="20"/>
                <w:color w:val="auto"/>
              </w:rPr>
            </w:pPr>
            <w:r>
              <w:rPr>
                <w:rFonts w:ascii="Arial" w:cs="Arial" w:eastAsia="Arial" w:hAnsi="Arial"/>
                <w:sz w:val="14"/>
                <w:szCs w:val="14"/>
                <w:color w:val="auto"/>
              </w:rPr>
              <w:t>Net income attributable to BXP, Inc.</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114,482</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68,564</w:t>
            </w:r>
          </w:p>
        </w:tc>
        <w:tc>
          <w:tcPr>
            <w:tcW w:w="0" w:type="dxa"/>
            <w:vAlign w:val="bottom"/>
          </w:tcPr>
          <w:p>
            <w:pPr>
              <w:spacing w:after="0"/>
              <w:rPr>
                <w:sz w:val="1"/>
                <w:szCs w:val="1"/>
                <w:color w:val="auto"/>
              </w:rPr>
            </w:pPr>
          </w:p>
        </w:tc>
      </w:tr>
      <w:tr>
        <w:trPr>
          <w:trHeight w:val="20"/>
        </w:trPr>
        <w:tc>
          <w:tcPr>
            <w:tcW w:w="8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PER SHARE OF COMMON STOCK (EPS)</w:t>
            </w: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7"/>
        </w:trPr>
        <w:tc>
          <w:tcPr>
            <w:tcW w:w="860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600" w:type="dxa"/>
            <w:vAlign w:val="bottom"/>
          </w:tcPr>
          <w:p>
            <w:pPr>
              <w:ind w:left="20"/>
              <w:spacing w:after="0"/>
              <w:rPr>
                <w:sz w:val="20"/>
                <w:szCs w:val="20"/>
                <w:color w:val="auto"/>
              </w:rPr>
            </w:pPr>
            <w:r>
              <w:rPr>
                <w:rFonts w:ascii="Arial" w:cs="Arial" w:eastAsia="Arial" w:hAnsi="Arial"/>
                <w:sz w:val="14"/>
                <w:szCs w:val="14"/>
                <w:color w:val="auto"/>
              </w:rPr>
              <w:t>Net income attributable to BXP, Inc. per share - basic</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0.72</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Net income attributable to BXP, Inc. per share - diluted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0.71</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35" w:lineRule="exact"/>
        <w:rPr>
          <w:sz w:val="20"/>
          <w:szCs w:val="20"/>
          <w:color w:val="auto"/>
        </w:rPr>
      </w:pPr>
    </w:p>
    <w:p>
      <w:pPr>
        <w:ind w:left="80" w:right="360" w:hanging="72"/>
        <w:spacing w:after="0" w:line="290" w:lineRule="auto"/>
        <w:tabs>
          <w:tab w:leader="none" w:pos="78" w:val="left"/>
        </w:tabs>
        <w:numPr>
          <w:ilvl w:val="0"/>
          <w:numId w:val="15"/>
        </w:numPr>
        <w:rPr>
          <w:rFonts w:ascii="Arial" w:cs="Arial" w:eastAsia="Arial" w:hAnsi="Arial"/>
          <w:sz w:val="9"/>
          <w:szCs w:val="9"/>
          <w:color w:val="auto"/>
        </w:rPr>
      </w:pPr>
      <w:r>
        <w:rPr>
          <w:rFonts w:ascii="Arial" w:cs="Arial" w:eastAsia="Arial" w:hAnsi="Arial"/>
          <w:sz w:val="14"/>
          <w:szCs w:val="14"/>
          <w:color w:val="auto"/>
        </w:rPr>
        <w:t>For the three months ended June 30, 2026, includes approximately $6.0 million related to the accelerated vesting of non-stock compensation expense for employees who satisfied the conditions for a qualified retirement and, for each three months ended period, approximately $2.9 million related to the 2025 OPP Awards.</w:t>
      </w:r>
    </w:p>
    <w:p>
      <w:pPr>
        <w:spacing w:after="0" w:line="2" w:lineRule="exact"/>
        <w:rPr>
          <w:sz w:val="20"/>
          <w:szCs w:val="20"/>
          <w:color w:val="auto"/>
        </w:rPr>
      </w:pPr>
    </w:p>
    <w:p>
      <w:pPr>
        <w:ind w:left="80" w:right="340" w:hanging="72"/>
        <w:spacing w:after="0" w:line="238" w:lineRule="auto"/>
        <w:tabs>
          <w:tab w:leader="none" w:pos="78"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Includes $(0.7) million and $4.4 million for the three months ended September 30, 2026 and June 30, 2026, respectively, related to the Company’s deferred compensation plan.</w:t>
      </w:r>
    </w:p>
    <w:p>
      <w:pPr>
        <w:ind w:left="80" w:hanging="72"/>
        <w:spacing w:after="0" w:line="223" w:lineRule="auto"/>
        <w:tabs>
          <w:tab w:leader="none" w:pos="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2026, amount includes gains on sales of approximately $1.2 million.</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4 </w:t>
      </w:r>
      <w:r>
        <w:rPr>
          <w:rFonts w:ascii="Arial" w:cs="Arial" w:eastAsia="Arial" w:hAnsi="Arial"/>
          <w:sz w:val="14"/>
          <w:szCs w:val="14"/>
          <w:color w:val="auto"/>
        </w:rPr>
        <w:t>For additional detail, see page 14.</w:t>
      </w:r>
    </w:p>
    <w:p>
      <w:pPr>
        <w:spacing w:after="0" w:line="41" w:lineRule="exact"/>
        <w:rPr>
          <w:sz w:val="20"/>
          <w:szCs w:val="20"/>
          <w:color w:val="auto"/>
        </w:rPr>
      </w:pPr>
    </w:p>
    <w:p>
      <w:pPr>
        <w:ind w:left="80" w:right="240" w:hanging="72"/>
        <w:spacing w:after="0" w:line="239" w:lineRule="auto"/>
        <w:tabs>
          <w:tab w:leader="none" w:pos="78"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On May 29, 2026, the anticipated sale of the Company’s leasehold interest in the Sumner Square property located in Washington, DC met the Company’s “held for sale” criteria. Following the classification of a property as “held for sale”, the assets are written down to the lower of carrying value or fair market value, less cost to sell. This write down resulted in an impairment. The sale occurred on August 5, 2026. For additional detail, see page 14.</w:t>
      </w:r>
    </w:p>
    <w:p>
      <w:pPr>
        <w:ind w:left="80" w:hanging="72"/>
        <w:spacing w:after="0" w:line="238" w:lineRule="auto"/>
        <w:tabs>
          <w:tab w:leader="none" w:pos="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For additional detail, see page 7.</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279" w:right="339" w:bottom="1440" w:gutter="0" w:footer="0" w:header="0"/>
          <w:type w:val="continuous"/>
        </w:sectPr>
      </w:pPr>
    </w:p>
    <w:bookmarkStart w:id="14" w:name="page15"/>
    <w:bookmarkEnd w:id="14"/>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Funds from operations (FFO) </w:t>
      </w:r>
      <w:r>
        <w:rPr>
          <w:rFonts w:ascii="Arial" w:cs="Arial" w:eastAsia="Arial" w:hAnsi="Arial"/>
          <w:sz w:val="18"/>
          <w:szCs w:val="18"/>
          <w:b w:val="1"/>
          <w:bCs w:val="1"/>
          <w:color w:val="00497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40" w:type="dxa"/>
            <w:vAlign w:val="bottom"/>
          </w:tcPr>
          <w:p>
            <w:pPr>
              <w:spacing w:after="0"/>
              <w:rPr>
                <w:sz w:val="20"/>
                <w:szCs w:val="20"/>
                <w:color w:val="auto"/>
              </w:rPr>
            </w:pPr>
            <w:r>
              <w:rPr>
                <w:rFonts w:ascii="Arial" w:cs="Arial" w:eastAsia="Arial" w:hAnsi="Arial"/>
                <w:sz w:val="14"/>
                <w:szCs w:val="14"/>
                <w:color w:val="auto"/>
              </w:rPr>
              <w:t>(unaudited and dollars in thousands, except per share amounts)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84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9"/>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30-Sep-26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248"/>
              <w:spacing w:after="0"/>
              <w:rPr>
                <w:sz w:val="20"/>
                <w:szCs w:val="20"/>
                <w:color w:val="auto"/>
              </w:rPr>
            </w:pPr>
            <w:r>
              <w:rPr>
                <w:rFonts w:ascii="Arial" w:cs="Arial" w:eastAsia="Arial" w:hAnsi="Arial"/>
                <w:sz w:val="14"/>
                <w:szCs w:val="14"/>
                <w:b w:val="1"/>
                <w:bCs w:val="1"/>
                <w:color w:val="auto"/>
              </w:rPr>
              <w:t>30-Jun-26</w:t>
            </w:r>
          </w:p>
        </w:tc>
        <w:tc>
          <w:tcPr>
            <w:tcW w:w="0" w:type="dxa"/>
            <w:vAlign w:val="bottom"/>
          </w:tcPr>
          <w:p>
            <w:pPr>
              <w:spacing w:after="0"/>
              <w:rPr>
                <w:sz w:val="1"/>
                <w:szCs w:val="1"/>
                <w:color w:val="auto"/>
              </w:rPr>
            </w:pPr>
          </w:p>
        </w:tc>
      </w:tr>
      <w:tr>
        <w:trPr>
          <w:trHeight w:val="203"/>
        </w:trPr>
        <w:tc>
          <w:tcPr>
            <w:tcW w:w="8440" w:type="dxa"/>
            <w:vAlign w:val="bottom"/>
          </w:tcPr>
          <w:p>
            <w:pPr>
              <w:ind w:left="20"/>
              <w:spacing w:after="0"/>
              <w:rPr>
                <w:sz w:val="20"/>
                <w:szCs w:val="20"/>
                <w:color w:val="auto"/>
              </w:rPr>
            </w:pPr>
            <w:r>
              <w:rPr>
                <w:rFonts w:ascii="Arial" w:cs="Arial" w:eastAsia="Arial" w:hAnsi="Arial"/>
                <w:sz w:val="14"/>
                <w:szCs w:val="14"/>
                <w:color w:val="auto"/>
              </w:rPr>
              <w:t>Net income attributable to BXP, Inc.</w:t>
            </w: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114,482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68,564</w:t>
            </w:r>
          </w:p>
        </w:tc>
        <w:tc>
          <w:tcPr>
            <w:tcW w:w="0" w:type="dxa"/>
            <w:vAlign w:val="bottom"/>
          </w:tcPr>
          <w:p>
            <w:pPr>
              <w:spacing w:after="0"/>
              <w:rPr>
                <w:sz w:val="1"/>
                <w:szCs w:val="1"/>
                <w:color w:val="auto"/>
              </w:rPr>
            </w:pPr>
          </w:p>
        </w:tc>
      </w:tr>
      <w:tr>
        <w:trPr>
          <w:trHeight w:val="216"/>
        </w:trPr>
        <w:tc>
          <w:tcPr>
            <w:tcW w:w="8440" w:type="dxa"/>
            <w:vAlign w:val="bottom"/>
          </w:tcPr>
          <w:p>
            <w:pPr>
              <w:ind w:left="26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52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12,320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7,779</w:t>
            </w:r>
          </w:p>
        </w:tc>
        <w:tc>
          <w:tcPr>
            <w:tcW w:w="0" w:type="dxa"/>
            <w:vAlign w:val="bottom"/>
          </w:tcPr>
          <w:p>
            <w:pPr>
              <w:spacing w:after="0"/>
              <w:rPr>
                <w:sz w:val="1"/>
                <w:szCs w:val="1"/>
                <w:color w:val="auto"/>
              </w:rPr>
            </w:pPr>
          </w:p>
        </w:tc>
      </w:tr>
      <w:tr>
        <w:trPr>
          <w:trHeight w:val="220"/>
        </w:trPr>
        <w:tc>
          <w:tcPr>
            <w:tcW w:w="8440" w:type="dxa"/>
            <w:vAlign w:val="bottom"/>
          </w:tcPr>
          <w:p>
            <w:pPr>
              <w:ind w:left="520"/>
              <w:spacing w:after="0"/>
              <w:rPr>
                <w:sz w:val="20"/>
                <w:szCs w:val="20"/>
                <w:color w:val="auto"/>
              </w:rPr>
            </w:pPr>
            <w:r>
              <w:rPr>
                <w:rFonts w:ascii="Arial" w:cs="Arial" w:eastAsia="Arial" w:hAnsi="Arial"/>
                <w:sz w:val="14"/>
                <w:szCs w:val="14"/>
                <w:color w:val="auto"/>
              </w:rPr>
              <w:t>Noncontrolling interests in property partnerships</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28,692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26,121</w:t>
            </w:r>
          </w:p>
        </w:tc>
        <w:tc>
          <w:tcPr>
            <w:tcW w:w="0" w:type="dxa"/>
            <w:vAlign w:val="bottom"/>
          </w:tcPr>
          <w:p>
            <w:pPr>
              <w:spacing w:after="0"/>
              <w:rPr>
                <w:sz w:val="1"/>
                <w:szCs w:val="1"/>
                <w:color w:val="auto"/>
              </w:rPr>
            </w:pPr>
          </w:p>
        </w:tc>
      </w:tr>
      <w:tr>
        <w:trPr>
          <w:trHeight w:val="205"/>
        </w:trPr>
        <w:tc>
          <w:tcPr>
            <w:tcW w:w="8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155,494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102,464</w:t>
            </w:r>
          </w:p>
        </w:tc>
        <w:tc>
          <w:tcPr>
            <w:tcW w:w="0" w:type="dxa"/>
            <w:vAlign w:val="bottom"/>
          </w:tcPr>
          <w:p>
            <w:pPr>
              <w:spacing w:after="0"/>
              <w:rPr>
                <w:sz w:val="1"/>
                <w:szCs w:val="1"/>
                <w:color w:val="auto"/>
              </w:rPr>
            </w:pPr>
          </w:p>
        </w:tc>
      </w:tr>
      <w:tr>
        <w:trPr>
          <w:trHeight w:val="216"/>
        </w:trPr>
        <w:tc>
          <w:tcPr>
            <w:tcW w:w="8440" w:type="dxa"/>
            <w:vAlign w:val="bottom"/>
          </w:tcPr>
          <w:p>
            <w:pPr>
              <w:ind w:left="26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520"/>
              <w:spacing w:after="0"/>
              <w:rPr>
                <w:sz w:val="20"/>
                <w:szCs w:val="20"/>
                <w:color w:val="auto"/>
              </w:rPr>
            </w:pPr>
            <w:r>
              <w:rPr>
                <w:rFonts w:ascii="Arial" w:cs="Arial" w:eastAsia="Arial" w:hAnsi="Arial"/>
                <w:sz w:val="14"/>
                <w:szCs w:val="14"/>
                <w:color w:val="auto"/>
              </w:rPr>
              <w:t>Depreciation and amortization expense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228,679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236,977</w:t>
            </w:r>
          </w:p>
        </w:tc>
        <w:tc>
          <w:tcPr>
            <w:tcW w:w="0" w:type="dxa"/>
            <w:vAlign w:val="bottom"/>
          </w:tcPr>
          <w:p>
            <w:pPr>
              <w:spacing w:after="0"/>
              <w:rPr>
                <w:sz w:val="1"/>
                <w:szCs w:val="1"/>
                <w:color w:val="auto"/>
              </w:rPr>
            </w:pPr>
          </w:p>
        </w:tc>
      </w:tr>
      <w:tr>
        <w:trPr>
          <w:trHeight w:val="216"/>
        </w:trPr>
        <w:tc>
          <w:tcPr>
            <w:tcW w:w="8440" w:type="dxa"/>
            <w:vAlign w:val="bottom"/>
          </w:tcPr>
          <w:p>
            <w:pPr>
              <w:ind w:left="520"/>
              <w:spacing w:after="0"/>
              <w:rPr>
                <w:sz w:val="20"/>
                <w:szCs w:val="20"/>
                <w:color w:val="auto"/>
              </w:rPr>
            </w:pPr>
            <w:r>
              <w:rPr>
                <w:rFonts w:ascii="Arial" w:cs="Arial" w:eastAsia="Arial" w:hAnsi="Arial"/>
                <w:sz w:val="14"/>
                <w:szCs w:val="14"/>
                <w:color w:val="auto"/>
              </w:rPr>
              <w:t xml:space="preserve">Noncontrolling interests in property partnerships' share of depreciation and amortization </w:t>
            </w:r>
            <w:r>
              <w:rPr>
                <w:rFonts w:ascii="Arial" w:cs="Arial" w:eastAsia="Arial" w:hAnsi="Arial"/>
                <w:sz w:val="9"/>
                <w:szCs w:val="9"/>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(23,901)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(23,336)</w:t>
            </w:r>
          </w:p>
        </w:tc>
        <w:tc>
          <w:tcPr>
            <w:tcW w:w="0" w:type="dxa"/>
            <w:vAlign w:val="bottom"/>
          </w:tcPr>
          <w:p>
            <w:pPr>
              <w:spacing w:after="0"/>
              <w:rPr>
                <w:sz w:val="1"/>
                <w:szCs w:val="1"/>
                <w:color w:val="auto"/>
              </w:rPr>
            </w:pPr>
          </w:p>
        </w:tc>
      </w:tr>
      <w:tr>
        <w:trPr>
          <w:trHeight w:val="216"/>
        </w:trPr>
        <w:tc>
          <w:tcPr>
            <w:tcW w:w="8440" w:type="dxa"/>
            <w:vAlign w:val="bottom"/>
          </w:tcPr>
          <w:p>
            <w:pPr>
              <w:ind w:left="520"/>
              <w:spacing w:after="0"/>
              <w:rPr>
                <w:sz w:val="20"/>
                <w:szCs w:val="20"/>
                <w:color w:val="auto"/>
              </w:rPr>
            </w:pPr>
            <w:r>
              <w:rPr>
                <w:rFonts w:ascii="Arial" w:cs="Arial" w:eastAsia="Arial" w:hAnsi="Arial"/>
                <w:sz w:val="14"/>
                <w:szCs w:val="14"/>
                <w:color w:val="auto"/>
              </w:rPr>
              <w:t xml:space="preserve">BXP's share of depreciation and amortization from unconsolidated joint ventures </w:t>
            </w:r>
            <w:r>
              <w:rPr>
                <w:rFonts w:ascii="Arial" w:cs="Arial" w:eastAsia="Arial" w:hAnsi="Arial"/>
                <w:sz w:val="9"/>
                <w:szCs w:val="9"/>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12,047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12,716</w:t>
            </w:r>
          </w:p>
        </w:tc>
        <w:tc>
          <w:tcPr>
            <w:tcW w:w="0" w:type="dxa"/>
            <w:vAlign w:val="bottom"/>
          </w:tcPr>
          <w:p>
            <w:pPr>
              <w:spacing w:after="0"/>
              <w:rPr>
                <w:sz w:val="1"/>
                <w:szCs w:val="1"/>
                <w:color w:val="auto"/>
              </w:rPr>
            </w:pPr>
          </w:p>
        </w:tc>
      </w:tr>
      <w:tr>
        <w:trPr>
          <w:trHeight w:val="216"/>
        </w:trPr>
        <w:tc>
          <w:tcPr>
            <w:tcW w:w="8440" w:type="dxa"/>
            <w:vAlign w:val="bottom"/>
          </w:tcPr>
          <w:p>
            <w:pPr>
              <w:ind w:left="520"/>
              <w:spacing w:after="0"/>
              <w:rPr>
                <w:sz w:val="20"/>
                <w:szCs w:val="20"/>
                <w:color w:val="auto"/>
              </w:rPr>
            </w:pPr>
            <w:r>
              <w:rPr>
                <w:rFonts w:ascii="Arial" w:cs="Arial" w:eastAsia="Arial" w:hAnsi="Arial"/>
                <w:sz w:val="14"/>
                <w:szCs w:val="14"/>
                <w:color w:val="auto"/>
              </w:rPr>
              <w:t>Corporate-related depreciation and 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216"/>
        </w:trPr>
        <w:tc>
          <w:tcPr>
            <w:tcW w:w="8440" w:type="dxa"/>
            <w:vAlign w:val="bottom"/>
          </w:tcPr>
          <w:p>
            <w:pPr>
              <w:ind w:left="520"/>
              <w:spacing w:after="0"/>
              <w:rPr>
                <w:sz w:val="20"/>
                <w:szCs w:val="20"/>
                <w:color w:val="auto"/>
              </w:rPr>
            </w:pPr>
            <w:r>
              <w:rPr>
                <w:rFonts w:ascii="Arial" w:cs="Arial" w:eastAsia="Arial" w:hAnsi="Arial"/>
                <w:sz w:val="14"/>
                <w:szCs w:val="14"/>
                <w:color w:val="auto"/>
              </w:rPr>
              <w:t>Non-real estate related 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2,131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2,131</w:t>
            </w:r>
          </w:p>
        </w:tc>
        <w:tc>
          <w:tcPr>
            <w:tcW w:w="0" w:type="dxa"/>
            <w:vAlign w:val="bottom"/>
          </w:tcPr>
          <w:p>
            <w:pPr>
              <w:spacing w:after="0"/>
              <w:rPr>
                <w:sz w:val="1"/>
                <w:szCs w:val="1"/>
                <w:color w:val="auto"/>
              </w:rPr>
            </w:pPr>
          </w:p>
        </w:tc>
      </w:tr>
      <w:tr>
        <w:trPr>
          <w:trHeight w:val="216"/>
        </w:trPr>
        <w:tc>
          <w:tcPr>
            <w:tcW w:w="8440" w:type="dxa"/>
            <w:vAlign w:val="bottom"/>
          </w:tcPr>
          <w:p>
            <w:pPr>
              <w:ind w:left="520"/>
              <w:spacing w:after="0"/>
              <w:rPr>
                <w:sz w:val="20"/>
                <w:szCs w:val="20"/>
                <w:color w:val="auto"/>
              </w:rPr>
            </w:pPr>
            <w:r>
              <w:rPr>
                <w:rFonts w:ascii="Arial" w:cs="Arial" w:eastAsia="Arial" w:hAnsi="Arial"/>
                <w:sz w:val="14"/>
                <w:szCs w:val="14"/>
                <w:color w:val="auto"/>
              </w:rPr>
              <w:t>Impairment loss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18,036</w:t>
            </w:r>
          </w:p>
        </w:tc>
        <w:tc>
          <w:tcPr>
            <w:tcW w:w="0" w:type="dxa"/>
            <w:vAlign w:val="bottom"/>
          </w:tcPr>
          <w:p>
            <w:pPr>
              <w:spacing w:after="0"/>
              <w:rPr>
                <w:sz w:val="1"/>
                <w:szCs w:val="1"/>
                <w:color w:val="auto"/>
              </w:rPr>
            </w:pPr>
          </w:p>
        </w:tc>
      </w:tr>
      <w:tr>
        <w:trPr>
          <w:trHeight w:val="216"/>
        </w:trPr>
        <w:tc>
          <w:tcPr>
            <w:tcW w:w="8440" w:type="dxa"/>
            <w:vAlign w:val="bottom"/>
          </w:tcPr>
          <w:p>
            <w:pPr>
              <w:ind w:left="26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520"/>
              <w:spacing w:after="0"/>
              <w:rPr>
                <w:sz w:val="20"/>
                <w:szCs w:val="20"/>
                <w:color w:val="auto"/>
              </w:rPr>
            </w:pPr>
            <w:r>
              <w:rPr>
                <w:rFonts w:ascii="Arial" w:cs="Arial" w:eastAsia="Arial" w:hAnsi="Arial"/>
                <w:sz w:val="14"/>
                <w:szCs w:val="14"/>
                <w:color w:val="auto"/>
              </w:rPr>
              <w:t>Gains on sales of real estate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10,441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6,997</w:t>
            </w:r>
          </w:p>
        </w:tc>
        <w:tc>
          <w:tcPr>
            <w:tcW w:w="0" w:type="dxa"/>
            <w:vAlign w:val="bottom"/>
          </w:tcPr>
          <w:p>
            <w:pPr>
              <w:spacing w:after="0"/>
              <w:rPr>
                <w:sz w:val="1"/>
                <w:szCs w:val="1"/>
                <w:color w:val="auto"/>
              </w:rPr>
            </w:pPr>
          </w:p>
        </w:tc>
      </w:tr>
      <w:tr>
        <w:trPr>
          <w:trHeight w:val="216"/>
        </w:trPr>
        <w:tc>
          <w:tcPr>
            <w:tcW w:w="8440" w:type="dxa"/>
            <w:vAlign w:val="bottom"/>
          </w:tcPr>
          <w:p>
            <w:pPr>
              <w:ind w:left="520"/>
              <w:spacing w:after="0"/>
              <w:rPr>
                <w:sz w:val="20"/>
                <w:szCs w:val="20"/>
                <w:color w:val="auto"/>
              </w:rPr>
            </w:pPr>
            <w:r>
              <w:rPr>
                <w:rFonts w:ascii="Arial" w:cs="Arial" w:eastAsia="Arial" w:hAnsi="Arial"/>
                <w:sz w:val="14"/>
                <w:szCs w:val="14"/>
                <w:color w:val="auto"/>
              </w:rPr>
              <w:t xml:space="preserve">Gains on sales included within income (loss) from unconsolidated joint ventures </w:t>
            </w:r>
            <w:r>
              <w:rPr>
                <w:rFonts w:ascii="Arial" w:cs="Arial" w:eastAsia="Arial" w:hAnsi="Arial"/>
                <w:sz w:val="9"/>
                <w:szCs w:val="9"/>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1,157</w:t>
            </w:r>
          </w:p>
        </w:tc>
        <w:tc>
          <w:tcPr>
            <w:tcW w:w="0" w:type="dxa"/>
            <w:vAlign w:val="bottom"/>
          </w:tcPr>
          <w:p>
            <w:pPr>
              <w:spacing w:after="0"/>
              <w:rPr>
                <w:sz w:val="1"/>
                <w:szCs w:val="1"/>
                <w:color w:val="auto"/>
              </w:rPr>
            </w:pPr>
          </w:p>
        </w:tc>
      </w:tr>
      <w:tr>
        <w:trPr>
          <w:trHeight w:val="216"/>
        </w:trPr>
        <w:tc>
          <w:tcPr>
            <w:tcW w:w="8440" w:type="dxa"/>
            <w:vAlign w:val="bottom"/>
          </w:tcPr>
          <w:p>
            <w:pPr>
              <w:ind w:left="520"/>
              <w:spacing w:after="0"/>
              <w:rPr>
                <w:sz w:val="20"/>
                <w:szCs w:val="20"/>
                <w:color w:val="auto"/>
              </w:rPr>
            </w:pPr>
            <w:r>
              <w:rPr>
                <w:rFonts w:ascii="Arial" w:cs="Arial" w:eastAsia="Arial" w:hAnsi="Arial"/>
                <w:sz w:val="14"/>
                <w:szCs w:val="14"/>
                <w:color w:val="auto"/>
              </w:rPr>
              <w:t>Unrealized gain (loss) on non-real estate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20"/>
        </w:trPr>
        <w:tc>
          <w:tcPr>
            <w:tcW w:w="8440" w:type="dxa"/>
            <w:vAlign w:val="bottom"/>
          </w:tcPr>
          <w:p>
            <w:pPr>
              <w:ind w:left="520"/>
              <w:spacing w:after="0"/>
              <w:rPr>
                <w:sz w:val="20"/>
                <w:szCs w:val="20"/>
                <w:color w:val="auto"/>
              </w:rPr>
            </w:pPr>
            <w:r>
              <w:rPr>
                <w:rFonts w:ascii="Arial" w:cs="Arial" w:eastAsia="Arial" w:hAnsi="Arial"/>
                <w:sz w:val="14"/>
                <w:szCs w:val="14"/>
                <w:color w:val="auto"/>
              </w:rPr>
              <w:t>Noncontrolling interests in property partnerships</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28,692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26,121</w:t>
            </w:r>
          </w:p>
        </w:tc>
        <w:tc>
          <w:tcPr>
            <w:tcW w:w="0" w:type="dxa"/>
            <w:vAlign w:val="bottom"/>
          </w:tcPr>
          <w:p>
            <w:pPr>
              <w:spacing w:after="0"/>
              <w:rPr>
                <w:sz w:val="1"/>
                <w:szCs w:val="1"/>
                <w:color w:val="auto"/>
              </w:rPr>
            </w:pPr>
          </w:p>
        </w:tc>
      </w:tr>
      <w:tr>
        <w:trPr>
          <w:trHeight w:val="205"/>
        </w:trPr>
        <w:tc>
          <w:tcPr>
            <w:tcW w:w="8440" w:type="dxa"/>
            <w:vAlign w:val="bottom"/>
          </w:tcPr>
          <w:p>
            <w:pPr>
              <w:ind w:left="20"/>
              <w:spacing w:after="0"/>
              <w:rPr>
                <w:sz w:val="20"/>
                <w:szCs w:val="20"/>
                <w:color w:val="auto"/>
              </w:rPr>
            </w:pPr>
            <w:r>
              <w:rPr>
                <w:rFonts w:ascii="Arial" w:cs="Arial" w:eastAsia="Arial" w:hAnsi="Arial"/>
                <w:sz w:val="14"/>
                <w:szCs w:val="14"/>
                <w:color w:val="auto"/>
              </w:rPr>
              <w:t>FFO attributable to the Operating Partnership (including BXP, Inc.) (Basic FFO)</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334,299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314,239</w:t>
            </w:r>
          </w:p>
        </w:tc>
        <w:tc>
          <w:tcPr>
            <w:tcW w:w="0" w:type="dxa"/>
            <w:vAlign w:val="bottom"/>
          </w:tcPr>
          <w:p>
            <w:pPr>
              <w:spacing w:after="0"/>
              <w:rPr>
                <w:sz w:val="1"/>
                <w:szCs w:val="1"/>
                <w:color w:val="auto"/>
              </w:rPr>
            </w:pPr>
          </w:p>
        </w:tc>
      </w:tr>
      <w:tr>
        <w:trPr>
          <w:trHeight w:val="216"/>
        </w:trPr>
        <w:tc>
          <w:tcPr>
            <w:tcW w:w="8440" w:type="dxa"/>
            <w:vAlign w:val="bottom"/>
          </w:tcPr>
          <w:p>
            <w:pPr>
              <w:ind w:left="26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440" w:type="dxa"/>
            <w:vAlign w:val="bottom"/>
          </w:tcPr>
          <w:p>
            <w:pPr>
              <w:ind w:left="520"/>
              <w:spacing w:after="0"/>
              <w:rPr>
                <w:sz w:val="20"/>
                <w:szCs w:val="20"/>
                <w:color w:val="auto"/>
              </w:rPr>
            </w:pPr>
            <w:r>
              <w:rPr>
                <w:rFonts w:ascii="Arial" w:cs="Arial" w:eastAsia="Arial" w:hAnsi="Arial"/>
                <w:sz w:val="14"/>
                <w:szCs w:val="14"/>
                <w:color w:val="auto"/>
              </w:rPr>
              <w:t>Noncontrolling interest - common units of the Operating Partnership’s share of FFO</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32,059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30,827</w:t>
            </w:r>
          </w:p>
        </w:tc>
        <w:tc>
          <w:tcPr>
            <w:tcW w:w="0" w:type="dxa"/>
            <w:vAlign w:val="bottom"/>
          </w:tcPr>
          <w:p>
            <w:pPr>
              <w:spacing w:after="0"/>
              <w:rPr>
                <w:sz w:val="1"/>
                <w:szCs w:val="1"/>
                <w:color w:val="auto"/>
              </w:rPr>
            </w:pPr>
          </w:p>
        </w:tc>
      </w:tr>
      <w:tr>
        <w:trPr>
          <w:trHeight w:val="214"/>
        </w:trPr>
        <w:tc>
          <w:tcPr>
            <w:tcW w:w="8440" w:type="dxa"/>
            <w:vAlign w:val="bottom"/>
          </w:tcPr>
          <w:p>
            <w:pPr>
              <w:ind w:left="20"/>
              <w:spacing w:after="0"/>
              <w:rPr>
                <w:sz w:val="20"/>
                <w:szCs w:val="20"/>
                <w:color w:val="auto"/>
              </w:rPr>
            </w:pPr>
            <w:r>
              <w:rPr>
                <w:rFonts w:ascii="Arial" w:cs="Arial" w:eastAsia="Arial" w:hAnsi="Arial"/>
                <w:sz w:val="14"/>
                <w:szCs w:val="14"/>
                <w:color w:val="auto"/>
              </w:rPr>
              <w:t>FFO attributable to BXP, Inc.</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302,240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283,412</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8440" w:type="dxa"/>
            <w:vAlign w:val="bottom"/>
          </w:tcPr>
          <w:p>
            <w:pPr>
              <w:ind w:left="20"/>
              <w:spacing w:after="0"/>
              <w:rPr>
                <w:sz w:val="20"/>
                <w:szCs w:val="20"/>
                <w:color w:val="auto"/>
              </w:rPr>
            </w:pPr>
            <w:r>
              <w:rPr>
                <w:rFonts w:ascii="Arial" w:cs="Arial" w:eastAsia="Arial" w:hAnsi="Arial"/>
                <w:sz w:val="14"/>
                <w:szCs w:val="14"/>
                <w:color w:val="auto"/>
              </w:rPr>
              <w:t>BXP, Inc.’s percentage share of Basic FFO</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90.41 %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90.19 %</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4"/>
                <w:szCs w:val="14"/>
                <w:color w:val="auto"/>
              </w:rPr>
              <w:t>Noncontrolling interest’s - common unitholders percentage share of Basic FFO</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9.59 %</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9.81 %</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4"/>
                <w:szCs w:val="14"/>
                <w:color w:val="auto"/>
              </w:rPr>
              <w:t>Basic FFO per share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440" w:type="dxa"/>
            <w:vAlign w:val="bottom"/>
          </w:tcPr>
          <w:p>
            <w:pPr>
              <w:ind w:left="260"/>
              <w:spacing w:after="0"/>
              <w:rPr>
                <w:sz w:val="20"/>
                <w:szCs w:val="20"/>
                <w:color w:val="auto"/>
              </w:rPr>
            </w:pPr>
            <w:r>
              <w:rPr>
                <w:rFonts w:ascii="Arial" w:cs="Arial" w:eastAsia="Arial" w:hAnsi="Arial"/>
                <w:sz w:val="14"/>
                <w:szCs w:val="14"/>
                <w:color w:val="auto"/>
              </w:rPr>
              <w:t>Weighted average shares outstanding - basic</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159,585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159,167</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440" w:type="dxa"/>
            <w:vAlign w:val="bottom"/>
          </w:tcPr>
          <w:p>
            <w:pPr>
              <w:ind w:left="20"/>
              <w:spacing w:after="0"/>
              <w:rPr>
                <w:sz w:val="20"/>
                <w:szCs w:val="20"/>
                <w:color w:val="auto"/>
              </w:rPr>
            </w:pPr>
            <w:r>
              <w:rPr>
                <w:rFonts w:ascii="Arial" w:cs="Arial" w:eastAsia="Arial" w:hAnsi="Arial"/>
                <w:sz w:val="14"/>
                <w:szCs w:val="14"/>
                <w:color w:val="auto"/>
              </w:rPr>
              <w:t>Diluted FFO per share</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8440" w:type="dxa"/>
            <w:vAlign w:val="bottom"/>
          </w:tcPr>
          <w:p>
            <w:pPr>
              <w:ind w:left="260"/>
              <w:spacing w:after="0"/>
              <w:rPr>
                <w:sz w:val="20"/>
                <w:szCs w:val="20"/>
                <w:color w:val="auto"/>
              </w:rPr>
            </w:pPr>
            <w:r>
              <w:rPr>
                <w:rFonts w:ascii="Arial" w:cs="Arial" w:eastAsia="Arial" w:hAnsi="Arial"/>
                <w:sz w:val="14"/>
                <w:szCs w:val="14"/>
                <w:color w:val="auto"/>
              </w:rPr>
              <w:t>Weighted average shares outstanding - diluted</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160,109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159,629</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RECONCILIATION TO DILUTED FFO</w:t>
            </w: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0"/>
        </w:trPr>
        <w:tc>
          <w:tcPr>
            <w:tcW w:w="84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6"/>
          </w:tcPr>
          <w:p>
            <w:pPr>
              <w:jc w:val="right"/>
              <w:ind w:right="5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10"/>
        </w:trPr>
        <w:tc>
          <w:tcPr>
            <w:tcW w:w="8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30-Sep-26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30-Jun-26</w:t>
            </w:r>
          </w:p>
        </w:tc>
        <w:tc>
          <w:tcPr>
            <w:tcW w:w="0" w:type="dxa"/>
            <w:vAlign w:val="bottom"/>
          </w:tcPr>
          <w:p>
            <w:pPr>
              <w:spacing w:after="0"/>
              <w:rPr>
                <w:sz w:val="1"/>
                <w:szCs w:val="1"/>
                <w:color w:val="auto"/>
              </w:rPr>
            </w:pPr>
          </w:p>
        </w:tc>
      </w:tr>
      <w:tr>
        <w:trPr>
          <w:trHeight w:val="202"/>
        </w:trPr>
        <w:tc>
          <w:tcPr>
            <w:tcW w:w="8440" w:type="dxa"/>
            <w:vAlign w:val="bottom"/>
          </w:tcPr>
          <w:p>
            <w:pPr>
              <w:ind w:left="20"/>
              <w:spacing w:after="0"/>
              <w:rPr>
                <w:sz w:val="20"/>
                <w:szCs w:val="20"/>
                <w:color w:val="auto"/>
              </w:rPr>
            </w:pPr>
            <w:r>
              <w:rPr>
                <w:rFonts w:ascii="Arial" w:cs="Arial" w:eastAsia="Arial" w:hAnsi="Arial"/>
                <w:sz w:val="14"/>
                <w:szCs w:val="14"/>
                <w:color w:val="auto"/>
              </w:rPr>
              <w:t>Basic FFO</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334,299</w:t>
            </w:r>
          </w:p>
        </w:tc>
        <w:tc>
          <w:tcPr>
            <w:tcW w:w="100" w:type="dxa"/>
            <w:vAlign w:val="bottom"/>
          </w:tcPr>
          <w:p>
            <w:pPr>
              <w:spacing w:after="0"/>
              <w:rPr>
                <w:sz w:val="17"/>
                <w:szCs w:val="17"/>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314,239</w:t>
            </w:r>
          </w:p>
        </w:tc>
        <w:tc>
          <w:tcPr>
            <w:tcW w:w="0" w:type="dxa"/>
            <w:vAlign w:val="bottom"/>
          </w:tcPr>
          <w:p>
            <w:pPr>
              <w:spacing w:after="0"/>
              <w:rPr>
                <w:sz w:val="1"/>
                <w:szCs w:val="1"/>
                <w:color w:val="auto"/>
              </w:rPr>
            </w:pPr>
          </w:p>
        </w:tc>
      </w:tr>
      <w:tr>
        <w:trPr>
          <w:trHeight w:val="216"/>
        </w:trPr>
        <w:tc>
          <w:tcPr>
            <w:tcW w:w="8440" w:type="dxa"/>
            <w:vAlign w:val="bottom"/>
          </w:tcPr>
          <w:p>
            <w:pPr>
              <w:ind w:left="26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440" w:type="dxa"/>
            <w:vAlign w:val="bottom"/>
          </w:tcPr>
          <w:p>
            <w:pPr>
              <w:ind w:left="520"/>
              <w:spacing w:after="0"/>
              <w:rPr>
                <w:sz w:val="20"/>
                <w:szCs w:val="20"/>
                <w:color w:val="auto"/>
              </w:rPr>
            </w:pPr>
            <w:r>
              <w:rPr>
                <w:rFonts w:ascii="Arial" w:cs="Arial" w:eastAsia="Arial" w:hAnsi="Arial"/>
                <w:sz w:val="14"/>
                <w:szCs w:val="14"/>
                <w:color w:val="auto"/>
              </w:rPr>
              <w:t>Effect of dilutive securities - stock-based compensation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8440" w:type="dxa"/>
            <w:vAlign w:val="bottom"/>
          </w:tcPr>
          <w:p>
            <w:pPr>
              <w:ind w:left="20"/>
              <w:spacing w:after="0"/>
              <w:rPr>
                <w:sz w:val="20"/>
                <w:szCs w:val="20"/>
                <w:color w:val="auto"/>
              </w:rPr>
            </w:pPr>
            <w:r>
              <w:rPr>
                <w:rFonts w:ascii="Arial" w:cs="Arial" w:eastAsia="Arial" w:hAnsi="Arial"/>
                <w:sz w:val="14"/>
                <w:szCs w:val="14"/>
                <w:color w:val="auto"/>
              </w:rPr>
              <w:t>Diluted FFO</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334,299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314,239</w:t>
            </w:r>
          </w:p>
        </w:tc>
        <w:tc>
          <w:tcPr>
            <w:tcW w:w="0" w:type="dxa"/>
            <w:vAlign w:val="bottom"/>
          </w:tcPr>
          <w:p>
            <w:pPr>
              <w:spacing w:after="0"/>
              <w:rPr>
                <w:sz w:val="1"/>
                <w:szCs w:val="1"/>
                <w:color w:val="auto"/>
              </w:rPr>
            </w:pPr>
          </w:p>
        </w:tc>
      </w:tr>
      <w:tr>
        <w:trPr>
          <w:trHeight w:val="216"/>
        </w:trPr>
        <w:tc>
          <w:tcPr>
            <w:tcW w:w="8440" w:type="dxa"/>
            <w:vAlign w:val="bottom"/>
          </w:tcPr>
          <w:p>
            <w:pPr>
              <w:ind w:left="26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440" w:type="dxa"/>
            <w:vAlign w:val="bottom"/>
          </w:tcPr>
          <w:p>
            <w:pPr>
              <w:ind w:left="520"/>
              <w:spacing w:after="0"/>
              <w:rPr>
                <w:sz w:val="20"/>
                <w:szCs w:val="20"/>
                <w:color w:val="auto"/>
              </w:rPr>
            </w:pPr>
            <w:r>
              <w:rPr>
                <w:rFonts w:ascii="Arial" w:cs="Arial" w:eastAsia="Arial" w:hAnsi="Arial"/>
                <w:sz w:val="14"/>
                <w:szCs w:val="14"/>
                <w:color w:val="auto"/>
              </w:rPr>
              <w:t>Noncontrolling interest - common units of the Operating Partnership’s share of diluted FFO</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31,959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30,733</w:t>
            </w:r>
          </w:p>
        </w:tc>
        <w:tc>
          <w:tcPr>
            <w:tcW w:w="0" w:type="dxa"/>
            <w:vAlign w:val="bottom"/>
          </w:tcPr>
          <w:p>
            <w:pPr>
              <w:spacing w:after="0"/>
              <w:rPr>
                <w:sz w:val="1"/>
                <w:szCs w:val="1"/>
                <w:color w:val="auto"/>
              </w:rPr>
            </w:pPr>
          </w:p>
        </w:tc>
      </w:tr>
      <w:tr>
        <w:trPr>
          <w:trHeight w:val="214"/>
        </w:trPr>
        <w:tc>
          <w:tcPr>
            <w:tcW w:w="8440" w:type="dxa"/>
            <w:vAlign w:val="bottom"/>
          </w:tcPr>
          <w:p>
            <w:pPr>
              <w:ind w:left="20"/>
              <w:spacing w:after="0"/>
              <w:rPr>
                <w:sz w:val="20"/>
                <w:szCs w:val="20"/>
                <w:color w:val="auto"/>
              </w:rPr>
            </w:pPr>
            <w:r>
              <w:rPr>
                <w:rFonts w:ascii="Arial" w:cs="Arial" w:eastAsia="Arial" w:hAnsi="Arial"/>
                <w:sz w:val="14"/>
                <w:szCs w:val="14"/>
                <w:color w:val="auto"/>
              </w:rPr>
              <w:t>BXP, Inc.’s share of Diluted FFO</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4"/>
                <w:szCs w:val="14"/>
                <w:color w:val="auto"/>
              </w:rPr>
              <w:t>302,340</w:t>
            </w:r>
          </w:p>
        </w:tc>
        <w:tc>
          <w:tcPr>
            <w:tcW w:w="10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283,506</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RECONCILIATION OF SHARES/UNITS FOR DILUTED 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0"/>
          <w:szCs w:val="20"/>
          <w:color w:val="auto"/>
        </w:rPr>
      </w:pPr>
    </w:p>
    <w:p>
      <w:pPr>
        <w:ind w:left="91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23495</wp:posOffset>
            </wp:positionV>
            <wp:extent cx="1783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ectPr>
          <w:pgSz w:w="11900" w:h="16838" w:orient="portrait"/>
          <w:cols w:equalWidth="0" w:num="1">
            <w:col w:w="11240"/>
          </w:cols>
          <w:pgMar w:left="320" w:top="279" w:right="339" w:bottom="795" w:gutter="0" w:footer="0" w:header="0"/>
        </w:sect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Shares/units for Basic FFO</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Add:</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Effect of dilutive securities - stock-based compensation (shares/units)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Shares/units for Diluted FFO</w:t>
      </w: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Less:</w:t>
      </w:r>
    </w:p>
    <w:p>
      <w:pPr>
        <w:spacing w:after="0" w:line="55" w:lineRule="exact"/>
        <w:rPr>
          <w:sz w:val="20"/>
          <w:szCs w:val="20"/>
          <w:color w:val="auto"/>
        </w:rPr>
      </w:pPr>
    </w:p>
    <w:p>
      <w:pPr>
        <w:ind w:left="20" w:right="820" w:firstLine="486"/>
        <w:spacing w:after="0" w:line="425" w:lineRule="auto"/>
        <w:rPr>
          <w:sz w:val="20"/>
          <w:szCs w:val="20"/>
          <w:color w:val="auto"/>
        </w:rPr>
      </w:pPr>
      <w:r>
        <w:rPr>
          <w:rFonts w:ascii="Arial" w:cs="Arial" w:eastAsia="Arial" w:hAnsi="Arial"/>
          <w:sz w:val="14"/>
          <w:szCs w:val="14"/>
          <w:color w:val="auto"/>
        </w:rPr>
        <w:t>Noncontrolling interest - common units of the Operating Partnership’s share of Diluted FFO (shares/units) BXP, Inc.’s share of shares/units for Diluted FFO</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BXP, Inc.’s percentage share of Diluted FFO</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20" w:lineRule="exact"/>
        <w:rPr>
          <w:sz w:val="20"/>
          <w:szCs w:val="20"/>
          <w:color w:val="auto"/>
        </w:rPr>
      </w:pPr>
    </w:p>
    <w:p>
      <w:pPr>
        <w:ind w:left="80" w:hanging="72"/>
        <w:spacing w:after="0"/>
        <w:tabs>
          <w:tab w:leader="none" w:pos="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56.</w:t>
      </w:r>
    </w:p>
    <w:p>
      <w:pPr>
        <w:spacing w:after="0" w:line="26" w:lineRule="exact"/>
        <w:rPr>
          <w:rFonts w:ascii="Arial" w:cs="Arial" w:eastAsia="Arial" w:hAnsi="Arial"/>
          <w:sz w:val="19"/>
          <w:szCs w:val="19"/>
          <w:color w:val="auto"/>
          <w:vertAlign w:val="superscript"/>
        </w:rPr>
      </w:pPr>
    </w:p>
    <w:p>
      <w:pPr>
        <w:jc w:val="both"/>
        <w:ind w:right="1920"/>
        <w:spacing w:after="0" w:line="361"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For a quantitative reconciliation for the three months ended September 30, 2026, see page 34. </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For a quantitative reconciliation for the three months ended September 30, 2026, see page 37.</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30-Sep-26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23495</wp:posOffset>
            </wp:positionV>
            <wp:extent cx="8318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176,512</w:t>
      </w:r>
    </w:p>
    <w:p>
      <w:pPr>
        <w:spacing w:after="0" w:line="271"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524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23495</wp:posOffset>
            </wp:positionV>
            <wp:extent cx="8318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49" w:lineRule="exact"/>
        <w:rPr>
          <w:sz w:val="20"/>
          <w:szCs w:val="20"/>
          <w:color w:val="auto"/>
        </w:rPr>
      </w:pPr>
    </w:p>
    <w:p>
      <w:pPr>
        <w:jc w:val="right"/>
        <w:ind w:right="160"/>
        <w:spacing w:after="0"/>
        <w:rPr>
          <w:sz w:val="20"/>
          <w:szCs w:val="20"/>
          <w:color w:val="auto"/>
        </w:rPr>
      </w:pPr>
      <w:r>
        <w:rPr>
          <w:rFonts w:ascii="Arial" w:cs="Arial" w:eastAsia="Arial" w:hAnsi="Arial"/>
          <w:sz w:val="14"/>
          <w:szCs w:val="14"/>
          <w:color w:val="auto"/>
        </w:rPr>
        <w:t>177,036</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16,927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23495</wp:posOffset>
            </wp:positionV>
            <wp:extent cx="8318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160,109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23495</wp:posOffset>
            </wp:positionV>
            <wp:extent cx="8318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31850" cy="8890"/>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49530</wp:posOffset>
            </wp:positionV>
            <wp:extent cx="8318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90.44 %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-194945</wp:posOffset>
            </wp:positionH>
            <wp:positionV relativeFrom="paragraph">
              <wp:posOffset>23495</wp:posOffset>
            </wp:positionV>
            <wp:extent cx="8318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-194945</wp:posOffset>
            </wp:positionH>
            <wp:positionV relativeFrom="paragraph">
              <wp:posOffset>49530</wp:posOffset>
            </wp:positionV>
            <wp:extent cx="8318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30-Jun-26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23495</wp:posOffset>
            </wp:positionV>
            <wp:extent cx="8312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176,474</w:t>
      </w:r>
    </w:p>
    <w:p>
      <w:pPr>
        <w:spacing w:after="0" w:line="271"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23495</wp:posOffset>
            </wp:positionV>
            <wp:extent cx="8312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49"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176,936</w:t>
      </w:r>
    </w:p>
    <w:p>
      <w:pPr>
        <w:spacing w:after="0" w:line="271" w:lineRule="exact"/>
        <w:rPr>
          <w:sz w:val="20"/>
          <w:szCs w:val="20"/>
          <w:color w:val="auto"/>
        </w:rPr>
      </w:pPr>
    </w:p>
    <w:p>
      <w:pPr>
        <w:ind w:left="380"/>
        <w:spacing w:after="0"/>
        <w:rPr>
          <w:sz w:val="20"/>
          <w:szCs w:val="20"/>
          <w:color w:val="auto"/>
        </w:rPr>
      </w:pPr>
      <w:r>
        <w:rPr>
          <w:rFonts w:ascii="Arial" w:cs="Arial" w:eastAsia="Arial" w:hAnsi="Arial"/>
          <w:sz w:val="14"/>
          <w:szCs w:val="14"/>
          <w:color w:val="auto"/>
        </w:rPr>
        <w:t>17,307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23495</wp:posOffset>
            </wp:positionV>
            <wp:extent cx="8312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4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159,629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23495</wp:posOffset>
            </wp:positionV>
            <wp:extent cx="8312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31215" cy="8890"/>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49530</wp:posOffset>
            </wp:positionV>
            <wp:extent cx="8312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26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90.22 %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23495</wp:posOffset>
            </wp:positionV>
            <wp:extent cx="8312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49530</wp:posOffset>
            </wp:positionV>
            <wp:extent cx="8312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spacing w:after="0" w:line="1335" w:lineRule="exact"/>
        <w:rPr>
          <w:sz w:val="20"/>
          <w:szCs w:val="20"/>
          <w:color w:val="auto"/>
        </w:rPr>
      </w:pPr>
    </w:p>
    <w:p>
      <w:pPr>
        <w:sectPr>
          <w:pgSz w:w="11900" w:h="16838" w:orient="portrait"/>
          <w:cols w:equalWidth="0" w:num="3">
            <w:col w:w="8020" w:space="720"/>
            <w:col w:w="980" w:space="520"/>
            <w:col w:w="1000"/>
          </w:cols>
          <w:pgMar w:left="320" w:top="279" w:right="339" w:bottom="795" w:gutter="0" w:footer="0" w:header="0"/>
          <w:type w:val="continuous"/>
        </w:sectPr>
      </w:pPr>
    </w:p>
    <w:p>
      <w:pPr>
        <w:spacing w:after="0" w:line="97"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240"/>
          </w:cols>
          <w:pgMar w:left="320" w:top="279" w:right="339" w:bottom="795" w:gutter="0" w:footer="0" w:header="0"/>
          <w:type w:val="continuous"/>
        </w:sectPr>
      </w:pPr>
    </w:p>
    <w:bookmarkStart w:id="15" w:name="page16"/>
    <w:bookmarkEnd w:id="15"/>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Funds available for distributions (FAD) </w:t>
      </w:r>
      <w:r>
        <w:rPr>
          <w:rFonts w:ascii="Arial" w:cs="Arial" w:eastAsia="Arial" w:hAnsi="Arial"/>
          <w:sz w:val="18"/>
          <w:szCs w:val="18"/>
          <w:b w:val="1"/>
          <w:bCs w:val="1"/>
          <w:color w:val="00497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20"/>
                <w:szCs w:val="20"/>
                <w:color w:val="auto"/>
              </w:rPr>
            </w:pPr>
            <w:r>
              <w:rPr>
                <w:rFonts w:ascii="Arial" w:cs="Arial" w:eastAsia="Arial" w:hAnsi="Arial"/>
                <w:sz w:val="14"/>
                <w:szCs w:val="14"/>
                <w:color w:val="auto"/>
              </w:rPr>
              <w:t>(dollars in thousands)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18"/>
        </w:trPr>
        <w:tc>
          <w:tcPr>
            <w:tcW w:w="8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Three Months Ended</w:t>
            </w:r>
          </w:p>
        </w:tc>
      </w:tr>
      <w:tr>
        <w:trPr>
          <w:trHeight w:val="209"/>
        </w:trPr>
        <w:tc>
          <w:tcPr>
            <w:tcW w:w="8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ind w:left="100"/>
              <w:spacing w:after="0"/>
              <w:rPr>
                <w:sz w:val="20"/>
                <w:szCs w:val="20"/>
                <w:color w:val="auto"/>
              </w:rPr>
            </w:pPr>
            <w:r>
              <w:rPr>
                <w:rFonts w:ascii="Arial" w:cs="Arial" w:eastAsia="Arial" w:hAnsi="Arial"/>
                <w:sz w:val="14"/>
                <w:szCs w:val="14"/>
                <w:b w:val="1"/>
                <w:bCs w:val="1"/>
                <w:color w:val="auto"/>
              </w:rPr>
              <w:t>30-Sep-26</w:t>
            </w:r>
          </w:p>
        </w:tc>
        <w:tc>
          <w:tcPr>
            <w:tcW w:w="220" w:type="dxa"/>
            <w:vAlign w:val="bottom"/>
          </w:tcPr>
          <w:p>
            <w:pPr>
              <w:spacing w:after="0"/>
              <w:rPr>
                <w:sz w:val="18"/>
                <w:szCs w:val="18"/>
                <w:color w:val="auto"/>
              </w:rPr>
            </w:pPr>
          </w:p>
        </w:tc>
        <w:tc>
          <w:tcPr>
            <w:tcW w:w="1120" w:type="dxa"/>
            <w:vAlign w:val="bottom"/>
          </w:tcPr>
          <w:p>
            <w:pPr>
              <w:jc w:val="right"/>
              <w:ind w:right="268"/>
              <w:spacing w:after="0"/>
              <w:rPr>
                <w:sz w:val="20"/>
                <w:szCs w:val="20"/>
                <w:color w:val="auto"/>
              </w:rPr>
            </w:pPr>
            <w:r>
              <w:rPr>
                <w:rFonts w:ascii="Arial" w:cs="Arial" w:eastAsia="Arial" w:hAnsi="Arial"/>
                <w:sz w:val="14"/>
                <w:szCs w:val="14"/>
                <w:b w:val="1"/>
                <w:bCs w:val="1"/>
                <w:color w:val="auto"/>
              </w:rPr>
              <w:t>30-Jun-26</w:t>
            </w:r>
          </w:p>
        </w:tc>
      </w:tr>
      <w:tr>
        <w:trPr>
          <w:trHeight w:val="203"/>
        </w:trPr>
        <w:tc>
          <w:tcPr>
            <w:tcW w:w="8380" w:type="dxa"/>
            <w:vAlign w:val="bottom"/>
          </w:tcPr>
          <w:p>
            <w:pPr>
              <w:ind w:left="20"/>
              <w:spacing w:after="0"/>
              <w:rPr>
                <w:sz w:val="20"/>
                <w:szCs w:val="20"/>
                <w:color w:val="auto"/>
              </w:rPr>
            </w:pPr>
            <w:r>
              <w:rPr>
                <w:rFonts w:ascii="Arial" w:cs="Arial" w:eastAsia="Arial" w:hAnsi="Arial"/>
                <w:sz w:val="14"/>
                <w:szCs w:val="14"/>
                <w:color w:val="auto"/>
              </w:rPr>
              <w:t>Net income attributable to BXP, Inc.</w:t>
            </w: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114,482</w:t>
            </w:r>
          </w:p>
        </w:tc>
        <w:tc>
          <w:tcPr>
            <w:tcW w:w="180" w:type="dxa"/>
            <w:vAlign w:val="bottom"/>
          </w:tcPr>
          <w:p>
            <w:pPr>
              <w:spacing w:after="0"/>
              <w:rPr>
                <w:sz w:val="17"/>
                <w:szCs w:val="17"/>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68,564</w:t>
            </w:r>
          </w:p>
        </w:tc>
      </w:tr>
      <w:tr>
        <w:trPr>
          <w:trHeight w:val="216"/>
        </w:trPr>
        <w:tc>
          <w:tcPr>
            <w:tcW w:w="8380" w:type="dxa"/>
            <w:vAlign w:val="bottom"/>
          </w:tcPr>
          <w:p>
            <w:pPr>
              <w:ind w:left="260"/>
              <w:spacing w:after="0"/>
              <w:rPr>
                <w:sz w:val="20"/>
                <w:szCs w:val="20"/>
                <w:color w:val="auto"/>
              </w:rPr>
            </w:pPr>
            <w:r>
              <w:rPr>
                <w:rFonts w:ascii="Arial" w:cs="Arial" w:eastAsia="Arial" w:hAnsi="Arial"/>
                <w:sz w:val="14"/>
                <w:szCs w:val="14"/>
                <w:color w:val="auto"/>
              </w:rPr>
              <w:t>Add: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12,320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7,779</w:t>
            </w:r>
          </w:p>
        </w:tc>
      </w:tr>
      <w:tr>
        <w:trPr>
          <w:trHeight w:val="220"/>
        </w:trPr>
        <w:tc>
          <w:tcPr>
            <w:tcW w:w="8380" w:type="dxa"/>
            <w:vAlign w:val="bottom"/>
          </w:tcPr>
          <w:p>
            <w:pPr>
              <w:ind w:left="520"/>
              <w:spacing w:after="0"/>
              <w:rPr>
                <w:sz w:val="20"/>
                <w:szCs w:val="20"/>
                <w:color w:val="auto"/>
              </w:rPr>
            </w:pPr>
            <w:r>
              <w:rPr>
                <w:rFonts w:ascii="Arial" w:cs="Arial" w:eastAsia="Arial" w:hAnsi="Arial"/>
                <w:sz w:val="14"/>
                <w:szCs w:val="14"/>
                <w:color w:val="auto"/>
              </w:rPr>
              <w:t>Noncontrolling interests in property partnerships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28,692</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26,121</w:t>
            </w:r>
          </w:p>
        </w:tc>
      </w:tr>
      <w:tr>
        <w:trPr>
          <w:trHeight w:val="205"/>
        </w:trPr>
        <w:tc>
          <w:tcPr>
            <w:tcW w:w="83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155,494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102,464</w:t>
            </w:r>
          </w:p>
        </w:tc>
      </w:tr>
      <w:tr>
        <w:trPr>
          <w:trHeight w:val="216"/>
        </w:trPr>
        <w:tc>
          <w:tcPr>
            <w:tcW w:w="8380" w:type="dxa"/>
            <w:vAlign w:val="bottom"/>
          </w:tcPr>
          <w:p>
            <w:pPr>
              <w:ind w:left="260"/>
              <w:spacing w:after="0"/>
              <w:rPr>
                <w:sz w:val="20"/>
                <w:szCs w:val="20"/>
                <w:color w:val="auto"/>
              </w:rPr>
            </w:pPr>
            <w:r>
              <w:rPr>
                <w:rFonts w:ascii="Arial" w:cs="Arial" w:eastAsia="Arial" w:hAnsi="Arial"/>
                <w:sz w:val="14"/>
                <w:szCs w:val="14"/>
                <w:color w:val="auto"/>
              </w:rPr>
              <w:t>Add: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Depreciation and amortization expense</w:t>
            </w:r>
          </w:p>
        </w:tc>
        <w:tc>
          <w:tcPr>
            <w:tcW w:w="2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228,679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236,977</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Noncontrolling interests in property partnerships’ share of depreciation and amortization </w:t>
            </w:r>
            <w:r>
              <w:rPr>
                <w:rFonts w:ascii="Arial" w:cs="Arial" w:eastAsia="Arial" w:hAnsi="Arial"/>
                <w:sz w:val="9"/>
                <w:szCs w:val="9"/>
                <w:color w:val="auto"/>
              </w:rPr>
              <w:t>2</w:t>
            </w:r>
          </w:p>
        </w:tc>
        <w:tc>
          <w:tcPr>
            <w:tcW w:w="22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(23,901)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(23,336)</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depreciation and amortization from unconsolidated joint ventures </w:t>
            </w:r>
            <w:r>
              <w:rPr>
                <w:rFonts w:ascii="Arial" w:cs="Arial" w:eastAsia="Arial" w:hAnsi="Arial"/>
                <w:sz w:val="9"/>
                <w:szCs w:val="9"/>
                <w:color w:val="auto"/>
              </w:rPr>
              <w:t>3</w:t>
            </w:r>
          </w:p>
        </w:tc>
        <w:tc>
          <w:tcPr>
            <w:tcW w:w="2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12,047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12,716</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Corporate-related depreciation and amortization</w:t>
            </w:r>
          </w:p>
        </w:tc>
        <w:tc>
          <w:tcPr>
            <w:tcW w:w="22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(632)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(549)</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Non-real estate related amortization</w:t>
            </w:r>
          </w:p>
        </w:tc>
        <w:tc>
          <w:tcPr>
            <w:tcW w:w="2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2,131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2,131</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Impairment loss</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18,036</w:t>
            </w:r>
          </w:p>
        </w:tc>
      </w:tr>
      <w:tr>
        <w:trPr>
          <w:trHeight w:val="216"/>
        </w:trPr>
        <w:tc>
          <w:tcPr>
            <w:tcW w:w="8380" w:type="dxa"/>
            <w:vAlign w:val="bottom"/>
          </w:tcPr>
          <w:p>
            <w:pPr>
              <w:ind w:left="260"/>
              <w:spacing w:after="0"/>
              <w:rPr>
                <w:sz w:val="20"/>
                <w:szCs w:val="20"/>
                <w:color w:val="auto"/>
              </w:rPr>
            </w:pPr>
            <w:r>
              <w:rPr>
                <w:rFonts w:ascii="Arial" w:cs="Arial" w:eastAsia="Arial" w:hAnsi="Arial"/>
                <w:sz w:val="14"/>
                <w:szCs w:val="14"/>
                <w:color w:val="auto"/>
              </w:rPr>
              <w:t>Less: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Gains on sales of real estate</w:t>
            </w:r>
          </w:p>
        </w:tc>
        <w:tc>
          <w:tcPr>
            <w:tcW w:w="2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10,441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6,997</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Gains on sales included within income (loss) from unconsolidated joint ventures</w:t>
            </w:r>
          </w:p>
        </w:tc>
        <w:tc>
          <w:tcPr>
            <w:tcW w:w="22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1,157</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Unrealized gain (loss) on non-real estate investments</w:t>
            </w:r>
          </w:p>
        </w:tc>
        <w:tc>
          <w:tcPr>
            <w:tcW w:w="2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386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(75)</w:t>
            </w:r>
          </w:p>
        </w:tc>
      </w:tr>
      <w:tr>
        <w:trPr>
          <w:trHeight w:val="220"/>
        </w:trPr>
        <w:tc>
          <w:tcPr>
            <w:tcW w:w="8380" w:type="dxa"/>
            <w:vAlign w:val="bottom"/>
          </w:tcPr>
          <w:p>
            <w:pPr>
              <w:ind w:left="520"/>
              <w:spacing w:after="0"/>
              <w:rPr>
                <w:sz w:val="20"/>
                <w:szCs w:val="20"/>
                <w:color w:val="auto"/>
              </w:rPr>
            </w:pPr>
            <w:r>
              <w:rPr>
                <w:rFonts w:ascii="Arial" w:cs="Arial" w:eastAsia="Arial" w:hAnsi="Arial"/>
                <w:sz w:val="14"/>
                <w:szCs w:val="14"/>
                <w:color w:val="auto"/>
              </w:rPr>
              <w:t>Noncontrolling interests in property partnerships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28,692</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26,121</w:t>
            </w:r>
          </w:p>
        </w:tc>
      </w:tr>
      <w:tr>
        <w:trPr>
          <w:trHeight w:val="206"/>
        </w:trPr>
        <w:tc>
          <w:tcPr>
            <w:tcW w:w="8380" w:type="dxa"/>
            <w:vAlign w:val="bottom"/>
          </w:tcPr>
          <w:p>
            <w:pPr>
              <w:ind w:left="20"/>
              <w:spacing w:after="0"/>
              <w:rPr>
                <w:sz w:val="20"/>
                <w:szCs w:val="20"/>
                <w:color w:val="auto"/>
              </w:rPr>
            </w:pPr>
            <w:r>
              <w:rPr>
                <w:rFonts w:ascii="Arial" w:cs="Arial" w:eastAsia="Arial" w:hAnsi="Arial"/>
                <w:sz w:val="14"/>
                <w:szCs w:val="14"/>
                <w:color w:val="auto"/>
              </w:rPr>
              <w:t>Basic FFO</w:t>
            </w:r>
          </w:p>
        </w:tc>
        <w:tc>
          <w:tcPr>
            <w:tcW w:w="220" w:type="dxa"/>
            <w:vAlign w:val="bottom"/>
          </w:tcPr>
          <w:p>
            <w:pPr>
              <w:spacing w:after="0"/>
              <w:rPr>
                <w:sz w:val="17"/>
                <w:szCs w:val="17"/>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334,299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314,239</w:t>
            </w:r>
          </w:p>
        </w:tc>
      </w:tr>
      <w:tr>
        <w:trPr>
          <w:trHeight w:val="216"/>
        </w:trPr>
        <w:tc>
          <w:tcPr>
            <w:tcW w:w="8380" w:type="dxa"/>
            <w:vAlign w:val="bottom"/>
          </w:tcPr>
          <w:p>
            <w:pPr>
              <w:ind w:left="260"/>
              <w:spacing w:after="0"/>
              <w:rPr>
                <w:sz w:val="20"/>
                <w:szCs w:val="20"/>
                <w:color w:val="auto"/>
              </w:rPr>
            </w:pPr>
            <w:r>
              <w:rPr>
                <w:rFonts w:ascii="Arial" w:cs="Arial" w:eastAsia="Arial" w:hAnsi="Arial"/>
                <w:sz w:val="14"/>
                <w:szCs w:val="14"/>
                <w:color w:val="auto"/>
              </w:rPr>
              <w:t>Add:</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lease transaction costs that qualify as rent inducements </w:t>
            </w:r>
            <w:r>
              <w:rPr>
                <w:rFonts w:ascii="Arial" w:cs="Arial" w:eastAsia="Arial" w:hAnsi="Arial"/>
                <w:sz w:val="9"/>
                <w:szCs w:val="9"/>
                <w:color w:val="auto"/>
              </w:rPr>
              <w:t>1, 4</w:t>
            </w:r>
          </w:p>
        </w:tc>
        <w:tc>
          <w:tcPr>
            <w:tcW w:w="2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3,993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4,071</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hedge amortization, net of costs </w:t>
            </w:r>
            <w:r>
              <w:rPr>
                <w:rFonts w:ascii="Arial" w:cs="Arial" w:eastAsia="Arial" w:hAnsi="Arial"/>
                <w:sz w:val="9"/>
                <w:szCs w:val="9"/>
                <w:color w:val="auto"/>
              </w:rPr>
              <w:t>1</w:t>
            </w:r>
          </w:p>
        </w:tc>
        <w:tc>
          <w:tcPr>
            <w:tcW w:w="2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877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1,714</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fair value interest adjustment </w:t>
            </w:r>
            <w:r>
              <w:rPr>
                <w:rFonts w:ascii="Arial" w:cs="Arial" w:eastAsia="Arial" w:hAnsi="Arial"/>
                <w:sz w:val="9"/>
                <w:szCs w:val="9"/>
                <w:color w:val="auto"/>
              </w:rPr>
              <w:t>1</w:t>
            </w:r>
          </w:p>
        </w:tc>
        <w:tc>
          <w:tcPr>
            <w:tcW w:w="2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260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260</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straight-line ground rent expense adjustment </w:t>
            </w:r>
            <w:r>
              <w:rPr>
                <w:rFonts w:ascii="Arial" w:cs="Arial" w:eastAsia="Arial" w:hAnsi="Arial"/>
                <w:sz w:val="9"/>
                <w:szCs w:val="9"/>
                <w:color w:val="auto"/>
              </w:rPr>
              <w:t>1, 5</w:t>
            </w:r>
          </w:p>
        </w:tc>
        <w:tc>
          <w:tcPr>
            <w:tcW w:w="22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(5,391)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(3,895)</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Stock-based compensation</w:t>
            </w:r>
          </w:p>
        </w:tc>
        <w:tc>
          <w:tcPr>
            <w:tcW w:w="2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7,398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15,463</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Non-real estate depreciation and amortization</w:t>
            </w:r>
          </w:p>
        </w:tc>
        <w:tc>
          <w:tcPr>
            <w:tcW w:w="22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(1,499)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(1,582)</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Unearned portion of capitalized fees from consolidated joint ventures </w:t>
            </w:r>
            <w:r>
              <w:rPr>
                <w:rFonts w:ascii="Arial" w:cs="Arial" w:eastAsia="Arial" w:hAnsi="Arial"/>
                <w:sz w:val="9"/>
                <w:szCs w:val="9"/>
                <w:color w:val="auto"/>
              </w:rPr>
              <w:t>6</w:t>
            </w:r>
          </w:p>
        </w:tc>
        <w:tc>
          <w:tcPr>
            <w:tcW w:w="2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2,119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915</w:t>
            </w:r>
          </w:p>
        </w:tc>
      </w:tr>
      <w:tr>
        <w:trPr>
          <w:trHeight w:val="216"/>
        </w:trPr>
        <w:tc>
          <w:tcPr>
            <w:tcW w:w="8380" w:type="dxa"/>
            <w:vAlign w:val="bottom"/>
          </w:tcPr>
          <w:p>
            <w:pPr>
              <w:ind w:left="260"/>
              <w:spacing w:after="0"/>
              <w:rPr>
                <w:sz w:val="20"/>
                <w:szCs w:val="20"/>
                <w:color w:val="auto"/>
              </w:rPr>
            </w:pPr>
            <w:r>
              <w:rPr>
                <w:rFonts w:ascii="Arial" w:cs="Arial" w:eastAsia="Arial" w:hAnsi="Arial"/>
                <w:sz w:val="14"/>
                <w:szCs w:val="14"/>
                <w:color w:val="auto"/>
              </w:rPr>
              <w:t>Less: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straight-line rent </w:t>
            </w:r>
            <w:r>
              <w:rPr>
                <w:rFonts w:ascii="Arial" w:cs="Arial" w:eastAsia="Arial" w:hAnsi="Arial"/>
                <w:sz w:val="9"/>
                <w:szCs w:val="9"/>
                <w:color w:val="auto"/>
              </w:rPr>
              <w:t>1</w:t>
            </w:r>
          </w:p>
        </w:tc>
        <w:tc>
          <w:tcPr>
            <w:tcW w:w="2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46,541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19,396</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fair value lease revenue </w:t>
            </w:r>
            <w:r>
              <w:rPr>
                <w:rFonts w:ascii="Arial" w:cs="Arial" w:eastAsia="Arial" w:hAnsi="Arial"/>
                <w:sz w:val="9"/>
                <w:szCs w:val="9"/>
                <w:color w:val="auto"/>
              </w:rPr>
              <w:t>1, 7</w:t>
            </w:r>
          </w:p>
        </w:tc>
        <w:tc>
          <w:tcPr>
            <w:tcW w:w="2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2,863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2,864</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non-cash termination income adjustment </w:t>
            </w:r>
            <w:r>
              <w:rPr>
                <w:rFonts w:ascii="Arial" w:cs="Arial" w:eastAsia="Arial" w:hAnsi="Arial"/>
                <w:sz w:val="9"/>
                <w:szCs w:val="9"/>
                <w:color w:val="auto"/>
              </w:rPr>
              <w:t>1</w:t>
            </w:r>
          </w:p>
        </w:tc>
        <w:tc>
          <w:tcPr>
            <w:tcW w:w="220" w:type="dxa"/>
            <w:vAlign w:val="bottom"/>
          </w:tcPr>
          <w:p>
            <w:pPr>
              <w:spacing w:after="0"/>
              <w:rPr>
                <w:sz w:val="18"/>
                <w:szCs w:val="18"/>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(4,376)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(2,306)</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2nd generation tenant improvements and leasing commissions </w:t>
            </w:r>
            <w:r>
              <w:rPr>
                <w:rFonts w:ascii="Arial" w:cs="Arial" w:eastAsia="Arial" w:hAnsi="Arial"/>
                <w:sz w:val="9"/>
                <w:szCs w:val="9"/>
                <w:color w:val="auto"/>
              </w:rPr>
              <w:t>1</w:t>
            </w:r>
          </w:p>
        </w:tc>
        <w:tc>
          <w:tcPr>
            <w:tcW w:w="2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117,990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153,008</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maintenance capital expenditures </w:t>
            </w:r>
            <w:r>
              <w:rPr>
                <w:rFonts w:ascii="Arial" w:cs="Arial" w:eastAsia="Arial" w:hAnsi="Arial"/>
                <w:sz w:val="9"/>
                <w:szCs w:val="9"/>
                <w:color w:val="auto"/>
              </w:rPr>
              <w:t>1, 8</w:t>
            </w:r>
          </w:p>
        </w:tc>
        <w:tc>
          <w:tcPr>
            <w:tcW w:w="2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14,153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14,617</w:t>
            </w:r>
          </w:p>
        </w:tc>
      </w:tr>
      <w:tr>
        <w:trPr>
          <w:trHeight w:val="216"/>
        </w:trPr>
        <w:tc>
          <w:tcPr>
            <w:tcW w:w="8380" w:type="dxa"/>
            <w:vAlign w:val="bottom"/>
          </w:tcPr>
          <w:p>
            <w:pPr>
              <w:ind w:left="520"/>
              <w:spacing w:after="0"/>
              <w:rPr>
                <w:sz w:val="20"/>
                <w:szCs w:val="20"/>
                <w:color w:val="auto"/>
              </w:rPr>
            </w:pPr>
            <w:r>
              <w:rPr>
                <w:rFonts w:ascii="Arial" w:cs="Arial" w:eastAsia="Arial" w:hAnsi="Arial"/>
                <w:sz w:val="14"/>
                <w:szCs w:val="14"/>
                <w:color w:val="auto"/>
              </w:rPr>
              <w:t xml:space="preserve">BXP’s Share of amortization and accretion related to sales type lease </w:t>
            </w:r>
            <w:r>
              <w:rPr>
                <w:rFonts w:ascii="Arial" w:cs="Arial" w:eastAsia="Arial" w:hAnsi="Arial"/>
                <w:sz w:val="9"/>
                <w:szCs w:val="9"/>
                <w:color w:val="auto"/>
              </w:rPr>
              <w:t>1</w:t>
            </w:r>
          </w:p>
        </w:tc>
        <w:tc>
          <w:tcPr>
            <w:tcW w:w="220" w:type="dxa"/>
            <w:vAlign w:val="bottom"/>
          </w:tcPr>
          <w:p>
            <w:pPr>
              <w:spacing w:after="0"/>
              <w:rPr>
                <w:sz w:val="18"/>
                <w:szCs w:val="18"/>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auto"/>
              </w:rPr>
              <w:t>186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278</w:t>
            </w:r>
          </w:p>
        </w:tc>
      </w:tr>
      <w:tr>
        <w:trPr>
          <w:trHeight w:val="220"/>
        </w:trPr>
        <w:tc>
          <w:tcPr>
            <w:tcW w:w="8380" w:type="dxa"/>
            <w:vAlign w:val="bottom"/>
          </w:tcPr>
          <w:p>
            <w:pPr>
              <w:ind w:left="520"/>
              <w:spacing w:after="0"/>
              <w:rPr>
                <w:sz w:val="20"/>
                <w:szCs w:val="20"/>
                <w:color w:val="auto"/>
              </w:rPr>
            </w:pPr>
            <w:r>
              <w:rPr>
                <w:rFonts w:ascii="Arial" w:cs="Arial" w:eastAsia="Arial" w:hAnsi="Arial"/>
                <w:sz w:val="14"/>
                <w:szCs w:val="14"/>
                <w:color w:val="auto"/>
              </w:rPr>
              <w:t>Hotel improvements, equipment upgrades and replacements</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1,285</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1,259</w:t>
            </w:r>
          </w:p>
        </w:tc>
      </w:tr>
      <w:tr>
        <w:trPr>
          <w:trHeight w:val="213"/>
        </w:trPr>
        <w:tc>
          <w:tcPr>
            <w:tcW w:w="8380" w:type="dxa"/>
            <w:vAlign w:val="bottom"/>
          </w:tcPr>
          <w:p>
            <w:pPr>
              <w:ind w:left="20"/>
              <w:spacing w:after="0"/>
              <w:rPr>
                <w:sz w:val="20"/>
                <w:szCs w:val="20"/>
                <w:color w:val="auto"/>
              </w:rPr>
            </w:pPr>
            <w:r>
              <w:rPr>
                <w:rFonts w:ascii="Arial" w:cs="Arial" w:eastAsia="Arial" w:hAnsi="Arial"/>
                <w:sz w:val="14"/>
                <w:szCs w:val="14"/>
                <w:color w:val="auto"/>
              </w:rPr>
              <w:t xml:space="preserve">Funds available for distribution to common shareholders and common unitholders (FAD) </w:t>
            </w:r>
            <w:r>
              <w:rPr>
                <w:rFonts w:ascii="Arial" w:cs="Arial" w:eastAsia="Arial" w:hAnsi="Arial"/>
                <w:sz w:val="14"/>
                <w:szCs w:val="14"/>
                <w:b w:val="1"/>
                <w:bCs w:val="1"/>
                <w:color w:val="auto"/>
              </w:rPr>
              <w:t>(A)</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163,414</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142,069</w:t>
            </w:r>
          </w:p>
        </w:tc>
      </w:tr>
      <w:tr>
        <w:trPr>
          <w:trHeight w:val="20"/>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84"/>
        </w:trPr>
        <w:tc>
          <w:tcPr>
            <w:tcW w:w="8380" w:type="dxa"/>
            <w:vAlign w:val="bottom"/>
          </w:tcPr>
          <w:p>
            <w:pPr>
              <w:ind w:left="20"/>
              <w:spacing w:after="0"/>
              <w:rPr>
                <w:sz w:val="20"/>
                <w:szCs w:val="20"/>
                <w:color w:val="auto"/>
              </w:rPr>
            </w:pPr>
            <w:r>
              <w:rPr>
                <w:rFonts w:ascii="Arial" w:cs="Arial" w:eastAsia="Arial" w:hAnsi="Arial"/>
                <w:sz w:val="14"/>
                <w:szCs w:val="14"/>
                <w:color w:val="auto"/>
              </w:rPr>
              <w:t xml:space="preserve">Distributions to common shareholders and unitholders (excluding any special distributions) </w:t>
            </w:r>
            <w:r>
              <w:rPr>
                <w:rFonts w:ascii="Arial" w:cs="Arial" w:eastAsia="Arial" w:hAnsi="Arial"/>
                <w:sz w:val="14"/>
                <w:szCs w:val="14"/>
                <w:b w:val="1"/>
                <w:bCs w:val="1"/>
                <w:color w:val="auto"/>
              </w:rPr>
              <w:t>(B)</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124,379</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124,374</w:t>
            </w:r>
          </w:p>
        </w:tc>
      </w:tr>
      <w:tr>
        <w:trPr>
          <w:trHeight w:val="399"/>
        </w:trPr>
        <w:tc>
          <w:tcPr>
            <w:tcW w:w="8380" w:type="dxa"/>
            <w:vAlign w:val="bottom"/>
          </w:tcPr>
          <w:p>
            <w:pPr>
              <w:ind w:left="20"/>
              <w:spacing w:after="0"/>
              <w:rPr>
                <w:sz w:val="20"/>
                <w:szCs w:val="20"/>
                <w:color w:val="auto"/>
              </w:rPr>
            </w:pPr>
            <w:r>
              <w:rPr>
                <w:rFonts w:ascii="Arial" w:cs="Arial" w:eastAsia="Arial" w:hAnsi="Arial"/>
                <w:sz w:val="14"/>
                <w:szCs w:val="14"/>
                <w:color w:val="auto"/>
              </w:rPr>
              <w:t>FAD Payout Ratio</w:t>
            </w:r>
            <w:r>
              <w:rPr>
                <w:rFonts w:ascii="Arial" w:cs="Arial" w:eastAsia="Arial" w:hAnsi="Arial"/>
                <w:sz w:val="9"/>
                <w:szCs w:val="9"/>
                <w:color w:val="auto"/>
              </w:rPr>
              <w:t>1</w:t>
            </w:r>
            <w:r>
              <w:rPr>
                <w:rFonts w:ascii="Arial" w:cs="Arial" w:eastAsia="Arial" w:hAnsi="Arial"/>
                <w:sz w:val="14"/>
                <w:szCs w:val="14"/>
                <w:color w:val="auto"/>
              </w:rPr>
              <w:t xml:space="preserve"> </w:t>
            </w:r>
            <w:r>
              <w:rPr>
                <w:rFonts w:ascii="Arial" w:cs="Arial" w:eastAsia="Arial" w:hAnsi="Arial"/>
                <w:sz w:val="14"/>
                <w:szCs w:val="14"/>
                <w:b w:val="1"/>
                <w:bCs w:val="1"/>
                <w:color w:val="auto"/>
              </w:rPr>
              <w:t>(B÷A)</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76.11 %</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87.54 %</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20" w:lineRule="exact"/>
        <w:rPr>
          <w:sz w:val="20"/>
          <w:szCs w:val="20"/>
          <w:color w:val="auto"/>
        </w:rPr>
      </w:pPr>
    </w:p>
    <w:p>
      <w:pPr>
        <w:ind w:left="80" w:hanging="72"/>
        <w:spacing w:after="0"/>
        <w:tabs>
          <w:tab w:leader="none" w:pos="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56.</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For a quantitative reconciliation for the three months ended September 30, 2026, see page 34.</w:t>
      </w:r>
    </w:p>
    <w:p>
      <w:pPr>
        <w:spacing w:after="0" w:line="38"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For additional information for the three months ended September 30, 2026, see page 37.</w:t>
      </w:r>
    </w:p>
    <w:p>
      <w:pPr>
        <w:spacing w:after="0" w:line="11" w:lineRule="exact"/>
        <w:rPr>
          <w:rFonts w:ascii="Arial" w:cs="Arial" w:eastAsia="Arial" w:hAnsi="Arial"/>
          <w:sz w:val="19"/>
          <w:szCs w:val="19"/>
          <w:color w:val="auto"/>
          <w:vertAlign w:val="superscript"/>
        </w:rPr>
      </w:pPr>
    </w:p>
    <w:p>
      <w:pPr>
        <w:ind w:left="80" w:right="580" w:hanging="81"/>
        <w:spacing w:after="0" w:line="229"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Consists of lease transaction costs that qualify as rent inducements in accordance with GAAP. Lease transaction costs are generally included in 2nd generation tenant improvements and leasing commissions in the period the lease commences.</w:t>
      </w:r>
    </w:p>
    <w:p>
      <w:pPr>
        <w:spacing w:after="0" w:line="12" w:lineRule="exact"/>
        <w:rPr>
          <w:rFonts w:ascii="Arial" w:cs="Arial" w:eastAsia="Arial" w:hAnsi="Arial"/>
          <w:sz w:val="19"/>
          <w:szCs w:val="19"/>
          <w:color w:val="auto"/>
          <w:vertAlign w:val="superscript"/>
        </w:rPr>
      </w:pPr>
    </w:p>
    <w:p>
      <w:pPr>
        <w:ind w:left="80" w:right="240" w:hanging="81"/>
        <w:spacing w:after="0" w:line="275" w:lineRule="auto"/>
        <w:rPr>
          <w:rFonts w:ascii="Arial" w:cs="Arial" w:eastAsia="Arial" w:hAnsi="Arial"/>
          <w:sz w:val="19"/>
          <w:szCs w:val="19"/>
          <w:color w:val="auto"/>
          <w:vertAlign w:val="superscript"/>
        </w:rPr>
      </w:pPr>
      <w:r>
        <w:rPr>
          <w:rFonts w:ascii="Arial" w:cs="Arial" w:eastAsia="Arial" w:hAnsi="Arial"/>
          <w:sz w:val="9"/>
          <w:szCs w:val="9"/>
          <w:color w:val="auto"/>
        </w:rPr>
        <w:t xml:space="preserve">5 </w:t>
      </w:r>
      <w:r>
        <w:rPr>
          <w:rFonts w:ascii="Arial" w:cs="Arial" w:eastAsia="Arial" w:hAnsi="Arial"/>
          <w:sz w:val="14"/>
          <w:szCs w:val="14"/>
          <w:color w:val="auto"/>
        </w:rPr>
        <w:t>Includes the straight-line impact of the Company’s 99-year ground and air rights lease related to the Company’s 100 Clarendon Street garage and Back Bay Transit Station.</w:t>
      </w:r>
      <w:r>
        <w:rPr>
          <w:rFonts w:ascii="Arial" w:cs="Arial" w:eastAsia="Arial" w:hAnsi="Arial"/>
          <w:sz w:val="9"/>
          <w:szCs w:val="9"/>
          <w:color w:val="auto"/>
        </w:rPr>
        <w:t xml:space="preserve"> </w:t>
      </w:r>
      <w:r>
        <w:rPr>
          <w:rFonts w:ascii="Arial" w:cs="Arial" w:eastAsia="Arial" w:hAnsi="Arial"/>
          <w:sz w:val="14"/>
          <w:szCs w:val="14"/>
          <w:color w:val="auto"/>
        </w:rPr>
        <w:t>The Company has allocated contractual ground lease payments aggregating approximately $39.0 million, which it expects to incur by the end of 2027 with no payments thereafter. The Company is recognizing this expense on a straight-line basis over the 99-year term of the ground and air rights lease, see page 3.</w:t>
      </w: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6 </w:t>
      </w:r>
      <w:r>
        <w:rPr>
          <w:rFonts w:ascii="Arial" w:cs="Arial" w:eastAsia="Arial" w:hAnsi="Arial"/>
          <w:sz w:val="14"/>
          <w:szCs w:val="14"/>
          <w:color w:val="auto"/>
        </w:rPr>
        <w:t>See page 62 for additional information.</w:t>
      </w:r>
    </w:p>
    <w:p>
      <w:pPr>
        <w:spacing w:after="0" w:line="52" w:lineRule="exact"/>
        <w:rPr>
          <w:rFonts w:ascii="Arial" w:cs="Arial" w:eastAsia="Arial" w:hAnsi="Arial"/>
          <w:sz w:val="19"/>
          <w:szCs w:val="19"/>
          <w:color w:val="auto"/>
          <w:vertAlign w:val="superscript"/>
        </w:rPr>
      </w:pPr>
    </w:p>
    <w:p>
      <w:pPr>
        <w:ind w:right="500"/>
        <w:spacing w:after="0" w:line="257"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7</w:t>
      </w:r>
      <w:r>
        <w:rPr>
          <w:rFonts w:ascii="Arial" w:cs="Arial" w:eastAsia="Arial" w:hAnsi="Arial"/>
          <w:sz w:val="14"/>
          <w:szCs w:val="14"/>
          <w:color w:val="auto"/>
        </w:rPr>
        <w:t xml:space="preserve"> Represents the net adjustment for above- and below-market leases that are amortized over the terms of the respective leases in place at the property acquisition dates. </w:t>
      </w:r>
      <w:r>
        <w:rPr>
          <w:rFonts w:ascii="Arial" w:cs="Arial" w:eastAsia="Arial" w:hAnsi="Arial"/>
          <w:sz w:val="9"/>
          <w:szCs w:val="9"/>
          <w:color w:val="auto"/>
        </w:rPr>
        <w:t xml:space="preserve">8 </w:t>
      </w:r>
      <w:r>
        <w:rPr>
          <w:rFonts w:ascii="Arial" w:cs="Arial" w:eastAsia="Arial" w:hAnsi="Arial"/>
          <w:sz w:val="14"/>
          <w:szCs w:val="14"/>
          <w:color w:val="auto"/>
        </w:rPr>
        <w:t>Maintenance capital expenditures do not include capital expenditures that are planned at the time of acquisition or capital expenditures incurred in connection with</w:t>
      </w:r>
    </w:p>
    <w:p>
      <w:pPr>
        <w:ind w:left="80"/>
        <w:spacing w:after="0"/>
        <w:rPr>
          <w:rFonts w:ascii="Arial" w:cs="Arial" w:eastAsia="Arial" w:hAnsi="Arial"/>
          <w:sz w:val="19"/>
          <w:szCs w:val="19"/>
          <w:color w:val="auto"/>
          <w:vertAlign w:val="superscript"/>
        </w:rPr>
      </w:pPr>
      <w:r>
        <w:rPr>
          <w:rFonts w:ascii="Arial" w:cs="Arial" w:eastAsia="Arial" w:hAnsi="Arial"/>
          <w:sz w:val="14"/>
          <w:szCs w:val="14"/>
          <w:color w:val="auto"/>
        </w:rPr>
        <w:t>repositioning activities.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279" w:right="339" w:bottom="1440" w:gutter="0" w:footer="0" w:header="0"/>
          <w:type w:val="continuous"/>
        </w:sectPr>
      </w:pPr>
    </w:p>
    <w:bookmarkStart w:id="16" w:name="page17"/>
    <w:bookmarkEnd w:id="16"/>
    <w:p>
      <w:pPr>
        <w:ind w:left="10680"/>
        <w:spacing w:after="0"/>
        <w:rPr>
          <w:sz w:val="20"/>
          <w:szCs w:val="20"/>
          <w:color w:val="auto"/>
        </w:rPr>
      </w:pPr>
      <w:r>
        <w:rPr>
          <w:rFonts w:ascii="Arial" w:cs="Arial" w:eastAsia="Arial" w:hAnsi="Arial"/>
          <w:sz w:val="14"/>
          <w:szCs w:val="14"/>
          <w:color w:val="auto"/>
        </w:rPr>
        <w:t>Q3 2026</w:t>
      </w:r>
    </w:p>
    <w:p>
      <w:pPr>
        <w:spacing w:after="0" w:line="69" w:lineRule="exact"/>
        <w:rPr>
          <w:sz w:val="20"/>
          <w:szCs w:val="20"/>
          <w:color w:val="auto"/>
        </w:rPr>
      </w:pPr>
    </w:p>
    <w:p>
      <w:pPr>
        <w:jc w:val="right"/>
        <w:ind w:left="3980" w:right="20"/>
        <w:spacing w:after="0" w:line="294" w:lineRule="auto"/>
        <w:rPr>
          <w:sz w:val="20"/>
          <w:szCs w:val="20"/>
          <w:color w:val="auto"/>
        </w:rPr>
      </w:pPr>
      <w:r>
        <w:rPr>
          <w:rFonts w:ascii="Arial" w:cs="Arial" w:eastAsia="Arial" w:hAnsi="Arial"/>
          <w:sz w:val="14"/>
          <w:szCs w:val="14"/>
          <w:b w:val="1"/>
          <w:bCs w:val="1"/>
          <w:color w:val="00497F"/>
        </w:rPr>
        <w:t>Reconciliation of net income (loss) attributable to BXP, Inc. to BXP’s Share of same property net operating income (NOI)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-243840</wp:posOffset>
            </wp:positionV>
            <wp:extent cx="25717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9"/>
        </w:trPr>
        <w:tc>
          <w:tcPr>
            <w:tcW w:w="8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10"/>
        </w:trPr>
        <w:tc>
          <w:tcPr>
            <w:tcW w:w="8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30-Sep-26</w:t>
            </w:r>
          </w:p>
        </w:tc>
        <w:tc>
          <w:tcPr>
            <w:tcW w:w="240" w:type="dxa"/>
            <w:vAlign w:val="bottom"/>
          </w:tcPr>
          <w:p>
            <w:pPr>
              <w:spacing w:after="0"/>
              <w:rPr>
                <w:sz w:val="18"/>
                <w:szCs w:val="18"/>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b w:val="1"/>
                <w:bCs w:val="1"/>
                <w:color w:val="auto"/>
              </w:rPr>
              <w:t>30-Sep-25</w:t>
            </w:r>
          </w:p>
        </w:tc>
        <w:tc>
          <w:tcPr>
            <w:tcW w:w="0" w:type="dxa"/>
            <w:vAlign w:val="bottom"/>
          </w:tcPr>
          <w:p>
            <w:pPr>
              <w:spacing w:after="0"/>
              <w:rPr>
                <w:sz w:val="1"/>
                <w:szCs w:val="1"/>
                <w:color w:val="auto"/>
              </w:rPr>
            </w:pPr>
          </w:p>
        </w:tc>
      </w:tr>
      <w:tr>
        <w:trPr>
          <w:trHeight w:val="202"/>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 attributable to BXP, Inc.</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114,482</w:t>
            </w:r>
          </w:p>
        </w:tc>
        <w:tc>
          <w:tcPr>
            <w:tcW w:w="200" w:type="dxa"/>
            <w:vAlign w:val="bottom"/>
          </w:tcPr>
          <w:p>
            <w:pPr>
              <w:spacing w:after="0"/>
              <w:rPr>
                <w:sz w:val="17"/>
                <w:szCs w:val="17"/>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(121,712)</w:t>
            </w: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12,320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(12,981)</w:t>
            </w:r>
          </w:p>
        </w:tc>
        <w:tc>
          <w:tcPr>
            <w:tcW w:w="0" w:type="dxa"/>
            <w:vAlign w:val="bottom"/>
          </w:tcPr>
          <w:p>
            <w:pPr>
              <w:spacing w:after="0"/>
              <w:rPr>
                <w:sz w:val="1"/>
                <w:szCs w:val="1"/>
                <w:color w:val="auto"/>
              </w:rPr>
            </w:pPr>
          </w:p>
        </w:tc>
      </w:tr>
      <w:tr>
        <w:trPr>
          <w:trHeight w:val="220"/>
        </w:trPr>
        <w:tc>
          <w:tcPr>
            <w:tcW w:w="8140" w:type="dxa"/>
            <w:vAlign w:val="bottom"/>
          </w:tcPr>
          <w:p>
            <w:pPr>
              <w:ind w:left="260"/>
              <w:spacing w:after="0"/>
              <w:rPr>
                <w:sz w:val="20"/>
                <w:szCs w:val="20"/>
                <w:color w:val="auto"/>
              </w:rPr>
            </w:pPr>
            <w:r>
              <w:rPr>
                <w:rFonts w:ascii="Arial" w:cs="Arial" w:eastAsia="Arial" w:hAnsi="Arial"/>
                <w:sz w:val="14"/>
                <w:szCs w:val="14"/>
                <w:color w:val="auto"/>
              </w:rPr>
              <w:t>Noncontrolling interest in property partnerships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28,692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17,853</w:t>
            </w:r>
          </w:p>
        </w:tc>
        <w:tc>
          <w:tcPr>
            <w:tcW w:w="0" w:type="dxa"/>
            <w:vAlign w:val="bottom"/>
          </w:tcPr>
          <w:p>
            <w:pPr>
              <w:spacing w:after="0"/>
              <w:rPr>
                <w:sz w:val="1"/>
                <w:szCs w:val="1"/>
                <w:color w:val="auto"/>
              </w:rPr>
            </w:pPr>
          </w:p>
        </w:tc>
      </w:tr>
      <w:tr>
        <w:trPr>
          <w:trHeight w:val="205"/>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155,494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(116,840)</w:t>
            </w:r>
          </w:p>
        </w:tc>
        <w:tc>
          <w:tcPr>
            <w:tcW w:w="0" w:type="dxa"/>
            <w:vAlign w:val="bottom"/>
          </w:tcPr>
          <w:p>
            <w:pPr>
              <w:spacing w:after="0"/>
              <w:rPr>
                <w:sz w:val="1"/>
                <w:szCs w:val="1"/>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159,127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164,299</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Impairment loss</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68,901</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Depreciation and amortization expense</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228,679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236,147</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Transaction costs</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1,431</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Payroll and related costs from management services contracts</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3,992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3,821</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General and administrative expense</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37,604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36,188</w:t>
            </w:r>
          </w:p>
        </w:tc>
        <w:tc>
          <w:tcPr>
            <w:tcW w:w="0" w:type="dxa"/>
            <w:vAlign w:val="bottom"/>
          </w:tcPr>
          <w:p>
            <w:pPr>
              <w:spacing w:after="0"/>
              <w:rPr>
                <w:sz w:val="1"/>
                <w:szCs w:val="1"/>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Interest and other income</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7,608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7,620</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Unrealized gain on non-real estate investment</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Gains (losses) from investments in securities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2,400</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Gains on sales of real estate</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10,441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Income (loss) from unconsolidated joint ventures</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(148,329)</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3,992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3,821</w:t>
            </w:r>
          </w:p>
        </w:tc>
        <w:tc>
          <w:tcPr>
            <w:tcW w:w="0" w:type="dxa"/>
            <w:vAlign w:val="bottom"/>
          </w:tcPr>
          <w:p>
            <w:pPr>
              <w:spacing w:after="0"/>
              <w:rPr>
                <w:sz w:val="1"/>
                <w:szCs w:val="1"/>
                <w:color w:val="auto"/>
              </w:rPr>
            </w:pPr>
          </w:p>
        </w:tc>
      </w:tr>
      <w:tr>
        <w:trPr>
          <w:trHeight w:val="220"/>
        </w:trPr>
        <w:tc>
          <w:tcPr>
            <w:tcW w:w="8140" w:type="dxa"/>
            <w:vAlign w:val="bottom"/>
          </w:tcPr>
          <w:p>
            <w:pPr>
              <w:ind w:left="520"/>
              <w:spacing w:after="0"/>
              <w:rPr>
                <w:sz w:val="20"/>
                <w:szCs w:val="20"/>
                <w:color w:val="auto"/>
              </w:rPr>
            </w:pPr>
            <w:r>
              <w:rPr>
                <w:rFonts w:ascii="Arial" w:cs="Arial" w:eastAsia="Arial" w:hAnsi="Arial"/>
                <w:sz w:val="14"/>
                <w:szCs w:val="14"/>
                <w:color w:val="auto"/>
              </w:rPr>
              <w:t>Development and management services revenue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9,792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9,317</w:t>
            </w:r>
          </w:p>
        </w:tc>
        <w:tc>
          <w:tcPr>
            <w:tcW w:w="0" w:type="dxa"/>
            <w:vAlign w:val="bottom"/>
          </w:tcPr>
          <w:p>
            <w:pPr>
              <w:spacing w:after="0"/>
              <w:rPr>
                <w:sz w:val="1"/>
                <w:szCs w:val="1"/>
                <w:color w:val="auto"/>
              </w:rPr>
            </w:pPr>
          </w:p>
        </w:tc>
      </w:tr>
      <w:tr>
        <w:trPr>
          <w:trHeight w:val="205"/>
        </w:trPr>
        <w:tc>
          <w:tcPr>
            <w:tcW w:w="814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552,377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517,008</w:t>
            </w:r>
          </w:p>
        </w:tc>
        <w:tc>
          <w:tcPr>
            <w:tcW w:w="0" w:type="dxa"/>
            <w:vAlign w:val="bottom"/>
          </w:tcPr>
          <w:p>
            <w:pPr>
              <w:spacing w:after="0"/>
              <w:rPr>
                <w:sz w:val="1"/>
                <w:szCs w:val="1"/>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BXP’s share of NOI from unconsolidated joint ventures </w:t>
            </w:r>
            <w:r>
              <w:rPr>
                <w:rFonts w:ascii="Arial" w:cs="Arial" w:eastAsia="Arial" w:hAnsi="Arial"/>
                <w:sz w:val="18"/>
                <w:szCs w:val="18"/>
                <w:color w:val="auto"/>
                <w:vertAlign w:val="superscript"/>
              </w:rPr>
              <w:t>1</w:t>
            </w:r>
          </w:p>
        </w:tc>
        <w:tc>
          <w:tcPr>
            <w:tcW w:w="240" w:type="dxa"/>
            <w:vAlign w:val="bottom"/>
          </w:tcPr>
          <w:p>
            <w:pPr>
              <w:spacing w:after="0"/>
              <w:rPr>
                <w:sz w:val="21"/>
                <w:szCs w:val="21"/>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25,592</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30,675</w:t>
            </w:r>
          </w:p>
        </w:tc>
        <w:tc>
          <w:tcPr>
            <w:tcW w:w="0" w:type="dxa"/>
            <w:vAlign w:val="bottom"/>
          </w:tcPr>
          <w:p>
            <w:pPr>
              <w:spacing w:after="0"/>
              <w:rPr>
                <w:sz w:val="1"/>
                <w:szCs w:val="1"/>
                <w:color w:val="auto"/>
              </w:rPr>
            </w:pPr>
          </w:p>
        </w:tc>
      </w:tr>
      <w:tr>
        <w:trPr>
          <w:trHeight w:val="190"/>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Partners’ share of NOI from consolidated joint ventures (after income allocation to private REIT shareholders) </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63,665</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51,504</w:t>
            </w:r>
          </w:p>
        </w:tc>
        <w:tc>
          <w:tcPr>
            <w:tcW w:w="0" w:type="dxa"/>
            <w:vAlign w:val="bottom"/>
          </w:tcPr>
          <w:p>
            <w:pPr>
              <w:spacing w:after="0"/>
              <w:rPr>
                <w:sz w:val="1"/>
                <w:szCs w:val="1"/>
                <w:color w:val="auto"/>
              </w:rPr>
            </w:pPr>
          </w:p>
        </w:tc>
      </w:tr>
      <w:tr>
        <w:trPr>
          <w:trHeight w:val="201"/>
        </w:trPr>
        <w:tc>
          <w:tcPr>
            <w:tcW w:w="8140" w:type="dxa"/>
            <w:vAlign w:val="bottom"/>
          </w:tcPr>
          <w:p>
            <w:pPr>
              <w:ind w:left="20"/>
              <w:spacing w:after="0"/>
              <w:rPr>
                <w:sz w:val="20"/>
                <w:szCs w:val="20"/>
                <w:color w:val="auto"/>
              </w:rPr>
            </w:pPr>
            <w:r>
              <w:rPr>
                <w:rFonts w:ascii="Arial" w:cs="Arial" w:eastAsia="Arial" w:hAnsi="Arial"/>
                <w:sz w:val="14"/>
                <w:szCs w:val="14"/>
                <w:color w:val="auto"/>
              </w:rPr>
              <w:t>BXP’s Share of NOI</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514,304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496,179</w:t>
            </w:r>
          </w:p>
        </w:tc>
        <w:tc>
          <w:tcPr>
            <w:tcW w:w="0" w:type="dxa"/>
            <w:vAlign w:val="bottom"/>
          </w:tcPr>
          <w:p>
            <w:pPr>
              <w:spacing w:after="0"/>
              <w:rPr>
                <w:sz w:val="1"/>
                <w:szCs w:val="1"/>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Termination income</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3,333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242"/>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BXP’s share of termination income from unconsolidated joint ventures </w:t>
            </w:r>
            <w:r>
              <w:rPr>
                <w:rFonts w:ascii="Arial" w:cs="Arial" w:eastAsia="Arial" w:hAnsi="Arial"/>
                <w:sz w:val="18"/>
                <w:szCs w:val="18"/>
                <w:color w:val="auto"/>
                <w:vertAlign w:val="superscript"/>
              </w:rPr>
              <w:t>1</w:t>
            </w:r>
          </w:p>
        </w:tc>
        <w:tc>
          <w:tcPr>
            <w:tcW w:w="240" w:type="dxa"/>
            <w:vAlign w:val="bottom"/>
          </w:tcPr>
          <w:p>
            <w:pPr>
              <w:spacing w:after="0"/>
              <w:rPr>
                <w:sz w:val="21"/>
                <w:szCs w:val="21"/>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3,667</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190"/>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Partners’ share of termination income from consolidated joint ventures </w:t>
            </w:r>
            <w:r>
              <w:rPr>
                <w:rFonts w:ascii="Arial" w:cs="Arial" w:eastAsia="Arial" w:hAnsi="Arial"/>
                <w:sz w:val="18"/>
                <w:szCs w:val="18"/>
                <w:color w:val="auto"/>
                <w:vertAlign w:val="superscript"/>
              </w:rPr>
              <w:t>2</w:t>
            </w:r>
          </w:p>
        </w:tc>
        <w:tc>
          <w:tcPr>
            <w:tcW w:w="24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color w:val="auto"/>
              </w:rPr>
              <w:t>BXP’s Share of NOI (excluding termination income)</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507,304</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494,797</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814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552,377</w:t>
            </w:r>
          </w:p>
        </w:tc>
        <w:tc>
          <w:tcPr>
            <w:tcW w:w="2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517,008</w:t>
            </w:r>
          </w:p>
        </w:tc>
        <w:tc>
          <w:tcPr>
            <w:tcW w:w="0" w:type="dxa"/>
            <w:vAlign w:val="bottom"/>
          </w:tcPr>
          <w:p>
            <w:pPr>
              <w:spacing w:after="0"/>
              <w:rPr>
                <w:sz w:val="1"/>
                <w:szCs w:val="1"/>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Termination income</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3,333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224"/>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NOI from non Same Properties (excluding termination income)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28,514</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13,038</w:t>
            </w:r>
          </w:p>
        </w:tc>
        <w:tc>
          <w:tcPr>
            <w:tcW w:w="0" w:type="dxa"/>
            <w:vAlign w:val="bottom"/>
          </w:tcPr>
          <w:p>
            <w:pPr>
              <w:spacing w:after="0"/>
              <w:rPr>
                <w:sz w:val="1"/>
                <w:szCs w:val="1"/>
                <w:color w:val="auto"/>
              </w:rPr>
            </w:pPr>
          </w:p>
        </w:tc>
      </w:tr>
      <w:tr>
        <w:trPr>
          <w:trHeight w:val="201"/>
        </w:trPr>
        <w:tc>
          <w:tcPr>
            <w:tcW w:w="8140" w:type="dxa"/>
            <w:vAlign w:val="bottom"/>
          </w:tcPr>
          <w:p>
            <w:pPr>
              <w:ind w:left="20"/>
              <w:spacing w:after="0"/>
              <w:rPr>
                <w:sz w:val="20"/>
                <w:szCs w:val="20"/>
                <w:color w:val="auto"/>
              </w:rPr>
            </w:pPr>
            <w:r>
              <w:rPr>
                <w:rFonts w:ascii="Arial" w:cs="Arial" w:eastAsia="Arial" w:hAnsi="Arial"/>
                <w:sz w:val="14"/>
                <w:szCs w:val="14"/>
                <w:color w:val="auto"/>
              </w:rPr>
              <w:t>Same Property NOI (excluding termination income)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520,530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502,729</w:t>
            </w:r>
          </w:p>
        </w:tc>
        <w:tc>
          <w:tcPr>
            <w:tcW w:w="0" w:type="dxa"/>
            <w:vAlign w:val="bottom"/>
          </w:tcPr>
          <w:p>
            <w:pPr>
              <w:spacing w:after="0"/>
              <w:rPr>
                <w:sz w:val="1"/>
                <w:szCs w:val="1"/>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520"/>
              <w:spacing w:after="0"/>
              <w:rPr>
                <w:sz w:val="20"/>
                <w:szCs w:val="20"/>
                <w:color w:val="auto"/>
              </w:rPr>
            </w:pPr>
            <w:r>
              <w:rPr>
                <w:rFonts w:ascii="Arial" w:cs="Arial" w:eastAsia="Arial" w:hAnsi="Arial"/>
                <w:sz w:val="14"/>
                <w:szCs w:val="14"/>
                <w:color w:val="auto"/>
              </w:rPr>
              <w:t>Partners’ share of NOI from consolidated joint ventures (excluding termination income and after income allocation to</w:t>
            </w:r>
          </w:p>
        </w:tc>
        <w:tc>
          <w:tcPr>
            <w:tcW w:w="240" w:type="dxa"/>
            <w:vAlign w:val="bottom"/>
          </w:tcPr>
          <w:p>
            <w:pPr>
              <w:spacing w:after="0"/>
              <w:rPr>
                <w:sz w:val="14"/>
                <w:szCs w:val="14"/>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63,665</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51,504</w:t>
            </w:r>
          </w:p>
        </w:tc>
        <w:tc>
          <w:tcPr>
            <w:tcW w:w="0" w:type="dxa"/>
            <w:vAlign w:val="bottom"/>
          </w:tcPr>
          <w:p>
            <w:pPr>
              <w:spacing w:after="0"/>
              <w:rPr>
                <w:sz w:val="1"/>
                <w:szCs w:val="1"/>
                <w:color w:val="auto"/>
              </w:rPr>
            </w:pPr>
          </w:p>
        </w:tc>
      </w:tr>
      <w:tr>
        <w:trPr>
          <w:trHeight w:val="194"/>
        </w:trPr>
        <w:tc>
          <w:tcPr>
            <w:tcW w:w="8140" w:type="dxa"/>
            <w:vAlign w:val="bottom"/>
          </w:tcPr>
          <w:p>
            <w:pPr>
              <w:ind w:left="680"/>
              <w:spacing w:after="0"/>
              <w:rPr>
                <w:sz w:val="20"/>
                <w:szCs w:val="20"/>
                <w:color w:val="auto"/>
              </w:rPr>
            </w:pPr>
            <w:r>
              <w:rPr>
                <w:rFonts w:ascii="Arial" w:cs="Arial" w:eastAsia="Arial" w:hAnsi="Arial"/>
                <w:sz w:val="14"/>
                <w:szCs w:val="14"/>
                <w:color w:val="auto"/>
              </w:rPr>
              <w:t xml:space="preserve">private REIT shareholders) </w:t>
            </w:r>
            <w:r>
              <w:rPr>
                <w:rFonts w:ascii="Arial" w:cs="Arial" w:eastAsia="Arial" w:hAnsi="Arial"/>
                <w:sz w:val="9"/>
                <w:szCs w:val="9"/>
                <w:color w:val="auto"/>
              </w:rPr>
              <w:t>2</w:t>
            </w: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520"/>
              <w:spacing w:after="0"/>
              <w:rPr>
                <w:sz w:val="20"/>
                <w:szCs w:val="20"/>
                <w:color w:val="auto"/>
              </w:rPr>
            </w:pPr>
            <w:r>
              <w:rPr>
                <w:rFonts w:ascii="Arial" w:cs="Arial" w:eastAsia="Arial" w:hAnsi="Arial"/>
                <w:sz w:val="14"/>
                <w:szCs w:val="14"/>
                <w:color w:val="auto"/>
              </w:rPr>
              <w:t>Partners’ share of NOI from non Same Properties from consolidated joint ventures (excluding termination income and</w:t>
            </w:r>
          </w:p>
        </w:tc>
        <w:tc>
          <w:tcPr>
            <w:tcW w:w="240" w:type="dxa"/>
            <w:vAlign w:val="bottom"/>
          </w:tcPr>
          <w:p>
            <w:pPr>
              <w:spacing w:after="0"/>
              <w:rPr>
                <w:sz w:val="14"/>
                <w:szCs w:val="14"/>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10,991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8140" w:type="dxa"/>
            <w:vAlign w:val="bottom"/>
          </w:tcPr>
          <w:p>
            <w:pPr>
              <w:ind w:left="680"/>
              <w:spacing w:after="0"/>
              <w:rPr>
                <w:sz w:val="20"/>
                <w:szCs w:val="20"/>
                <w:color w:val="auto"/>
              </w:rPr>
            </w:pPr>
            <w:r>
              <w:rPr>
                <w:rFonts w:ascii="Arial" w:cs="Arial" w:eastAsia="Arial" w:hAnsi="Arial"/>
                <w:sz w:val="14"/>
                <w:szCs w:val="14"/>
                <w:color w:val="auto"/>
              </w:rPr>
              <w:t xml:space="preserve">after income allocation to private REIT shareholders) </w:t>
            </w:r>
            <w:r>
              <w:rPr>
                <w:rFonts w:ascii="Arial" w:cs="Arial" w:eastAsia="Arial" w:hAnsi="Arial"/>
                <w:sz w:val="9"/>
                <w:szCs w:val="9"/>
                <w:color w:val="auto"/>
              </w:rPr>
              <w:t>3</w:t>
            </w:r>
          </w:p>
        </w:tc>
        <w:tc>
          <w:tcPr>
            <w:tcW w:w="2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BXP’s share of NOI from unconsolidated joint ventures (excluding termination income) </w:t>
            </w:r>
            <w:r>
              <w:rPr>
                <w:rFonts w:ascii="Arial" w:cs="Arial" w:eastAsia="Arial" w:hAnsi="Arial"/>
                <w:sz w:val="18"/>
                <w:szCs w:val="18"/>
                <w:color w:val="auto"/>
                <w:vertAlign w:val="superscript"/>
              </w:rPr>
              <w:t>1</w:t>
            </w:r>
          </w:p>
        </w:tc>
        <w:tc>
          <w:tcPr>
            <w:tcW w:w="240" w:type="dxa"/>
            <w:vAlign w:val="bottom"/>
          </w:tcPr>
          <w:p>
            <w:pPr>
              <w:spacing w:after="0"/>
              <w:rPr>
                <w:sz w:val="21"/>
                <w:szCs w:val="21"/>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21,925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30,534</w:t>
            </w:r>
          </w:p>
        </w:tc>
        <w:tc>
          <w:tcPr>
            <w:tcW w:w="0" w:type="dxa"/>
            <w:vAlign w:val="bottom"/>
          </w:tcPr>
          <w:p>
            <w:pPr>
              <w:spacing w:after="0"/>
              <w:rPr>
                <w:sz w:val="1"/>
                <w:szCs w:val="1"/>
                <w:color w:val="auto"/>
              </w:rPr>
            </w:pPr>
          </w:p>
        </w:tc>
      </w:tr>
      <w:tr>
        <w:trPr>
          <w:trHeight w:val="190"/>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BXP’s share of NOI from non Same Properties from unconsolidated joint ventures (excluding termination income)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1,881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9,961</w:t>
            </w:r>
          </w:p>
        </w:tc>
        <w:tc>
          <w:tcPr>
            <w:tcW w:w="0" w:type="dxa"/>
            <w:vAlign w:val="bottom"/>
          </w:tcPr>
          <w:p>
            <w:pPr>
              <w:spacing w:after="0"/>
              <w:rPr>
                <w:sz w:val="1"/>
                <w:szCs w:val="1"/>
                <w:color w:val="auto"/>
              </w:rPr>
            </w:pPr>
          </w:p>
        </w:tc>
      </w:tr>
      <w:tr>
        <w:trPr>
          <w:trHeight w:val="210"/>
        </w:trPr>
        <w:tc>
          <w:tcPr>
            <w:tcW w:w="8140" w:type="dxa"/>
            <w:vAlign w:val="bottom"/>
          </w:tcPr>
          <w:p>
            <w:pPr>
              <w:ind w:left="20"/>
              <w:spacing w:after="0"/>
              <w:rPr>
                <w:sz w:val="20"/>
                <w:szCs w:val="20"/>
                <w:color w:val="auto"/>
              </w:rPr>
            </w:pPr>
            <w:r>
              <w:rPr>
                <w:rFonts w:ascii="Arial" w:cs="Arial" w:eastAsia="Arial" w:hAnsi="Arial"/>
                <w:sz w:val="14"/>
                <w:szCs w:val="14"/>
                <w:color w:val="auto"/>
              </w:rPr>
              <w:t>BXP’s Share of Same Property NOI (excluding termination income)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487,900</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471,798</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27" w:lineRule="exact"/>
        <w:rPr>
          <w:sz w:val="20"/>
          <w:szCs w:val="20"/>
          <w:color w:val="auto"/>
        </w:rPr>
      </w:pPr>
    </w:p>
    <w:p>
      <w:pPr>
        <w:ind w:left="80" w:hanging="72"/>
        <w:spacing w:after="0"/>
        <w:tabs>
          <w:tab w:leader="none" w:pos="8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for the three months ended September 30, 2026, see page 65.</w:t>
      </w:r>
    </w:p>
    <w:p>
      <w:pPr>
        <w:ind w:left="80" w:hanging="72"/>
        <w:spacing w:after="0" w:line="222" w:lineRule="auto"/>
        <w:tabs>
          <w:tab w:leader="none" w:pos="8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for the three months ended September 30, 2026, see pages 62-63.</w:t>
      </w:r>
    </w:p>
    <w:p>
      <w:pPr>
        <w:spacing w:after="0" w:line="32" w:lineRule="exact"/>
        <w:rPr>
          <w:sz w:val="20"/>
          <w:szCs w:val="20"/>
          <w:color w:val="auto"/>
        </w:rPr>
      </w:pPr>
    </w:p>
    <w:p>
      <w:pPr>
        <w:ind w:left="80" w:right="320" w:hanging="72"/>
        <w:spacing w:after="0" w:line="226" w:lineRule="auto"/>
        <w:tabs>
          <w:tab w:leader="none" w:pos="78"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Pages 21-24 indicate by footnote the properties that are not included as part of Same Property NOI. In addition, Same Properties exclude properties that were sold prior to September 30, 2026 and therefore are no longer a part of the Company’s property portfolio.</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279" w:right="339" w:bottom="1440" w:gutter="0" w:footer="0" w:header="0"/>
          <w:type w:val="continuous"/>
        </w:sectPr>
      </w:pPr>
    </w:p>
    <w:bookmarkStart w:id="17" w:name="page18"/>
    <w:bookmarkEnd w:id="17"/>
    <w:p>
      <w:pPr>
        <w:ind w:left="10680"/>
        <w:spacing w:after="0"/>
        <w:rPr>
          <w:sz w:val="20"/>
          <w:szCs w:val="20"/>
          <w:color w:val="auto"/>
        </w:rPr>
      </w:pPr>
      <w:r>
        <w:rPr>
          <w:rFonts w:ascii="Arial" w:cs="Arial" w:eastAsia="Arial" w:hAnsi="Arial"/>
          <w:sz w:val="14"/>
          <w:szCs w:val="14"/>
          <w:color w:val="auto"/>
        </w:rPr>
        <w:t>Q3 2026</w:t>
      </w:r>
    </w:p>
    <w:p>
      <w:pPr>
        <w:spacing w:after="0" w:line="69" w:lineRule="exact"/>
        <w:rPr>
          <w:sz w:val="20"/>
          <w:szCs w:val="20"/>
          <w:color w:val="auto"/>
        </w:rPr>
      </w:pPr>
    </w:p>
    <w:p>
      <w:pPr>
        <w:jc w:val="right"/>
        <w:ind w:left="3980" w:right="20"/>
        <w:spacing w:after="0" w:line="294" w:lineRule="auto"/>
        <w:rPr>
          <w:sz w:val="20"/>
          <w:szCs w:val="20"/>
          <w:color w:val="auto"/>
        </w:rPr>
      </w:pPr>
      <w:r>
        <w:rPr>
          <w:rFonts w:ascii="Arial" w:cs="Arial" w:eastAsia="Arial" w:hAnsi="Arial"/>
          <w:sz w:val="14"/>
          <w:szCs w:val="14"/>
          <w:b w:val="1"/>
          <w:bCs w:val="1"/>
          <w:color w:val="00497F"/>
        </w:rPr>
        <w:t>Reconciliation of net income (loss) attributable to BXP, Inc. to BXP’s Share of same property net operating income (NOI) -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-243840</wp:posOffset>
            </wp:positionV>
            <wp:extent cx="257175" cy="1631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8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9"/>
        </w:trPr>
        <w:tc>
          <w:tcPr>
            <w:tcW w:w="8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ind w:left="160"/>
              <w:spacing w:after="0"/>
              <w:rPr>
                <w:sz w:val="20"/>
                <w:szCs w:val="20"/>
                <w:color w:val="auto"/>
              </w:rPr>
            </w:pPr>
            <w:r>
              <w:rPr>
                <w:rFonts w:ascii="Arial" w:cs="Arial" w:eastAsia="Arial" w:hAnsi="Arial"/>
                <w:sz w:val="14"/>
                <w:szCs w:val="14"/>
                <w:b w:val="1"/>
                <w:bCs w:val="1"/>
                <w:color w:val="auto"/>
              </w:rPr>
              <w:t>30-Sep-26</w:t>
            </w:r>
          </w:p>
        </w:tc>
        <w:tc>
          <w:tcPr>
            <w:tcW w:w="240" w:type="dxa"/>
            <w:vAlign w:val="bottom"/>
          </w:tcPr>
          <w:p>
            <w:pPr>
              <w:spacing w:after="0"/>
              <w:rPr>
                <w:sz w:val="18"/>
                <w:szCs w:val="18"/>
                <w:color w:val="auto"/>
              </w:rPr>
            </w:pPr>
          </w:p>
        </w:tc>
        <w:tc>
          <w:tcPr>
            <w:tcW w:w="1200" w:type="dxa"/>
            <w:vAlign w:val="bottom"/>
          </w:tcPr>
          <w:p>
            <w:pPr>
              <w:jc w:val="right"/>
              <w:ind w:right="308"/>
              <w:spacing w:after="0"/>
              <w:rPr>
                <w:sz w:val="20"/>
                <w:szCs w:val="20"/>
                <w:color w:val="auto"/>
              </w:rPr>
            </w:pPr>
            <w:r>
              <w:rPr>
                <w:rFonts w:ascii="Arial" w:cs="Arial" w:eastAsia="Arial" w:hAnsi="Arial"/>
                <w:sz w:val="14"/>
                <w:szCs w:val="14"/>
                <w:b w:val="1"/>
                <w:bCs w:val="1"/>
                <w:color w:val="auto"/>
              </w:rPr>
              <w:t>30-Sep-25</w:t>
            </w:r>
          </w:p>
        </w:tc>
        <w:tc>
          <w:tcPr>
            <w:tcW w:w="0" w:type="dxa"/>
            <w:vAlign w:val="bottom"/>
          </w:tcPr>
          <w:p>
            <w:pPr>
              <w:spacing w:after="0"/>
              <w:rPr>
                <w:sz w:val="1"/>
                <w:szCs w:val="1"/>
                <w:color w:val="auto"/>
              </w:rPr>
            </w:pPr>
          </w:p>
        </w:tc>
      </w:tr>
      <w:tr>
        <w:trPr>
          <w:trHeight w:val="203"/>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 attributable to BXP, Inc.</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114,482</w:t>
            </w:r>
          </w:p>
        </w:tc>
        <w:tc>
          <w:tcPr>
            <w:tcW w:w="200" w:type="dxa"/>
            <w:vAlign w:val="bottom"/>
          </w:tcPr>
          <w:p>
            <w:pPr>
              <w:spacing w:after="0"/>
              <w:rPr>
                <w:sz w:val="17"/>
                <w:szCs w:val="17"/>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(121,712)</w:t>
            </w:r>
          </w:p>
        </w:tc>
        <w:tc>
          <w:tcPr>
            <w:tcW w:w="0" w:type="dxa"/>
            <w:vAlign w:val="bottom"/>
          </w:tcPr>
          <w:p>
            <w:pPr>
              <w:spacing w:after="0"/>
              <w:rPr>
                <w:sz w:val="1"/>
                <w:szCs w:val="1"/>
                <w:color w:val="auto"/>
              </w:rPr>
            </w:pPr>
          </w:p>
        </w:tc>
      </w:tr>
      <w:tr>
        <w:trPr>
          <w:trHeight w:val="216"/>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12,320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(12,981)</w:t>
            </w:r>
          </w:p>
        </w:tc>
        <w:tc>
          <w:tcPr>
            <w:tcW w:w="0" w:type="dxa"/>
            <w:vAlign w:val="bottom"/>
          </w:tcPr>
          <w:p>
            <w:pPr>
              <w:spacing w:after="0"/>
              <w:rPr>
                <w:sz w:val="1"/>
                <w:szCs w:val="1"/>
                <w:color w:val="auto"/>
              </w:rPr>
            </w:pPr>
          </w:p>
        </w:tc>
      </w:tr>
      <w:tr>
        <w:trPr>
          <w:trHeight w:val="220"/>
        </w:trPr>
        <w:tc>
          <w:tcPr>
            <w:tcW w:w="8140" w:type="dxa"/>
            <w:vAlign w:val="bottom"/>
          </w:tcPr>
          <w:p>
            <w:pPr>
              <w:ind w:left="260"/>
              <w:spacing w:after="0"/>
              <w:rPr>
                <w:sz w:val="20"/>
                <w:szCs w:val="20"/>
                <w:color w:val="auto"/>
              </w:rPr>
            </w:pPr>
            <w:r>
              <w:rPr>
                <w:rFonts w:ascii="Arial" w:cs="Arial" w:eastAsia="Arial" w:hAnsi="Arial"/>
                <w:sz w:val="14"/>
                <w:szCs w:val="14"/>
                <w:color w:val="auto"/>
              </w:rPr>
              <w:t>Noncontrolling interest in property partnerships</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28,692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17,853</w:t>
            </w:r>
          </w:p>
        </w:tc>
        <w:tc>
          <w:tcPr>
            <w:tcW w:w="0" w:type="dxa"/>
            <w:vAlign w:val="bottom"/>
          </w:tcPr>
          <w:p>
            <w:pPr>
              <w:spacing w:after="0"/>
              <w:rPr>
                <w:sz w:val="1"/>
                <w:szCs w:val="1"/>
                <w:color w:val="auto"/>
              </w:rPr>
            </w:pPr>
          </w:p>
        </w:tc>
      </w:tr>
      <w:tr>
        <w:trPr>
          <w:trHeight w:val="206"/>
        </w:trPr>
        <w:tc>
          <w:tcPr>
            <w:tcW w:w="814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155,494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(116,840)</w:t>
            </w:r>
          </w:p>
        </w:tc>
        <w:tc>
          <w:tcPr>
            <w:tcW w:w="0" w:type="dxa"/>
            <w:vAlign w:val="bottom"/>
          </w:tcPr>
          <w:p>
            <w:pPr>
              <w:spacing w:after="0"/>
              <w:rPr>
                <w:sz w:val="1"/>
                <w:szCs w:val="1"/>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Interest expense</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159,127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164,299</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Impairment loss</w:t>
            </w: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68,901</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Depreciation and amortization expense</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228,679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236,147</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Transaction costs</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1,431</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Payroll and related costs from management services contracts</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3,992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3,821</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General and administrative expense</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37,604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36,188</w:t>
            </w:r>
          </w:p>
        </w:tc>
        <w:tc>
          <w:tcPr>
            <w:tcW w:w="0" w:type="dxa"/>
            <w:vAlign w:val="bottom"/>
          </w:tcPr>
          <w:p>
            <w:pPr>
              <w:spacing w:after="0"/>
              <w:rPr>
                <w:sz w:val="1"/>
                <w:szCs w:val="1"/>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Interest and other income</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7,608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7,620</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Unrealized gain on non-real estate investment</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Gains (losses) from investments in securities</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2,400</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Gains on sales of real estate</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10,441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Income (loss) from unconsolidated joint ventures</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1,145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(148,329)</w:t>
            </w:r>
          </w:p>
        </w:tc>
        <w:tc>
          <w:tcPr>
            <w:tcW w:w="0" w:type="dxa"/>
            <w:vAlign w:val="bottom"/>
          </w:tcPr>
          <w:p>
            <w:pPr>
              <w:spacing w:after="0"/>
              <w:rPr>
                <w:sz w:val="1"/>
                <w:szCs w:val="1"/>
                <w:color w:val="auto"/>
              </w:rPr>
            </w:pPr>
          </w:p>
        </w:tc>
      </w:tr>
      <w:tr>
        <w:trPr>
          <w:trHeight w:val="216"/>
        </w:trPr>
        <w:tc>
          <w:tcPr>
            <w:tcW w:w="8140" w:type="dxa"/>
            <w:vAlign w:val="bottom"/>
          </w:tcPr>
          <w:p>
            <w:pPr>
              <w:ind w:left="52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3,992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3,821</w:t>
            </w:r>
          </w:p>
        </w:tc>
        <w:tc>
          <w:tcPr>
            <w:tcW w:w="0" w:type="dxa"/>
            <w:vAlign w:val="bottom"/>
          </w:tcPr>
          <w:p>
            <w:pPr>
              <w:spacing w:after="0"/>
              <w:rPr>
                <w:sz w:val="1"/>
                <w:szCs w:val="1"/>
                <w:color w:val="auto"/>
              </w:rPr>
            </w:pPr>
          </w:p>
        </w:tc>
      </w:tr>
      <w:tr>
        <w:trPr>
          <w:trHeight w:val="220"/>
        </w:trPr>
        <w:tc>
          <w:tcPr>
            <w:tcW w:w="8140" w:type="dxa"/>
            <w:vAlign w:val="bottom"/>
          </w:tcPr>
          <w:p>
            <w:pPr>
              <w:ind w:left="520"/>
              <w:spacing w:after="0"/>
              <w:rPr>
                <w:sz w:val="20"/>
                <w:szCs w:val="20"/>
                <w:color w:val="auto"/>
              </w:rPr>
            </w:pPr>
            <w:r>
              <w:rPr>
                <w:rFonts w:ascii="Arial" w:cs="Arial" w:eastAsia="Arial" w:hAnsi="Arial"/>
                <w:sz w:val="14"/>
                <w:szCs w:val="14"/>
                <w:color w:val="auto"/>
              </w:rPr>
              <w:t>Development and management services revenue</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9,792</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9,317</w:t>
            </w:r>
          </w:p>
        </w:tc>
        <w:tc>
          <w:tcPr>
            <w:tcW w:w="0" w:type="dxa"/>
            <w:vAlign w:val="bottom"/>
          </w:tcPr>
          <w:p>
            <w:pPr>
              <w:spacing w:after="0"/>
              <w:rPr>
                <w:sz w:val="1"/>
                <w:szCs w:val="1"/>
                <w:color w:val="auto"/>
              </w:rPr>
            </w:pPr>
          </w:p>
        </w:tc>
      </w:tr>
      <w:tr>
        <w:trPr>
          <w:trHeight w:val="206"/>
        </w:trPr>
        <w:tc>
          <w:tcPr>
            <w:tcW w:w="814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552,377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517,008</w:t>
            </w:r>
          </w:p>
        </w:tc>
        <w:tc>
          <w:tcPr>
            <w:tcW w:w="0" w:type="dxa"/>
            <w:vAlign w:val="bottom"/>
          </w:tcPr>
          <w:p>
            <w:pPr>
              <w:spacing w:after="0"/>
              <w:rPr>
                <w:sz w:val="1"/>
                <w:szCs w:val="1"/>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40" w:type="dxa"/>
            <w:vAlign w:val="bottom"/>
          </w:tcPr>
          <w:p>
            <w:pPr>
              <w:ind w:left="480"/>
              <w:spacing w:after="0"/>
              <w:rPr>
                <w:sz w:val="20"/>
                <w:szCs w:val="20"/>
                <w:color w:val="auto"/>
              </w:rPr>
            </w:pPr>
            <w:r>
              <w:rPr>
                <w:rFonts w:ascii="Arial" w:cs="Arial" w:eastAsia="Arial" w:hAnsi="Arial"/>
                <w:sz w:val="14"/>
                <w:szCs w:val="14"/>
                <w:color w:val="auto"/>
              </w:rPr>
              <w:t>Straight-line rent</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46,907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30,105</w:t>
            </w:r>
          </w:p>
        </w:tc>
        <w:tc>
          <w:tcPr>
            <w:tcW w:w="0" w:type="dxa"/>
            <w:vAlign w:val="bottom"/>
          </w:tcPr>
          <w:p>
            <w:pPr>
              <w:spacing w:after="0"/>
              <w:rPr>
                <w:sz w:val="1"/>
                <w:szCs w:val="1"/>
                <w:color w:val="auto"/>
              </w:rPr>
            </w:pPr>
          </w:p>
        </w:tc>
      </w:tr>
      <w:tr>
        <w:trPr>
          <w:trHeight w:val="216"/>
        </w:trPr>
        <w:tc>
          <w:tcPr>
            <w:tcW w:w="8140" w:type="dxa"/>
            <w:vAlign w:val="bottom"/>
          </w:tcPr>
          <w:p>
            <w:pPr>
              <w:ind w:left="480"/>
              <w:spacing w:after="0"/>
              <w:rPr>
                <w:sz w:val="20"/>
                <w:szCs w:val="20"/>
                <w:color w:val="auto"/>
              </w:rPr>
            </w:pPr>
            <w:r>
              <w:rPr>
                <w:rFonts w:ascii="Arial" w:cs="Arial" w:eastAsia="Arial" w:hAnsi="Arial"/>
                <w:sz w:val="14"/>
                <w:szCs w:val="14"/>
                <w:color w:val="auto"/>
              </w:rPr>
              <w:t>Fair value lease revenue</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2,151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1,906</w:t>
            </w:r>
          </w:p>
        </w:tc>
        <w:tc>
          <w:tcPr>
            <w:tcW w:w="0" w:type="dxa"/>
            <w:vAlign w:val="bottom"/>
          </w:tcPr>
          <w:p>
            <w:pPr>
              <w:spacing w:after="0"/>
              <w:rPr>
                <w:sz w:val="1"/>
                <w:szCs w:val="1"/>
                <w:color w:val="auto"/>
              </w:rPr>
            </w:pPr>
          </w:p>
        </w:tc>
      </w:tr>
      <w:tr>
        <w:trPr>
          <w:trHeight w:val="216"/>
        </w:trPr>
        <w:tc>
          <w:tcPr>
            <w:tcW w:w="8140" w:type="dxa"/>
            <w:vAlign w:val="bottom"/>
          </w:tcPr>
          <w:p>
            <w:pPr>
              <w:ind w:left="480"/>
              <w:spacing w:after="0"/>
              <w:rPr>
                <w:sz w:val="20"/>
                <w:szCs w:val="20"/>
                <w:color w:val="auto"/>
              </w:rPr>
            </w:pPr>
            <w:r>
              <w:rPr>
                <w:rFonts w:ascii="Arial" w:cs="Arial" w:eastAsia="Arial" w:hAnsi="Arial"/>
                <w:sz w:val="14"/>
                <w:szCs w:val="14"/>
                <w:color w:val="auto"/>
              </w:rPr>
              <w:t>Amortization and accretion related to sales type lease</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157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16"/>
        </w:trPr>
        <w:tc>
          <w:tcPr>
            <w:tcW w:w="8140" w:type="dxa"/>
            <w:vAlign w:val="bottom"/>
          </w:tcPr>
          <w:p>
            <w:pPr>
              <w:ind w:left="480"/>
              <w:spacing w:after="0"/>
              <w:rPr>
                <w:sz w:val="20"/>
                <w:szCs w:val="20"/>
                <w:color w:val="auto"/>
              </w:rPr>
            </w:pPr>
            <w:r>
              <w:rPr>
                <w:rFonts w:ascii="Arial" w:cs="Arial" w:eastAsia="Arial" w:hAnsi="Arial"/>
                <w:sz w:val="14"/>
                <w:szCs w:val="14"/>
                <w:color w:val="auto"/>
              </w:rPr>
              <w:t>Termination income</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3,333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1,241</w:t>
            </w:r>
          </w:p>
        </w:tc>
        <w:tc>
          <w:tcPr>
            <w:tcW w:w="0" w:type="dxa"/>
            <w:vAlign w:val="bottom"/>
          </w:tcPr>
          <w:p>
            <w:pPr>
              <w:spacing w:after="0"/>
              <w:rPr>
                <w:sz w:val="1"/>
                <w:szCs w:val="1"/>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140" w:type="dxa"/>
            <w:vAlign w:val="bottom"/>
          </w:tcPr>
          <w:p>
            <w:pPr>
              <w:ind w:left="480"/>
              <w:spacing w:after="0"/>
              <w:rPr>
                <w:sz w:val="20"/>
                <w:szCs w:val="20"/>
                <w:color w:val="auto"/>
              </w:rPr>
            </w:pPr>
            <w:r>
              <w:rPr>
                <w:rFonts w:ascii="Arial" w:cs="Arial" w:eastAsia="Arial" w:hAnsi="Arial"/>
                <w:sz w:val="14"/>
                <w:szCs w:val="14"/>
                <w:color w:val="auto"/>
              </w:rPr>
              <w:t xml:space="preserve">Straight-line ground rent expense adjustment </w:t>
            </w:r>
            <w:r>
              <w:rPr>
                <w:rFonts w:ascii="Arial" w:cs="Arial" w:eastAsia="Arial" w:hAnsi="Arial"/>
                <w:sz w:val="18"/>
                <w:szCs w:val="18"/>
                <w:color w:val="auto"/>
                <w:vertAlign w:val="superscript"/>
              </w:rPr>
              <w:t>1</w:t>
            </w:r>
          </w:p>
        </w:tc>
        <w:tc>
          <w:tcPr>
            <w:tcW w:w="240" w:type="dxa"/>
            <w:vAlign w:val="bottom"/>
          </w:tcPr>
          <w:p>
            <w:pPr>
              <w:spacing w:after="0"/>
              <w:rPr>
                <w:sz w:val="20"/>
                <w:szCs w:val="20"/>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573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201"/>
        </w:trPr>
        <w:tc>
          <w:tcPr>
            <w:tcW w:w="8140" w:type="dxa"/>
            <w:vAlign w:val="bottom"/>
          </w:tcPr>
          <w:p>
            <w:pPr>
              <w:ind w:left="480"/>
              <w:spacing w:after="0" w:line="201" w:lineRule="exact"/>
              <w:rPr>
                <w:sz w:val="20"/>
                <w:szCs w:val="20"/>
                <w:color w:val="auto"/>
              </w:rPr>
            </w:pPr>
            <w:r>
              <w:rPr>
                <w:rFonts w:ascii="Arial" w:cs="Arial" w:eastAsia="Arial" w:hAnsi="Arial"/>
                <w:sz w:val="14"/>
                <w:szCs w:val="14"/>
                <w:color w:val="auto"/>
              </w:rPr>
              <w:t xml:space="preserve">Lease transaction costs that qualify as rent inducements </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3,838</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5,894</w:t>
            </w:r>
          </w:p>
        </w:tc>
        <w:tc>
          <w:tcPr>
            <w:tcW w:w="0" w:type="dxa"/>
            <w:vAlign w:val="bottom"/>
          </w:tcPr>
          <w:p>
            <w:pPr>
              <w:spacing w:after="0"/>
              <w:rPr>
                <w:sz w:val="1"/>
                <w:szCs w:val="1"/>
                <w:color w:val="auto"/>
              </w:rPr>
            </w:pPr>
          </w:p>
        </w:tc>
      </w:tr>
      <w:tr>
        <w:trPr>
          <w:trHeight w:val="201"/>
        </w:trPr>
        <w:tc>
          <w:tcPr>
            <w:tcW w:w="8140" w:type="dxa"/>
            <w:vAlign w:val="bottom"/>
          </w:tcPr>
          <w:p>
            <w:pPr>
              <w:ind w:left="20"/>
              <w:spacing w:after="0"/>
              <w:rPr>
                <w:sz w:val="20"/>
                <w:szCs w:val="20"/>
                <w:color w:val="auto"/>
              </w:rPr>
            </w:pPr>
            <w:r>
              <w:rPr>
                <w:rFonts w:ascii="Arial" w:cs="Arial" w:eastAsia="Arial" w:hAnsi="Arial"/>
                <w:sz w:val="14"/>
                <w:szCs w:val="14"/>
                <w:color w:val="auto"/>
              </w:rPr>
              <w:t>NOI - cash (excluding termination income)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504,240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489,945</w:t>
            </w:r>
          </w:p>
        </w:tc>
        <w:tc>
          <w:tcPr>
            <w:tcW w:w="0" w:type="dxa"/>
            <w:vAlign w:val="bottom"/>
          </w:tcPr>
          <w:p>
            <w:pPr>
              <w:spacing w:after="0"/>
              <w:rPr>
                <w:sz w:val="1"/>
                <w:szCs w:val="1"/>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NOI - cash from non Same Properties (excluding termination income)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22,509</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13,124</w:t>
            </w:r>
          </w:p>
        </w:tc>
        <w:tc>
          <w:tcPr>
            <w:tcW w:w="0" w:type="dxa"/>
            <w:vAlign w:val="bottom"/>
          </w:tcPr>
          <w:p>
            <w:pPr>
              <w:spacing w:after="0"/>
              <w:rPr>
                <w:sz w:val="1"/>
                <w:szCs w:val="1"/>
                <w:color w:val="auto"/>
              </w:rPr>
            </w:pPr>
          </w:p>
        </w:tc>
      </w:tr>
      <w:tr>
        <w:trPr>
          <w:trHeight w:val="201"/>
        </w:trPr>
        <w:tc>
          <w:tcPr>
            <w:tcW w:w="8140" w:type="dxa"/>
            <w:vAlign w:val="bottom"/>
          </w:tcPr>
          <w:p>
            <w:pPr>
              <w:ind w:left="20"/>
              <w:spacing w:after="0"/>
              <w:rPr>
                <w:sz w:val="20"/>
                <w:szCs w:val="20"/>
                <w:color w:val="auto"/>
              </w:rPr>
            </w:pPr>
            <w:r>
              <w:rPr>
                <w:rFonts w:ascii="Arial" w:cs="Arial" w:eastAsia="Arial" w:hAnsi="Arial"/>
                <w:sz w:val="14"/>
                <w:szCs w:val="14"/>
                <w:color w:val="auto"/>
              </w:rPr>
              <w:t>Same Property NOI - cash (excluding termination income)</w:t>
            </w:r>
          </w:p>
        </w:tc>
        <w:tc>
          <w:tcPr>
            <w:tcW w:w="240" w:type="dxa"/>
            <w:vAlign w:val="bottom"/>
          </w:tcPr>
          <w:p>
            <w:pPr>
              <w:spacing w:after="0"/>
              <w:rPr>
                <w:sz w:val="17"/>
                <w:szCs w:val="17"/>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481,731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476,821</w:t>
            </w:r>
          </w:p>
        </w:tc>
        <w:tc>
          <w:tcPr>
            <w:tcW w:w="0" w:type="dxa"/>
            <w:vAlign w:val="bottom"/>
          </w:tcPr>
          <w:p>
            <w:pPr>
              <w:spacing w:after="0"/>
              <w:rPr>
                <w:sz w:val="1"/>
                <w:szCs w:val="1"/>
                <w:color w:val="auto"/>
              </w:rPr>
            </w:pPr>
          </w:p>
        </w:tc>
      </w:tr>
      <w:tr>
        <w:trPr>
          <w:trHeight w:val="216"/>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8140" w:type="dxa"/>
            <w:vAlign w:val="bottom"/>
          </w:tcPr>
          <w:p>
            <w:pPr>
              <w:ind w:left="520"/>
              <w:spacing w:after="0"/>
              <w:rPr>
                <w:sz w:val="20"/>
                <w:szCs w:val="20"/>
                <w:color w:val="auto"/>
              </w:rPr>
            </w:pPr>
            <w:r>
              <w:rPr>
                <w:rFonts w:ascii="Arial" w:cs="Arial" w:eastAsia="Arial" w:hAnsi="Arial"/>
                <w:sz w:val="14"/>
                <w:szCs w:val="14"/>
                <w:color w:val="auto"/>
              </w:rPr>
              <w:t>Partners’ share of NOI - cash from consolidated joint ventures (excluding termination income and after income</w:t>
            </w:r>
          </w:p>
        </w:tc>
        <w:tc>
          <w:tcPr>
            <w:tcW w:w="240" w:type="dxa"/>
            <w:vAlign w:val="bottom"/>
          </w:tcPr>
          <w:p>
            <w:pPr>
              <w:spacing w:after="0"/>
              <w:rPr>
                <w:sz w:val="14"/>
                <w:szCs w:val="14"/>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58,801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44,504</w:t>
            </w:r>
          </w:p>
        </w:tc>
        <w:tc>
          <w:tcPr>
            <w:tcW w:w="0" w:type="dxa"/>
            <w:vAlign w:val="bottom"/>
          </w:tcPr>
          <w:p>
            <w:pPr>
              <w:spacing w:after="0"/>
              <w:rPr>
                <w:sz w:val="1"/>
                <w:szCs w:val="1"/>
                <w:color w:val="auto"/>
              </w:rPr>
            </w:pPr>
          </w:p>
        </w:tc>
      </w:tr>
      <w:tr>
        <w:trPr>
          <w:trHeight w:val="218"/>
        </w:trPr>
        <w:tc>
          <w:tcPr>
            <w:tcW w:w="8140" w:type="dxa"/>
            <w:vAlign w:val="bottom"/>
          </w:tcPr>
          <w:p>
            <w:pPr>
              <w:ind w:left="680"/>
              <w:spacing w:after="0"/>
              <w:rPr>
                <w:sz w:val="20"/>
                <w:szCs w:val="20"/>
                <w:color w:val="auto"/>
              </w:rPr>
            </w:pPr>
            <w:r>
              <w:rPr>
                <w:rFonts w:ascii="Arial" w:cs="Arial" w:eastAsia="Arial" w:hAnsi="Arial"/>
                <w:sz w:val="14"/>
                <w:szCs w:val="14"/>
                <w:color w:val="auto"/>
              </w:rPr>
              <w:t xml:space="preserve">allocation to private REIT shareholders) </w:t>
            </w:r>
            <w:r>
              <w:rPr>
                <w:rFonts w:ascii="Arial" w:cs="Arial" w:eastAsia="Arial" w:hAnsi="Arial"/>
                <w:sz w:val="18"/>
                <w:szCs w:val="18"/>
                <w:color w:val="auto"/>
                <w:vertAlign w:val="superscript"/>
              </w:rPr>
              <w:t>4</w:t>
            </w:r>
          </w:p>
        </w:tc>
        <w:tc>
          <w:tcPr>
            <w:tcW w:w="2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140" w:type="dxa"/>
            <w:vAlign w:val="bottom"/>
          </w:tcPr>
          <w:p>
            <w:pPr>
              <w:ind w:left="260"/>
              <w:spacing w:after="0"/>
              <w:rPr>
                <w:sz w:val="20"/>
                <w:szCs w:val="20"/>
                <w:color w:val="auto"/>
              </w:rPr>
            </w:pPr>
            <w:r>
              <w:rPr>
                <w:rFonts w:ascii="Arial" w:cs="Arial" w:eastAsia="Arial" w:hAnsi="Arial"/>
                <w:sz w:val="14"/>
                <w:szCs w:val="14"/>
                <w:color w:val="auto"/>
              </w:rPr>
              <w:t>Add:</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140" w:type="dxa"/>
            <w:vAlign w:val="bottom"/>
          </w:tcPr>
          <w:p>
            <w:pPr>
              <w:ind w:left="520"/>
              <w:spacing w:after="0"/>
              <w:rPr>
                <w:sz w:val="20"/>
                <w:szCs w:val="20"/>
                <w:color w:val="auto"/>
              </w:rPr>
            </w:pPr>
            <w:r>
              <w:rPr>
                <w:rFonts w:ascii="Arial" w:cs="Arial" w:eastAsia="Arial" w:hAnsi="Arial"/>
                <w:sz w:val="14"/>
                <w:szCs w:val="14"/>
                <w:color w:val="auto"/>
              </w:rPr>
              <w:t>Partners’ share of NOI - cash from non Same Properties from consolidated joint ventures (excluding termination income</w:t>
            </w:r>
          </w:p>
        </w:tc>
        <w:tc>
          <w:tcPr>
            <w:tcW w:w="240" w:type="dxa"/>
            <w:vAlign w:val="bottom"/>
          </w:tcPr>
          <w:p>
            <w:pPr>
              <w:spacing w:after="0"/>
              <w:rPr>
                <w:sz w:val="14"/>
                <w:szCs w:val="14"/>
                <w:color w:val="auto"/>
              </w:rPr>
            </w:pPr>
          </w:p>
        </w:tc>
        <w:tc>
          <w:tcPr>
            <w:tcW w:w="1220" w:type="dxa"/>
            <w:vAlign w:val="bottom"/>
            <w:vMerge w:val="restart"/>
          </w:tcPr>
          <w:p>
            <w:pPr>
              <w:jc w:val="right"/>
              <w:ind w:right="8"/>
              <w:spacing w:after="0"/>
              <w:rPr>
                <w:sz w:val="20"/>
                <w:szCs w:val="20"/>
                <w:color w:val="auto"/>
              </w:rPr>
            </w:pPr>
            <w:r>
              <w:rPr>
                <w:rFonts w:ascii="Arial" w:cs="Arial" w:eastAsia="Arial" w:hAnsi="Arial"/>
                <w:sz w:val="14"/>
                <w:szCs w:val="14"/>
                <w:color w:val="auto"/>
              </w:rPr>
              <w:t>8,734</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140" w:type="dxa"/>
            <w:vAlign w:val="bottom"/>
          </w:tcPr>
          <w:p>
            <w:pPr>
              <w:ind w:left="680"/>
              <w:spacing w:after="0"/>
              <w:rPr>
                <w:sz w:val="20"/>
                <w:szCs w:val="20"/>
                <w:color w:val="auto"/>
              </w:rPr>
            </w:pPr>
            <w:r>
              <w:rPr>
                <w:rFonts w:ascii="Arial" w:cs="Arial" w:eastAsia="Arial" w:hAnsi="Arial"/>
                <w:sz w:val="14"/>
                <w:szCs w:val="14"/>
                <w:color w:val="auto"/>
              </w:rPr>
              <w:t xml:space="preserve">and after income allocation to private REIT shareholders) </w:t>
            </w:r>
            <w:r>
              <w:rPr>
                <w:rFonts w:ascii="Arial" w:cs="Arial" w:eastAsia="Arial" w:hAnsi="Arial"/>
                <w:sz w:val="18"/>
                <w:szCs w:val="18"/>
                <w:color w:val="auto"/>
                <w:vertAlign w:val="superscript"/>
              </w:rPr>
              <w:t>3</w:t>
            </w:r>
          </w:p>
        </w:tc>
        <w:tc>
          <w:tcPr>
            <w:tcW w:w="2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140" w:type="dxa"/>
            <w:vAlign w:val="bottom"/>
          </w:tcPr>
          <w:p>
            <w:pPr>
              <w:ind w:left="520"/>
              <w:spacing w:after="0"/>
              <w:rPr>
                <w:sz w:val="20"/>
                <w:szCs w:val="20"/>
                <w:color w:val="auto"/>
              </w:rPr>
            </w:pPr>
            <w:r>
              <w:rPr>
                <w:rFonts w:ascii="Arial" w:cs="Arial" w:eastAsia="Arial" w:hAnsi="Arial"/>
                <w:sz w:val="14"/>
                <w:szCs w:val="14"/>
                <w:color w:val="auto"/>
              </w:rPr>
              <w:t xml:space="preserve">BXP’s share of NOI - cash from unconsolidated joint ventures (excluding termination income) </w:t>
            </w:r>
            <w:r>
              <w:rPr>
                <w:rFonts w:ascii="Arial" w:cs="Arial" w:eastAsia="Arial" w:hAnsi="Arial"/>
                <w:sz w:val="18"/>
                <w:szCs w:val="18"/>
                <w:color w:val="auto"/>
                <w:vertAlign w:val="superscript"/>
              </w:rPr>
              <w:t>5</w:t>
            </w:r>
          </w:p>
        </w:tc>
        <w:tc>
          <w:tcPr>
            <w:tcW w:w="24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16,961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27,866</w:t>
            </w:r>
          </w:p>
        </w:tc>
        <w:tc>
          <w:tcPr>
            <w:tcW w:w="0" w:type="dxa"/>
            <w:vAlign w:val="bottom"/>
          </w:tcPr>
          <w:p>
            <w:pPr>
              <w:spacing w:after="0"/>
              <w:rPr>
                <w:sz w:val="1"/>
                <w:szCs w:val="1"/>
                <w:color w:val="auto"/>
              </w:rPr>
            </w:pPr>
          </w:p>
        </w:tc>
      </w:tr>
      <w:tr>
        <w:trPr>
          <w:trHeight w:val="190"/>
        </w:trPr>
        <w:tc>
          <w:tcPr>
            <w:tcW w:w="8140" w:type="dxa"/>
            <w:vAlign w:val="bottom"/>
          </w:tcPr>
          <w:p>
            <w:pPr>
              <w:ind w:left="260"/>
              <w:spacing w:after="0"/>
              <w:rPr>
                <w:sz w:val="20"/>
                <w:szCs w:val="20"/>
                <w:color w:val="auto"/>
              </w:rPr>
            </w:pPr>
            <w:r>
              <w:rPr>
                <w:rFonts w:ascii="Arial" w:cs="Arial" w:eastAsia="Arial" w:hAnsi="Arial"/>
                <w:sz w:val="14"/>
                <w:szCs w:val="14"/>
                <w:color w:val="auto"/>
              </w:rPr>
              <w:t>Less: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140" w:type="dxa"/>
            <w:vAlign w:val="bottom"/>
          </w:tcPr>
          <w:p>
            <w:pPr>
              <w:ind w:left="520"/>
              <w:spacing w:after="0"/>
              <w:rPr>
                <w:sz w:val="20"/>
                <w:szCs w:val="20"/>
                <w:color w:val="auto"/>
              </w:rPr>
            </w:pPr>
            <w:r>
              <w:rPr>
                <w:rFonts w:ascii="Arial" w:cs="Arial" w:eastAsia="Arial" w:hAnsi="Arial"/>
                <w:sz w:val="14"/>
                <w:szCs w:val="14"/>
                <w:color w:val="auto"/>
              </w:rPr>
              <w:t>BXP’s share of NOI - cash from non Same Properties from unconsolidated joint ventures (excluding termination</w:t>
            </w:r>
          </w:p>
        </w:tc>
        <w:tc>
          <w:tcPr>
            <w:tcW w:w="2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(1,108)</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8,917</w:t>
            </w:r>
          </w:p>
        </w:tc>
        <w:tc>
          <w:tcPr>
            <w:tcW w:w="0" w:type="dxa"/>
            <w:vAlign w:val="bottom"/>
          </w:tcPr>
          <w:p>
            <w:pPr>
              <w:spacing w:after="0"/>
              <w:rPr>
                <w:sz w:val="1"/>
                <w:szCs w:val="1"/>
                <w:color w:val="auto"/>
              </w:rPr>
            </w:pPr>
          </w:p>
        </w:tc>
      </w:tr>
      <w:tr>
        <w:trPr>
          <w:trHeight w:val="201"/>
        </w:trPr>
        <w:tc>
          <w:tcPr>
            <w:tcW w:w="8140" w:type="dxa"/>
            <w:vAlign w:val="bottom"/>
          </w:tcPr>
          <w:p>
            <w:pPr>
              <w:ind w:left="680"/>
              <w:spacing w:after="0" w:line="201" w:lineRule="exact"/>
              <w:rPr>
                <w:sz w:val="20"/>
                <w:szCs w:val="20"/>
                <w:color w:val="auto"/>
              </w:rPr>
            </w:pPr>
            <w:r>
              <w:rPr>
                <w:rFonts w:ascii="Arial" w:cs="Arial" w:eastAsia="Arial" w:hAnsi="Arial"/>
                <w:sz w:val="14"/>
                <w:szCs w:val="14"/>
                <w:color w:val="auto"/>
              </w:rPr>
              <w:t xml:space="preserve">income) </w:t>
            </w:r>
            <w:r>
              <w:rPr>
                <w:rFonts w:ascii="Arial" w:cs="Arial" w:eastAsia="Arial" w:hAnsi="Arial"/>
                <w:sz w:val="18"/>
                <w:szCs w:val="18"/>
                <w:color w:val="auto"/>
                <w:vertAlign w:val="superscript"/>
              </w:rPr>
              <w:t>3</w:t>
            </w: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40" w:type="dxa"/>
            <w:vAlign w:val="bottom"/>
          </w:tcPr>
          <w:p>
            <w:pPr>
              <w:ind w:left="20"/>
              <w:spacing w:after="0"/>
              <w:rPr>
                <w:sz w:val="20"/>
                <w:szCs w:val="20"/>
                <w:color w:val="auto"/>
              </w:rPr>
            </w:pPr>
            <w:r>
              <w:rPr>
                <w:rFonts w:ascii="Arial" w:cs="Arial" w:eastAsia="Arial" w:hAnsi="Arial"/>
                <w:sz w:val="14"/>
                <w:szCs w:val="14"/>
                <w:color w:val="auto"/>
              </w:rPr>
              <w:t>BXP’s Share of Same Property NOI - cash (excluding termination income)</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449,733</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451,266</w:t>
            </w:r>
          </w:p>
        </w:tc>
        <w:tc>
          <w:tcPr>
            <w:tcW w:w="0" w:type="dxa"/>
            <w:vAlign w:val="bottom"/>
          </w:tcPr>
          <w:p>
            <w:pPr>
              <w:spacing w:after="0"/>
              <w:rPr>
                <w:sz w:val="1"/>
                <w:szCs w:val="1"/>
                <w:color w:val="auto"/>
              </w:rPr>
            </w:pPr>
          </w:p>
        </w:tc>
      </w:tr>
      <w:tr>
        <w:trPr>
          <w:trHeight w:val="21"/>
        </w:trPr>
        <w:tc>
          <w:tcPr>
            <w:tcW w:w="8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42" w:lineRule="exact"/>
        <w:rPr>
          <w:sz w:val="20"/>
          <w:szCs w:val="20"/>
          <w:color w:val="auto"/>
        </w:rPr>
      </w:pPr>
    </w:p>
    <w:p>
      <w:pPr>
        <w:ind w:left="80" w:right="160" w:hanging="72"/>
        <w:spacing w:after="0" w:line="253" w:lineRule="auto"/>
        <w:tabs>
          <w:tab w:leader="none" w:pos="78"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In light of the front-ended, uneven rental payments required by the Company’s 99-year ground and air rights lease for the 100 Clarendon Street garage and Back Bay Transit Station in Boston, MA, and to make period-to-period comparisons more meaningful to investors, the adjustment does not include the straight-line impact of approximately $(6,084) and $(1,061) for the three months ended September 30, 2026 and 2025, respectively. As of September 30, 2026, the Company has remaining lease payments aggregating approximately $9.3 million, all of which it expects to incur by the end of 2027 with no payments thereafter. Under GAAP, the Company recognizes expense of $(111) per quarter on a straight-line basis over the term of the lease. However, unlike more traditional ground and air rights leases, the timing and amounts of the rental payments by the Company correlate to the uneven timing and funding by the Company of capital expenditures related to improvements at Back Bay Transit Station. As a result, the amounts excluded from the adjustment each quarter through 2027 may vary significantly.</w:t>
      </w:r>
    </w:p>
    <w:p>
      <w:pPr>
        <w:spacing w:after="0" w:line="6" w:lineRule="exact"/>
        <w:rPr>
          <w:sz w:val="20"/>
          <w:szCs w:val="20"/>
          <w:color w:val="auto"/>
        </w:rPr>
      </w:pPr>
    </w:p>
    <w:p>
      <w:pPr>
        <w:ind w:left="80" w:right="580" w:hanging="72"/>
        <w:spacing w:after="0" w:line="290" w:lineRule="auto"/>
        <w:tabs>
          <w:tab w:leader="none" w:pos="78" w:val="left"/>
        </w:tabs>
        <w:numPr>
          <w:ilvl w:val="0"/>
          <w:numId w:val="26"/>
        </w:numPr>
        <w:rPr>
          <w:rFonts w:ascii="Arial" w:cs="Arial" w:eastAsia="Arial" w:hAnsi="Arial"/>
          <w:sz w:val="9"/>
          <w:szCs w:val="9"/>
          <w:color w:val="auto"/>
        </w:rPr>
      </w:pPr>
      <w:r>
        <w:rPr>
          <w:rFonts w:ascii="Arial" w:cs="Arial" w:eastAsia="Arial" w:hAnsi="Arial"/>
          <w:sz w:val="14"/>
          <w:szCs w:val="14"/>
          <w:color w:val="auto"/>
        </w:rPr>
        <w:t>Consists of lease transaction costs that qualify as rent inducements in accordance with GAAP. Lease transaction costs are generally included in 2nd generation tenant improvements and leasing commissions in the Company’s FAD calculation on page 8.</w:t>
      </w:r>
    </w:p>
    <w:p>
      <w:pPr>
        <w:spacing w:after="0" w:line="2" w:lineRule="exact"/>
        <w:rPr>
          <w:sz w:val="20"/>
          <w:szCs w:val="20"/>
          <w:color w:val="auto"/>
        </w:rPr>
      </w:pPr>
    </w:p>
    <w:p>
      <w:pPr>
        <w:ind w:left="80" w:right="320" w:hanging="72"/>
        <w:spacing w:after="0" w:line="229" w:lineRule="auto"/>
        <w:tabs>
          <w:tab w:leader="none" w:pos="78"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Pages 21-24 indicate by footnote the properties that are not included as part of Same Property NOI. In addition, Same Properties exclude properties that were sold prior to September 30, 2026 and therefore are no longer a part of the Company’s property portfolio.</w:t>
      </w:r>
    </w:p>
    <w:p>
      <w:pPr>
        <w:ind w:left="80" w:hanging="72"/>
        <w:spacing w:after="0" w:line="238" w:lineRule="auto"/>
        <w:tabs>
          <w:tab w:leader="none" w:pos="80"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For a quantitative reconciliation for the three months ended September 30, 2026, see page 63.</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For a quantitative reconciliation for the three months ended September 30, 2026, see page 65.</w:t>
      </w:r>
    </w:p>
    <w:p>
      <w:pPr>
        <w:sectPr>
          <w:pgSz w:w="11900" w:h="16838" w:orient="portrait"/>
          <w:cols w:equalWidth="0" w:num="1">
            <w:col w:w="11240"/>
          </w:cols>
          <w:pgMar w:left="320" w:top="319" w:right="339" w:bottom="1440" w:gutter="0" w:footer="0" w:header="0"/>
        </w:sectPr>
      </w:pPr>
    </w:p>
    <w:p>
      <w:pPr>
        <w:spacing w:after="0" w:line="17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319" w:right="339" w:bottom="1440" w:gutter="0" w:footer="0" w:header="0"/>
          <w:type w:val="continuous"/>
        </w:sectPr>
      </w:pPr>
    </w:p>
    <w:bookmarkStart w:id="18" w:name="page19"/>
    <w:bookmarkEnd w:id="18"/>
    <w:p>
      <w:pPr>
        <w:jc w:val="right"/>
        <w:ind w:right="6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-61595</wp:posOffset>
            </wp:positionV>
            <wp:extent cx="257175" cy="1631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00497F"/>
        </w:rPr>
        <w:t>Same property net operating income (NOI) by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32385</wp:posOffset>
            </wp:positionV>
            <wp:extent cx="70719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139"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453"/>
              <w:spacing w:after="0"/>
              <w:rPr>
                <w:sz w:val="20"/>
                <w:szCs w:val="20"/>
                <w:color w:val="auto"/>
              </w:rPr>
            </w:pPr>
            <w:r>
              <w:rPr>
                <w:rFonts w:ascii="Arial" w:cs="Arial" w:eastAsia="Arial" w:hAnsi="Arial"/>
                <w:sz w:val="13"/>
                <w:szCs w:val="13"/>
                <w:b w:val="1"/>
                <w:bCs w:val="1"/>
                <w:color w:val="auto"/>
              </w:rPr>
              <w:t xml:space="preserve">Office </w:t>
            </w:r>
            <w:r>
              <w:rPr>
                <w:rFonts w:ascii="Arial" w:cs="Arial" w:eastAsia="Arial" w:hAnsi="Arial"/>
                <w:sz w:val="17"/>
                <w:szCs w:val="17"/>
                <w:b w:val="1"/>
                <w:bCs w:val="1"/>
                <w:color w:val="auto"/>
                <w:vertAlign w:val="superscript"/>
              </w:rPr>
              <w:t>1</w:t>
            </w: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3"/>
                <w:szCs w:val="13"/>
                <w:b w:val="1"/>
                <w:bCs w:val="1"/>
                <w:color w:val="auto"/>
              </w:rPr>
              <w:t>Hotel &amp; Residential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33"/>
              <w:spacing w:after="0"/>
              <w:rPr>
                <w:sz w:val="20"/>
                <w:szCs w:val="20"/>
                <w:color w:val="auto"/>
              </w:rPr>
            </w:pPr>
            <w:r>
              <w:rPr>
                <w:rFonts w:ascii="Arial" w:cs="Arial" w:eastAsia="Arial" w:hAnsi="Arial"/>
                <w:sz w:val="13"/>
                <w:szCs w:val="13"/>
                <w:b w:val="1"/>
                <w:bCs w:val="1"/>
                <w:color w:val="auto"/>
                <w:w w:val="82"/>
              </w:rPr>
              <w:t>$</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8"/>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30-Sep-26</w:t>
            </w:r>
          </w:p>
        </w:tc>
        <w:tc>
          <w:tcPr>
            <w:tcW w:w="100" w:type="dxa"/>
            <w:vAlign w:val="bottom"/>
          </w:tcPr>
          <w:p>
            <w:pPr>
              <w:spacing w:after="0"/>
              <w:rPr>
                <w:sz w:val="17"/>
                <w:szCs w:val="17"/>
                <w:color w:val="auto"/>
              </w:rPr>
            </w:pPr>
          </w:p>
        </w:tc>
        <w:tc>
          <w:tcPr>
            <w:tcW w:w="1000" w:type="dxa"/>
            <w:vAlign w:val="bottom"/>
            <w:gridSpan w:val="3"/>
          </w:tcPr>
          <w:p>
            <w:pPr>
              <w:ind w:left="40"/>
              <w:spacing w:after="0"/>
              <w:rPr>
                <w:sz w:val="20"/>
                <w:szCs w:val="20"/>
                <w:color w:val="auto"/>
              </w:rPr>
            </w:pPr>
            <w:r>
              <w:rPr>
                <w:rFonts w:ascii="Arial" w:cs="Arial" w:eastAsia="Arial" w:hAnsi="Arial"/>
                <w:sz w:val="13"/>
                <w:szCs w:val="13"/>
                <w:b w:val="1"/>
                <w:bCs w:val="1"/>
                <w:color w:val="auto"/>
              </w:rPr>
              <w:t>30-Sep-25</w:t>
            </w:r>
          </w:p>
        </w:tc>
        <w:tc>
          <w:tcPr>
            <w:tcW w:w="80" w:type="dxa"/>
            <w:vAlign w:val="bottom"/>
          </w:tcPr>
          <w:p>
            <w:pPr>
              <w:spacing w:after="0"/>
              <w:rPr>
                <w:sz w:val="17"/>
                <w:szCs w:val="17"/>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Change</w:t>
            </w: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30-Sep-26</w:t>
            </w:r>
          </w:p>
        </w:tc>
        <w:tc>
          <w:tcPr>
            <w:tcW w:w="10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30-Sep-25</w:t>
            </w:r>
          </w:p>
        </w:tc>
        <w:tc>
          <w:tcPr>
            <w:tcW w:w="100" w:type="dxa"/>
            <w:vAlign w:val="bottom"/>
          </w:tcPr>
          <w:p>
            <w:pPr>
              <w:spacing w:after="0"/>
              <w:rPr>
                <w:sz w:val="17"/>
                <w:szCs w:val="17"/>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Change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12"/>
        </w:trPr>
        <w:tc>
          <w:tcPr>
            <w:tcW w:w="3240" w:type="dxa"/>
            <w:vAlign w:val="bottom"/>
          </w:tcPr>
          <w:p>
            <w:pPr>
              <w:spacing w:after="0"/>
              <w:rPr>
                <w:sz w:val="20"/>
                <w:szCs w:val="20"/>
                <w:color w:val="auto"/>
              </w:rPr>
            </w:pPr>
            <w:r>
              <w:rPr>
                <w:rFonts w:ascii="Arial" w:cs="Arial" w:eastAsia="Arial" w:hAnsi="Arial"/>
                <w:sz w:val="13"/>
                <w:szCs w:val="13"/>
                <w:color w:val="auto"/>
              </w:rPr>
              <w:t xml:space="preserve">Rental Revenue </w:t>
            </w:r>
            <w:r>
              <w:rPr>
                <w:rFonts w:ascii="Arial" w:cs="Arial" w:eastAsia="Arial" w:hAnsi="Arial"/>
                <w:sz w:val="17"/>
                <w:szCs w:val="17"/>
                <w:color w:val="auto"/>
                <w:vertAlign w:val="superscript"/>
              </w:rPr>
              <w:t>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843,604</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813,786</w:t>
            </w: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17,102</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16,478</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3"/>
                <w:szCs w:val="13"/>
                <w:color w:val="auto"/>
              </w:rPr>
              <w:t>Less: Termination income</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3,333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1,241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840,271</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812,545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27,726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3.4 %</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17,102</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16,478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624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3.8 %</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324,875</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314,683</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10,192</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3.2 %</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11,968</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11,611</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3.1 %</w:t>
            </w:r>
          </w:p>
        </w:tc>
        <w:tc>
          <w:tcPr>
            <w:tcW w:w="0" w:type="dxa"/>
            <w:vAlign w:val="bottom"/>
          </w:tcPr>
          <w:p>
            <w:pPr>
              <w:spacing w:after="0"/>
              <w:rPr>
                <w:sz w:val="1"/>
                <w:szCs w:val="1"/>
                <w:color w:val="auto"/>
              </w:rPr>
            </w:pPr>
          </w:p>
        </w:tc>
      </w:tr>
      <w:tr>
        <w:trPr>
          <w:trHeight w:val="202"/>
        </w:trPr>
        <w:tc>
          <w:tcPr>
            <w:tcW w:w="3240" w:type="dxa"/>
            <w:vAlign w:val="bottom"/>
          </w:tcPr>
          <w:p>
            <w:pPr>
              <w:spacing w:after="0"/>
              <w:rPr>
                <w:sz w:val="20"/>
                <w:szCs w:val="20"/>
                <w:color w:val="auto"/>
              </w:rPr>
            </w:pPr>
            <w:r>
              <w:rPr>
                <w:rFonts w:ascii="Arial" w:cs="Arial" w:eastAsia="Arial" w:hAnsi="Arial"/>
                <w:sz w:val="13"/>
                <w:szCs w:val="13"/>
                <w:color w:val="auto"/>
              </w:rPr>
              <w:t xml:space="preserve">NOI (excluding termination income) </w:t>
            </w:r>
            <w:r>
              <w:rPr>
                <w:rFonts w:ascii="Arial" w:cs="Arial" w:eastAsia="Arial" w:hAnsi="Arial"/>
                <w:sz w:val="17"/>
                <w:szCs w:val="17"/>
                <w:color w:val="auto"/>
                <w:vertAlign w:val="superscript"/>
              </w:rPr>
              <w:t>2, 3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515,396</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497,862</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17,534</w:t>
            </w:r>
          </w:p>
        </w:tc>
        <w:tc>
          <w:tcPr>
            <w:tcW w:w="16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3.5 %</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5,134</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4,867</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267</w:t>
            </w:r>
          </w:p>
        </w:tc>
        <w:tc>
          <w:tcPr>
            <w:tcW w:w="1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5.5 %</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3240" w:type="dxa"/>
            <w:vAlign w:val="bottom"/>
          </w:tcPr>
          <w:p>
            <w:pPr>
              <w:spacing w:after="0"/>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840,271</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812,545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27,726</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3.4 %</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17,102</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16,478</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624</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3.8 %</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Less: Straight-line rent and fair value lease revenue</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340"/>
              <w:spacing w:after="0" w:line="135" w:lineRule="exact"/>
              <w:rPr>
                <w:sz w:val="20"/>
                <w:szCs w:val="20"/>
                <w:color w:val="auto"/>
              </w:rPr>
            </w:pPr>
            <w:r>
              <w:rPr>
                <w:rFonts w:ascii="Arial" w:cs="Arial" w:eastAsia="Arial" w:hAnsi="Arial"/>
                <w:sz w:val="13"/>
                <w:szCs w:val="13"/>
                <w:color w:val="auto"/>
              </w:rPr>
              <w:t>and amortization and accretion from sales-type</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43,187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31,951</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11,236</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35.2 %</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(250.0)%</w:t>
            </w:r>
          </w:p>
        </w:tc>
        <w:tc>
          <w:tcPr>
            <w:tcW w:w="0" w:type="dxa"/>
            <w:vAlign w:val="bottom"/>
          </w:tcPr>
          <w:p>
            <w:pPr>
              <w:spacing w:after="0"/>
              <w:rPr>
                <w:sz w:val="1"/>
                <w:szCs w:val="1"/>
                <w:color w:val="auto"/>
              </w:rPr>
            </w:pPr>
          </w:p>
        </w:tc>
      </w:tr>
      <w:tr>
        <w:trPr>
          <w:trHeight w:val="176"/>
        </w:trPr>
        <w:tc>
          <w:tcPr>
            <w:tcW w:w="3240" w:type="dxa"/>
            <w:vAlign w:val="bottom"/>
          </w:tcPr>
          <w:p>
            <w:pPr>
              <w:ind w:left="340"/>
              <w:spacing w:after="0"/>
              <w:rPr>
                <w:sz w:val="20"/>
                <w:szCs w:val="20"/>
                <w:color w:val="auto"/>
              </w:rPr>
            </w:pPr>
            <w:r>
              <w:rPr>
                <w:rFonts w:ascii="Arial" w:cs="Arial" w:eastAsia="Arial" w:hAnsi="Arial"/>
                <w:sz w:val="13"/>
                <w:szCs w:val="13"/>
                <w:color w:val="auto"/>
              </w:rPr>
              <w:t>lease</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20"/>
                <w:szCs w:val="20"/>
                <w:color w:val="auto"/>
              </w:rPr>
            </w:pPr>
            <w:r>
              <w:rPr>
                <w:rFonts w:ascii="Arial" w:cs="Arial" w:eastAsia="Arial" w:hAnsi="Arial"/>
                <w:sz w:val="13"/>
                <w:szCs w:val="13"/>
                <w:color w:val="auto"/>
              </w:rPr>
              <w:t>Add: Lease transaction costs that qualify as rent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3,808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5,417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(1,609)</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(29.7)%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88"/>
        </w:trPr>
        <w:tc>
          <w:tcPr>
            <w:tcW w:w="3240" w:type="dxa"/>
            <w:vAlign w:val="bottom"/>
          </w:tcPr>
          <w:p>
            <w:pPr>
              <w:ind w:left="340"/>
              <w:spacing w:after="0" w:line="189" w:lineRule="exact"/>
              <w:rPr>
                <w:sz w:val="20"/>
                <w:szCs w:val="20"/>
                <w:color w:val="auto"/>
              </w:rPr>
            </w:pPr>
            <w:r>
              <w:rPr>
                <w:rFonts w:ascii="Arial" w:cs="Arial" w:eastAsia="Arial" w:hAnsi="Arial"/>
                <w:sz w:val="13"/>
                <w:szCs w:val="13"/>
                <w:color w:val="auto"/>
              </w:rPr>
              <w:t xml:space="preserve">inducements </w:t>
            </w:r>
            <w:r>
              <w:rPr>
                <w:rFonts w:ascii="Arial" w:cs="Arial" w:eastAsia="Arial" w:hAnsi="Arial"/>
                <w:sz w:val="17"/>
                <w:szCs w:val="17"/>
                <w:color w:val="auto"/>
                <w:vertAlign w:val="superscript"/>
              </w:rPr>
              <w:t>4</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40" w:type="dxa"/>
            <w:vAlign w:val="bottom"/>
          </w:tcPr>
          <w:p>
            <w:pPr>
              <w:spacing w:after="0"/>
              <w:rPr>
                <w:sz w:val="20"/>
                <w:szCs w:val="20"/>
                <w:color w:val="auto"/>
              </w:rPr>
            </w:pPr>
            <w:r>
              <w:rPr>
                <w:rFonts w:ascii="Arial" w:cs="Arial" w:eastAsia="Arial" w:hAnsi="Arial"/>
                <w:sz w:val="13"/>
                <w:szCs w:val="13"/>
                <w:color w:val="auto"/>
              </w:rPr>
              <w:t>Subtotal</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800,892</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786,011</w:t>
            </w: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14,881</w:t>
            </w:r>
          </w:p>
        </w:tc>
        <w:tc>
          <w:tcPr>
            <w:tcW w:w="16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1.9 %</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17,109</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16,480</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629</w:t>
            </w:r>
          </w:p>
        </w:tc>
        <w:tc>
          <w:tcPr>
            <w:tcW w:w="16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3.8 %</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324,875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314,683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10,192</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3.2 %</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11,968</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11,611</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357</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3.1 %</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20"/>
                <w:szCs w:val="20"/>
                <w:color w:val="auto"/>
              </w:rPr>
            </w:pPr>
            <w:r>
              <w:rPr>
                <w:rFonts w:ascii="Arial" w:cs="Arial" w:eastAsia="Arial" w:hAnsi="Arial"/>
                <w:sz w:val="13"/>
                <w:szCs w:val="13"/>
                <w:color w:val="auto"/>
              </w:rPr>
              <w:t xml:space="preserve">Add: Straight-line ground rent expense </w:t>
            </w:r>
            <w:r>
              <w:rPr>
                <w:rFonts w:ascii="Arial" w:cs="Arial" w:eastAsia="Arial" w:hAnsi="Arial"/>
                <w:sz w:val="17"/>
                <w:szCs w:val="17"/>
                <w:color w:val="auto"/>
                <w:vertAlign w:val="superscript"/>
              </w:rPr>
              <w:t>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624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(51)</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20"/>
                <w:szCs w:val="20"/>
                <w:color w:val="auto"/>
              </w:rPr>
            </w:pPr>
            <w:r>
              <w:rPr>
                <w:rFonts w:ascii="Arial" w:cs="Arial" w:eastAsia="Arial" w:hAnsi="Arial"/>
                <w:sz w:val="13"/>
                <w:szCs w:val="13"/>
                <w:color w:val="auto"/>
              </w:rPr>
              <w:t xml:space="preserve">NOI - cash (excluding termination income) </w:t>
            </w:r>
            <w:r>
              <w:rPr>
                <w:rFonts w:ascii="Arial" w:cs="Arial" w:eastAsia="Arial" w:hAnsi="Arial"/>
                <w:sz w:val="17"/>
                <w:szCs w:val="17"/>
                <w:color w:val="auto"/>
                <w:vertAlign w:val="superscript"/>
              </w:rPr>
              <w:t>2, 3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476,590</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471,952</w:t>
            </w:r>
          </w:p>
        </w:tc>
        <w:tc>
          <w:tcPr>
            <w:tcW w:w="1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4,638</w:t>
            </w:r>
          </w:p>
        </w:tc>
        <w:tc>
          <w:tcPr>
            <w:tcW w:w="1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1.0 %</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5,141</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4,869</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272</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5.6 %</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tcPr>
          <w:p>
            <w:pPr>
              <w:jc w:val="center"/>
              <w:ind w:right="340"/>
              <w:spacing w:after="0"/>
              <w:rPr>
                <w:sz w:val="20"/>
                <w:szCs w:val="20"/>
                <w:color w:val="auto"/>
              </w:rPr>
            </w:pPr>
            <w:r>
              <w:rPr>
                <w:rFonts w:ascii="Arial" w:cs="Arial" w:eastAsia="Arial" w:hAnsi="Arial"/>
                <w:sz w:val="13"/>
                <w:szCs w:val="13"/>
                <w:b w:val="1"/>
                <w:bCs w:val="1"/>
                <w:color w:val="auto"/>
              </w:rPr>
              <w:t xml:space="preserve">Consolidated Total </w:t>
            </w:r>
            <w:r>
              <w:rPr>
                <w:rFonts w:ascii="Arial" w:cs="Arial" w:eastAsia="Arial" w:hAnsi="Arial"/>
                <w:sz w:val="17"/>
                <w:szCs w:val="17"/>
                <w:b w:val="1"/>
                <w:bCs w:val="1"/>
                <w:color w:val="auto"/>
                <w:vertAlign w:val="superscript"/>
              </w:rPr>
              <w:t>1</w:t>
            </w:r>
            <w:r>
              <w:rPr>
                <w:rFonts w:ascii="Arial" w:cs="Arial" w:eastAsia="Arial" w:hAnsi="Arial"/>
                <w:sz w:val="13"/>
                <w:szCs w:val="13"/>
                <w:b w:val="1"/>
                <w:bCs w:val="1"/>
                <w:color w:val="auto"/>
              </w:rPr>
              <w:t xml:space="preserve"> (A)</w:t>
            </w:r>
          </w:p>
        </w:tc>
        <w:tc>
          <w:tcPr>
            <w:tcW w:w="8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9"/>
          </w:tcPr>
          <w:p>
            <w:pPr>
              <w:jc w:val="center"/>
              <w:ind w:right="53"/>
              <w:spacing w:after="0"/>
              <w:rPr>
                <w:sz w:val="20"/>
                <w:szCs w:val="20"/>
                <w:color w:val="auto"/>
              </w:rPr>
            </w:pPr>
            <w:r>
              <w:rPr>
                <w:rFonts w:ascii="Arial" w:cs="Arial" w:eastAsia="Arial" w:hAnsi="Arial"/>
                <w:sz w:val="13"/>
                <w:szCs w:val="13"/>
                <w:b w:val="1"/>
                <w:bCs w:val="1"/>
                <w:color w:val="auto"/>
              </w:rPr>
              <w:t>BXP’s share of Unconsolidated Joint Ventures (B)</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gridSpan w:val="2"/>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jc w:val="center"/>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33"/>
              <w:spacing w:after="0"/>
              <w:rPr>
                <w:sz w:val="20"/>
                <w:szCs w:val="20"/>
                <w:color w:val="auto"/>
              </w:rPr>
            </w:pPr>
            <w:r>
              <w:rPr>
                <w:rFonts w:ascii="Arial" w:cs="Arial" w:eastAsia="Arial" w:hAnsi="Arial"/>
                <w:sz w:val="13"/>
                <w:szCs w:val="13"/>
                <w:b w:val="1"/>
                <w:bCs w:val="1"/>
                <w:color w:val="auto"/>
                <w:w w:val="82"/>
              </w:rPr>
              <w:t>$</w:t>
            </w:r>
          </w:p>
        </w:tc>
        <w:tc>
          <w:tcPr>
            <w:tcW w:w="16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8"/>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30-Sep-26</w:t>
            </w:r>
          </w:p>
        </w:tc>
        <w:tc>
          <w:tcPr>
            <w:tcW w:w="100" w:type="dxa"/>
            <w:vAlign w:val="bottom"/>
          </w:tcPr>
          <w:p>
            <w:pPr>
              <w:spacing w:after="0"/>
              <w:rPr>
                <w:sz w:val="17"/>
                <w:szCs w:val="17"/>
                <w:color w:val="auto"/>
              </w:rPr>
            </w:pPr>
          </w:p>
        </w:tc>
        <w:tc>
          <w:tcPr>
            <w:tcW w:w="1000" w:type="dxa"/>
            <w:vAlign w:val="bottom"/>
            <w:gridSpan w:val="3"/>
          </w:tcPr>
          <w:p>
            <w:pPr>
              <w:ind w:left="40"/>
              <w:spacing w:after="0"/>
              <w:rPr>
                <w:sz w:val="20"/>
                <w:szCs w:val="20"/>
                <w:color w:val="auto"/>
              </w:rPr>
            </w:pPr>
            <w:r>
              <w:rPr>
                <w:rFonts w:ascii="Arial" w:cs="Arial" w:eastAsia="Arial" w:hAnsi="Arial"/>
                <w:sz w:val="13"/>
                <w:szCs w:val="13"/>
                <w:b w:val="1"/>
                <w:bCs w:val="1"/>
                <w:color w:val="auto"/>
              </w:rPr>
              <w:t>30-Sep-25</w:t>
            </w:r>
          </w:p>
        </w:tc>
        <w:tc>
          <w:tcPr>
            <w:tcW w:w="80" w:type="dxa"/>
            <w:vAlign w:val="bottom"/>
          </w:tcPr>
          <w:p>
            <w:pPr>
              <w:spacing w:after="0"/>
              <w:rPr>
                <w:sz w:val="17"/>
                <w:szCs w:val="17"/>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Change</w:t>
            </w: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30-Sep-26</w:t>
            </w:r>
          </w:p>
        </w:tc>
        <w:tc>
          <w:tcPr>
            <w:tcW w:w="10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30-Sep-25</w:t>
            </w:r>
          </w:p>
        </w:tc>
        <w:tc>
          <w:tcPr>
            <w:tcW w:w="100" w:type="dxa"/>
            <w:vAlign w:val="bottom"/>
          </w:tcPr>
          <w:p>
            <w:pPr>
              <w:spacing w:after="0"/>
              <w:rPr>
                <w:sz w:val="17"/>
                <w:szCs w:val="17"/>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Change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12"/>
        </w:trPr>
        <w:tc>
          <w:tcPr>
            <w:tcW w:w="3240" w:type="dxa"/>
            <w:vAlign w:val="bottom"/>
          </w:tcPr>
          <w:p>
            <w:pPr>
              <w:spacing w:after="0"/>
              <w:rPr>
                <w:sz w:val="20"/>
                <w:szCs w:val="20"/>
                <w:color w:val="auto"/>
              </w:rPr>
            </w:pPr>
            <w:r>
              <w:rPr>
                <w:rFonts w:ascii="Arial" w:cs="Arial" w:eastAsia="Arial" w:hAnsi="Arial"/>
                <w:sz w:val="13"/>
                <w:szCs w:val="13"/>
                <w:color w:val="auto"/>
              </w:rPr>
              <w:t xml:space="preserve">Rental Revenue </w:t>
            </w:r>
            <w:r>
              <w:rPr>
                <w:rFonts w:ascii="Arial" w:cs="Arial" w:eastAsia="Arial" w:hAnsi="Arial"/>
                <w:sz w:val="17"/>
                <w:szCs w:val="17"/>
                <w:color w:val="auto"/>
                <w:vertAlign w:val="superscript"/>
              </w:rPr>
              <w:t>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860,706</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830,264</w:t>
            </w: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40,259</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37,372</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3"/>
                <w:szCs w:val="13"/>
                <w:color w:val="auto"/>
              </w:rPr>
              <w:t>Less: Termination income</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3,333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1,241</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3,210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857,373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829,023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28,350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3.4 %</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37,049</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37,372</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(323)</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336,843</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326,294</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10,549</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3.2 %</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17,005</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16,799</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202"/>
        </w:trPr>
        <w:tc>
          <w:tcPr>
            <w:tcW w:w="3240" w:type="dxa"/>
            <w:vAlign w:val="bottom"/>
          </w:tcPr>
          <w:p>
            <w:pPr>
              <w:spacing w:after="0"/>
              <w:rPr>
                <w:sz w:val="20"/>
                <w:szCs w:val="20"/>
                <w:color w:val="auto"/>
              </w:rPr>
            </w:pPr>
            <w:r>
              <w:rPr>
                <w:rFonts w:ascii="Arial" w:cs="Arial" w:eastAsia="Arial" w:hAnsi="Arial"/>
                <w:sz w:val="13"/>
                <w:szCs w:val="13"/>
                <w:color w:val="auto"/>
              </w:rPr>
              <w:t xml:space="preserve">NOI (excluding termination income) </w:t>
            </w:r>
            <w:r>
              <w:rPr>
                <w:rFonts w:ascii="Arial" w:cs="Arial" w:eastAsia="Arial" w:hAnsi="Arial"/>
                <w:sz w:val="17"/>
                <w:szCs w:val="17"/>
                <w:color w:val="auto"/>
                <w:vertAlign w:val="superscript"/>
              </w:rPr>
              <w:t>2, 3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520,530</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502,729</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17,801</w:t>
            </w:r>
          </w:p>
        </w:tc>
        <w:tc>
          <w:tcPr>
            <w:tcW w:w="16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3.5 %</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20,044</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20,573</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w:t>
            </w:r>
          </w:p>
        </w:tc>
        <w:tc>
          <w:tcPr>
            <w:tcW w:w="1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3240" w:type="dxa"/>
            <w:vAlign w:val="bottom"/>
          </w:tcPr>
          <w:p>
            <w:pPr>
              <w:spacing w:after="0"/>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857,373</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829,023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28,350</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3.4 %</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37,049</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37,372</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(323)</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Less: Straight-line rent and fair value lease revenue</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340"/>
              <w:spacing w:after="0" w:line="135" w:lineRule="exact"/>
              <w:rPr>
                <w:sz w:val="20"/>
                <w:szCs w:val="20"/>
                <w:color w:val="auto"/>
              </w:rPr>
            </w:pPr>
            <w:r>
              <w:rPr>
                <w:rFonts w:ascii="Arial" w:cs="Arial" w:eastAsia="Arial" w:hAnsi="Arial"/>
                <w:sz w:val="13"/>
                <w:szCs w:val="13"/>
                <w:color w:val="auto"/>
              </w:rPr>
              <w:t>and amortization and accretion from sales-type</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43,180</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31,949</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11,231</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35.2 %</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2,250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1,747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503</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28.8 %</w:t>
            </w:r>
          </w:p>
        </w:tc>
        <w:tc>
          <w:tcPr>
            <w:tcW w:w="0" w:type="dxa"/>
            <w:vAlign w:val="bottom"/>
          </w:tcPr>
          <w:p>
            <w:pPr>
              <w:spacing w:after="0"/>
              <w:rPr>
                <w:sz w:val="1"/>
                <w:szCs w:val="1"/>
                <w:color w:val="auto"/>
              </w:rPr>
            </w:pPr>
          </w:p>
        </w:tc>
      </w:tr>
      <w:tr>
        <w:trPr>
          <w:trHeight w:val="176"/>
        </w:trPr>
        <w:tc>
          <w:tcPr>
            <w:tcW w:w="3240" w:type="dxa"/>
            <w:vAlign w:val="bottom"/>
          </w:tcPr>
          <w:p>
            <w:pPr>
              <w:ind w:left="340"/>
              <w:spacing w:after="0"/>
              <w:rPr>
                <w:sz w:val="20"/>
                <w:szCs w:val="20"/>
                <w:color w:val="auto"/>
              </w:rPr>
            </w:pPr>
            <w:r>
              <w:rPr>
                <w:rFonts w:ascii="Arial" w:cs="Arial" w:eastAsia="Arial" w:hAnsi="Arial"/>
                <w:sz w:val="13"/>
                <w:szCs w:val="13"/>
                <w:color w:val="auto"/>
              </w:rPr>
              <w:t>lease</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20"/>
                <w:szCs w:val="20"/>
                <w:color w:val="auto"/>
              </w:rPr>
            </w:pPr>
            <w:r>
              <w:rPr>
                <w:rFonts w:ascii="Arial" w:cs="Arial" w:eastAsia="Arial" w:hAnsi="Arial"/>
                <w:sz w:val="13"/>
                <w:szCs w:val="13"/>
                <w:color w:val="auto"/>
              </w:rPr>
              <w:t>Add: Lease transaction costs that qualify as rent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3,808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5,417</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(1,609)</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(29.7)%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155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155</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100.0 %</w:t>
            </w:r>
          </w:p>
        </w:tc>
        <w:tc>
          <w:tcPr>
            <w:tcW w:w="0" w:type="dxa"/>
            <w:vAlign w:val="bottom"/>
          </w:tcPr>
          <w:p>
            <w:pPr>
              <w:spacing w:after="0"/>
              <w:rPr>
                <w:sz w:val="1"/>
                <w:szCs w:val="1"/>
                <w:color w:val="auto"/>
              </w:rPr>
            </w:pPr>
          </w:p>
        </w:tc>
      </w:tr>
      <w:tr>
        <w:trPr>
          <w:trHeight w:val="188"/>
        </w:trPr>
        <w:tc>
          <w:tcPr>
            <w:tcW w:w="3240" w:type="dxa"/>
            <w:vAlign w:val="bottom"/>
          </w:tcPr>
          <w:p>
            <w:pPr>
              <w:ind w:left="340"/>
              <w:spacing w:after="0" w:line="189" w:lineRule="exact"/>
              <w:rPr>
                <w:sz w:val="20"/>
                <w:szCs w:val="20"/>
                <w:color w:val="auto"/>
              </w:rPr>
            </w:pPr>
            <w:r>
              <w:rPr>
                <w:rFonts w:ascii="Arial" w:cs="Arial" w:eastAsia="Arial" w:hAnsi="Arial"/>
                <w:sz w:val="13"/>
                <w:szCs w:val="13"/>
                <w:color w:val="auto"/>
              </w:rPr>
              <w:t xml:space="preserve">inducements </w:t>
            </w:r>
            <w:r>
              <w:rPr>
                <w:rFonts w:ascii="Arial" w:cs="Arial" w:eastAsia="Arial" w:hAnsi="Arial"/>
                <w:sz w:val="17"/>
                <w:szCs w:val="17"/>
                <w:color w:val="auto"/>
                <w:vertAlign w:val="superscript"/>
              </w:rPr>
              <w:t>4</w:t>
            </w: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40" w:type="dxa"/>
            <w:vAlign w:val="bottom"/>
          </w:tcPr>
          <w:p>
            <w:pPr>
              <w:spacing w:after="0"/>
              <w:rPr>
                <w:sz w:val="20"/>
                <w:szCs w:val="20"/>
                <w:color w:val="auto"/>
              </w:rPr>
            </w:pPr>
            <w:r>
              <w:rPr>
                <w:rFonts w:ascii="Arial" w:cs="Arial" w:eastAsia="Arial" w:hAnsi="Arial"/>
                <w:sz w:val="13"/>
                <w:szCs w:val="13"/>
                <w:color w:val="auto"/>
              </w:rPr>
              <w:t>Subtotal</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818,001</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802,491</w:t>
            </w: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15,510</w:t>
            </w:r>
          </w:p>
        </w:tc>
        <w:tc>
          <w:tcPr>
            <w:tcW w:w="16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1.9 %</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34,954</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35,625</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(671)</w:t>
            </w:r>
          </w:p>
        </w:tc>
        <w:tc>
          <w:tcPr>
            <w:tcW w:w="16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336,843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326,294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10,549</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3.2 %</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17,005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16,799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206</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3"/>
                <w:szCs w:val="13"/>
                <w:color w:val="auto"/>
              </w:rPr>
              <w:t xml:space="preserve">Add: Straight-line ground rent expense </w:t>
            </w:r>
            <w:r>
              <w:rPr>
                <w:rFonts w:ascii="Arial" w:cs="Arial" w:eastAsia="Arial" w:hAnsi="Arial"/>
                <w:sz w:val="17"/>
                <w:szCs w:val="17"/>
                <w:color w:val="auto"/>
                <w:vertAlign w:val="superscript"/>
              </w:rPr>
              <w:t>5</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20"/>
                <w:szCs w:val="20"/>
                <w:color w:val="auto"/>
              </w:rPr>
            </w:pPr>
            <w:r>
              <w:rPr>
                <w:rFonts w:ascii="Arial" w:cs="Arial" w:eastAsia="Arial" w:hAnsi="Arial"/>
                <w:sz w:val="13"/>
                <w:szCs w:val="13"/>
                <w:color w:val="auto"/>
              </w:rPr>
              <w:t xml:space="preserve">NOI - cash (excluding termination income) </w:t>
            </w:r>
            <w:r>
              <w:rPr>
                <w:rFonts w:ascii="Arial" w:cs="Arial" w:eastAsia="Arial" w:hAnsi="Arial"/>
                <w:sz w:val="17"/>
                <w:szCs w:val="17"/>
                <w:color w:val="auto"/>
                <w:vertAlign w:val="superscript"/>
              </w:rPr>
              <w:t>2, 3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481,731</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476,821</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4,910</w:t>
            </w:r>
          </w:p>
        </w:tc>
        <w:tc>
          <w:tcPr>
            <w:tcW w:w="16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1.0 %</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18,069</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18,949</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(880)</w:t>
            </w:r>
          </w:p>
        </w:tc>
        <w:tc>
          <w:tcPr>
            <w:tcW w:w="1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3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40" w:type="dxa"/>
            <w:vAlign w:val="bottom"/>
            <w:gridSpan w:val="11"/>
          </w:tcPr>
          <w:p>
            <w:pPr>
              <w:ind w:left="200"/>
              <w:spacing w:after="0"/>
              <w:rPr>
                <w:sz w:val="20"/>
                <w:szCs w:val="20"/>
                <w:color w:val="auto"/>
              </w:rPr>
            </w:pPr>
            <w:r>
              <w:rPr>
                <w:rFonts w:ascii="Arial" w:cs="Arial" w:eastAsia="Arial" w:hAnsi="Arial"/>
                <w:sz w:val="13"/>
                <w:szCs w:val="13"/>
                <w:b w:val="1"/>
                <w:bCs w:val="1"/>
                <w:color w:val="auto"/>
              </w:rPr>
              <w:t>Partners’ share of Consolidated Joint Ventures (C)</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8"/>
              </w:rPr>
              <w:t xml:space="preserve">BXP’s Share </w:t>
            </w:r>
            <w:r>
              <w:rPr>
                <w:rFonts w:ascii="Arial" w:cs="Arial" w:eastAsia="Arial" w:hAnsi="Arial"/>
                <w:sz w:val="17"/>
                <w:szCs w:val="17"/>
                <w:b w:val="1"/>
                <w:bCs w:val="1"/>
                <w:color w:val="auto"/>
                <w:w w:val="98"/>
                <w:vertAlign w:val="superscript"/>
              </w:rPr>
              <w:t>2, 6</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Borders>
              <w:top w:val="single" w:sz="8" w:color="auto"/>
            </w:tcBorders>
            <w:gridSpan w:val="2"/>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center"/>
              <w:ind w:right="33"/>
              <w:spacing w:after="0"/>
              <w:rPr>
                <w:sz w:val="20"/>
                <w:szCs w:val="20"/>
                <w:color w:val="auto"/>
              </w:rPr>
            </w:pPr>
            <w:r>
              <w:rPr>
                <w:rFonts w:ascii="Arial" w:cs="Arial" w:eastAsia="Arial" w:hAnsi="Arial"/>
                <w:sz w:val="13"/>
                <w:szCs w:val="13"/>
                <w:b w:val="1"/>
                <w:bCs w:val="1"/>
                <w:color w:val="auto"/>
              </w:rPr>
              <w:t>$</w:t>
            </w: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860" w:type="dxa"/>
            <w:vAlign w:val="bottom"/>
            <w:tcBorders>
              <w:top w:val="single" w:sz="8" w:color="auto"/>
              <w:bottom w:val="single" w:sz="8" w:color="auto"/>
            </w:tcBorders>
            <w:gridSpan w:val="4"/>
          </w:tcPr>
          <w:p>
            <w:pPr>
              <w:jc w:val="right"/>
              <w:ind w:right="253"/>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2"/>
              </w:rPr>
              <w:t>$</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8"/>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30-Sep-26</w:t>
            </w:r>
          </w:p>
        </w:tc>
        <w:tc>
          <w:tcPr>
            <w:tcW w:w="100" w:type="dxa"/>
            <w:vAlign w:val="bottom"/>
          </w:tcPr>
          <w:p>
            <w:pPr>
              <w:spacing w:after="0"/>
              <w:rPr>
                <w:sz w:val="17"/>
                <w:szCs w:val="17"/>
                <w:color w:val="auto"/>
              </w:rPr>
            </w:pPr>
          </w:p>
        </w:tc>
        <w:tc>
          <w:tcPr>
            <w:tcW w:w="1000" w:type="dxa"/>
            <w:vAlign w:val="bottom"/>
            <w:gridSpan w:val="3"/>
          </w:tcPr>
          <w:p>
            <w:pPr>
              <w:ind w:left="40"/>
              <w:spacing w:after="0"/>
              <w:rPr>
                <w:sz w:val="20"/>
                <w:szCs w:val="20"/>
                <w:color w:val="auto"/>
              </w:rPr>
            </w:pPr>
            <w:r>
              <w:rPr>
                <w:rFonts w:ascii="Arial" w:cs="Arial" w:eastAsia="Arial" w:hAnsi="Arial"/>
                <w:sz w:val="13"/>
                <w:szCs w:val="13"/>
                <w:b w:val="1"/>
                <w:bCs w:val="1"/>
                <w:color w:val="auto"/>
              </w:rPr>
              <w:t>30-Sep-25</w:t>
            </w:r>
          </w:p>
        </w:tc>
        <w:tc>
          <w:tcPr>
            <w:tcW w:w="80" w:type="dxa"/>
            <w:vAlign w:val="bottom"/>
          </w:tcPr>
          <w:p>
            <w:pPr>
              <w:spacing w:after="0"/>
              <w:rPr>
                <w:sz w:val="17"/>
                <w:szCs w:val="17"/>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Change</w:t>
            </w: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3"/>
                <w:szCs w:val="13"/>
                <w:b w:val="1"/>
                <w:bCs w:val="1"/>
                <w:color w:val="auto"/>
              </w:rPr>
              <w:t>30-Sep-26</w:t>
            </w:r>
          </w:p>
        </w:tc>
        <w:tc>
          <w:tcPr>
            <w:tcW w:w="100" w:type="dxa"/>
            <w:vAlign w:val="bottom"/>
          </w:tcPr>
          <w:p>
            <w:pPr>
              <w:spacing w:after="0"/>
              <w:rPr>
                <w:sz w:val="17"/>
                <w:szCs w:val="17"/>
                <w:color w:val="auto"/>
              </w:rPr>
            </w:pPr>
          </w:p>
        </w:tc>
        <w:tc>
          <w:tcPr>
            <w:tcW w:w="980" w:type="dxa"/>
            <w:vAlign w:val="bottom"/>
            <w:gridSpan w:val="2"/>
          </w:tcPr>
          <w:p>
            <w:pPr>
              <w:ind w:left="40"/>
              <w:spacing w:after="0"/>
              <w:rPr>
                <w:sz w:val="20"/>
                <w:szCs w:val="20"/>
                <w:color w:val="auto"/>
              </w:rPr>
            </w:pPr>
            <w:r>
              <w:rPr>
                <w:rFonts w:ascii="Arial" w:cs="Arial" w:eastAsia="Arial" w:hAnsi="Arial"/>
                <w:sz w:val="13"/>
                <w:szCs w:val="13"/>
                <w:b w:val="1"/>
                <w:bCs w:val="1"/>
                <w:color w:val="auto"/>
              </w:rPr>
              <w:t>30-Sep-25</w:t>
            </w:r>
          </w:p>
        </w:tc>
        <w:tc>
          <w:tcPr>
            <w:tcW w:w="100" w:type="dxa"/>
            <w:vAlign w:val="bottom"/>
          </w:tcPr>
          <w:p>
            <w:pPr>
              <w:spacing w:after="0"/>
              <w:rPr>
                <w:sz w:val="17"/>
                <w:szCs w:val="17"/>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Change</w:t>
            </w: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rPr>
              <w:t>Change</w:t>
            </w:r>
          </w:p>
        </w:tc>
        <w:tc>
          <w:tcPr>
            <w:tcW w:w="0" w:type="dxa"/>
            <w:vAlign w:val="bottom"/>
          </w:tcPr>
          <w:p>
            <w:pPr>
              <w:spacing w:after="0"/>
              <w:rPr>
                <w:sz w:val="1"/>
                <w:szCs w:val="1"/>
                <w:color w:val="auto"/>
              </w:rPr>
            </w:pPr>
          </w:p>
        </w:tc>
      </w:tr>
      <w:tr>
        <w:trPr>
          <w:trHeight w:val="212"/>
        </w:trPr>
        <w:tc>
          <w:tcPr>
            <w:tcW w:w="3240" w:type="dxa"/>
            <w:vAlign w:val="bottom"/>
          </w:tcPr>
          <w:p>
            <w:pPr>
              <w:spacing w:after="0"/>
              <w:rPr>
                <w:sz w:val="20"/>
                <w:szCs w:val="20"/>
                <w:color w:val="auto"/>
              </w:rPr>
            </w:pPr>
            <w:r>
              <w:rPr>
                <w:rFonts w:ascii="Arial" w:cs="Arial" w:eastAsia="Arial" w:hAnsi="Arial"/>
                <w:sz w:val="13"/>
                <w:szCs w:val="13"/>
                <w:color w:val="auto"/>
              </w:rPr>
              <w:t xml:space="preserve">Rental Revenue </w:t>
            </w:r>
            <w:r>
              <w:rPr>
                <w:rFonts w:ascii="Arial" w:cs="Arial" w:eastAsia="Arial" w:hAnsi="Arial"/>
                <w:sz w:val="17"/>
                <w:szCs w:val="17"/>
                <w:color w:val="auto"/>
                <w:vertAlign w:val="superscript"/>
              </w:rPr>
              <w:t>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90,973</w:t>
            </w:r>
          </w:p>
        </w:tc>
        <w:tc>
          <w:tcPr>
            <w:tcW w:w="1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88,181</w:t>
            </w: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809,992</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779,455</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3"/>
                <w:szCs w:val="13"/>
                <w:color w:val="auto"/>
              </w:rPr>
              <w:t>Less: Termination income</w:t>
            </w:r>
          </w:p>
        </w:tc>
        <w:tc>
          <w:tcPr>
            <w:tcW w:w="12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6,543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1,241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90,973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88,181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2,792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3.2 %</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803,449</w:t>
            </w: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778,214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25,235</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3.2 %</w:t>
            </w:r>
          </w:p>
        </w:tc>
        <w:tc>
          <w:tcPr>
            <w:tcW w:w="0" w:type="dxa"/>
            <w:vAlign w:val="bottom"/>
          </w:tcPr>
          <w:p>
            <w:pPr>
              <w:spacing w:after="0"/>
              <w:rPr>
                <w:sz w:val="1"/>
                <w:szCs w:val="1"/>
                <w:color w:val="auto"/>
              </w:rPr>
            </w:pPr>
          </w:p>
        </w:tc>
      </w:tr>
      <w:tr>
        <w:trPr>
          <w:trHeight w:val="182"/>
        </w:trPr>
        <w:tc>
          <w:tcPr>
            <w:tcW w:w="324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38,299</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36,677</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1,622</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4.4 %</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315,549</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306,416</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9,133</w:t>
            </w:r>
          </w:p>
        </w:tc>
        <w:tc>
          <w:tcPr>
            <w:tcW w:w="1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r>
        <w:trPr>
          <w:trHeight w:val="202"/>
        </w:trPr>
        <w:tc>
          <w:tcPr>
            <w:tcW w:w="3240" w:type="dxa"/>
            <w:vAlign w:val="bottom"/>
          </w:tcPr>
          <w:p>
            <w:pPr>
              <w:spacing w:after="0"/>
              <w:rPr>
                <w:sz w:val="20"/>
                <w:szCs w:val="20"/>
                <w:color w:val="auto"/>
              </w:rPr>
            </w:pPr>
            <w:r>
              <w:rPr>
                <w:rFonts w:ascii="Arial" w:cs="Arial" w:eastAsia="Arial" w:hAnsi="Arial"/>
                <w:sz w:val="13"/>
                <w:szCs w:val="13"/>
                <w:color w:val="auto"/>
              </w:rPr>
              <w:t xml:space="preserve">NOI (excluding termination income) </w:t>
            </w:r>
            <w:r>
              <w:rPr>
                <w:rFonts w:ascii="Arial" w:cs="Arial" w:eastAsia="Arial" w:hAnsi="Arial"/>
                <w:sz w:val="17"/>
                <w:szCs w:val="17"/>
                <w:color w:val="auto"/>
                <w:vertAlign w:val="superscript"/>
              </w:rPr>
              <w:t>2, 3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52,674</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51,504</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1,170</w:t>
            </w:r>
          </w:p>
        </w:tc>
        <w:tc>
          <w:tcPr>
            <w:tcW w:w="16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2.3 %</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487,900</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471,798</w:t>
            </w:r>
          </w:p>
        </w:tc>
        <w:tc>
          <w:tcPr>
            <w:tcW w:w="18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16,102</w:t>
            </w:r>
          </w:p>
        </w:tc>
        <w:tc>
          <w:tcPr>
            <w:tcW w:w="1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3.4 %</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3240" w:type="dxa"/>
            <w:vAlign w:val="bottom"/>
          </w:tcPr>
          <w:p>
            <w:pPr>
              <w:spacing w:after="0"/>
              <w:rPr>
                <w:sz w:val="20"/>
                <w:szCs w:val="20"/>
                <w:color w:val="auto"/>
              </w:rPr>
            </w:pPr>
            <w:r>
              <w:rPr>
                <w:rFonts w:ascii="Arial" w:cs="Arial" w:eastAsia="Arial" w:hAnsi="Arial"/>
                <w:sz w:val="13"/>
                <w:szCs w:val="13"/>
                <w:color w:val="auto"/>
              </w:rPr>
              <w:t xml:space="preserve">Rental revenue (excluding termination income) </w:t>
            </w:r>
            <w:r>
              <w:rPr>
                <w:rFonts w:ascii="Arial" w:cs="Arial" w:eastAsia="Arial" w:hAnsi="Arial"/>
                <w:sz w:val="17"/>
                <w:szCs w:val="17"/>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90,973</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88,181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2,792</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3.2 %</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803,449</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778,214</w:t>
            </w:r>
          </w:p>
        </w:tc>
        <w:tc>
          <w:tcPr>
            <w:tcW w:w="1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25,235</w:t>
            </w: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3.2 %</w:t>
            </w:r>
          </w:p>
        </w:tc>
        <w:tc>
          <w:tcPr>
            <w:tcW w:w="0" w:type="dxa"/>
            <w:vAlign w:val="bottom"/>
          </w:tcPr>
          <w:p>
            <w:pPr>
              <w:spacing w:after="0"/>
              <w:rPr>
                <w:sz w:val="1"/>
                <w:szCs w:val="1"/>
                <w:color w:val="auto"/>
              </w:rPr>
            </w:pPr>
          </w:p>
        </w:tc>
      </w:tr>
      <w:tr>
        <w:trPr>
          <w:trHeight w:val="135"/>
        </w:trPr>
        <w:tc>
          <w:tcPr>
            <w:tcW w:w="3240" w:type="dxa"/>
            <w:vAlign w:val="bottom"/>
          </w:tcPr>
          <w:p>
            <w:pPr>
              <w:spacing w:after="0" w:line="135" w:lineRule="exact"/>
              <w:rPr>
                <w:sz w:val="20"/>
                <w:szCs w:val="20"/>
                <w:color w:val="auto"/>
              </w:rPr>
            </w:pPr>
            <w:r>
              <w:rPr>
                <w:rFonts w:ascii="Arial" w:cs="Arial" w:eastAsia="Arial" w:hAnsi="Arial"/>
                <w:sz w:val="13"/>
                <w:szCs w:val="13"/>
                <w:color w:val="auto"/>
              </w:rPr>
              <w:t>Less: Straight-line rent and fair value lease revenue</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340"/>
              <w:spacing w:after="0" w:line="135" w:lineRule="exact"/>
              <w:rPr>
                <w:sz w:val="20"/>
                <w:szCs w:val="20"/>
                <w:color w:val="auto"/>
              </w:rPr>
            </w:pPr>
            <w:r>
              <w:rPr>
                <w:rFonts w:ascii="Arial" w:cs="Arial" w:eastAsia="Arial" w:hAnsi="Arial"/>
                <w:sz w:val="13"/>
                <w:szCs w:val="13"/>
                <w:color w:val="auto"/>
              </w:rPr>
              <w:t>and amortization and accretion from sales-type</w:t>
            </w: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2,607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7,895</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(5,288)</w:t>
            </w:r>
          </w:p>
        </w:tc>
        <w:tc>
          <w:tcPr>
            <w:tcW w:w="16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(67.0)%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42,823</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25,801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17,022</w:t>
            </w:r>
          </w:p>
        </w:tc>
        <w:tc>
          <w:tcPr>
            <w:tcW w:w="16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66.0 %</w:t>
            </w:r>
          </w:p>
        </w:tc>
        <w:tc>
          <w:tcPr>
            <w:tcW w:w="0" w:type="dxa"/>
            <w:vAlign w:val="bottom"/>
          </w:tcPr>
          <w:p>
            <w:pPr>
              <w:spacing w:after="0"/>
              <w:rPr>
                <w:sz w:val="1"/>
                <w:szCs w:val="1"/>
                <w:color w:val="auto"/>
              </w:rPr>
            </w:pPr>
          </w:p>
        </w:tc>
      </w:tr>
      <w:tr>
        <w:trPr>
          <w:trHeight w:val="176"/>
        </w:trPr>
        <w:tc>
          <w:tcPr>
            <w:tcW w:w="3240" w:type="dxa"/>
            <w:vAlign w:val="bottom"/>
          </w:tcPr>
          <w:p>
            <w:pPr>
              <w:ind w:left="340"/>
              <w:spacing w:after="0"/>
              <w:rPr>
                <w:sz w:val="20"/>
                <w:szCs w:val="20"/>
                <w:color w:val="auto"/>
              </w:rPr>
            </w:pPr>
            <w:r>
              <w:rPr>
                <w:rFonts w:ascii="Arial" w:cs="Arial" w:eastAsia="Arial" w:hAnsi="Arial"/>
                <w:sz w:val="13"/>
                <w:szCs w:val="13"/>
                <w:color w:val="auto"/>
              </w:rPr>
              <w:t>lease</w:t>
            </w:r>
          </w:p>
        </w:tc>
        <w:tc>
          <w:tcPr>
            <w:tcW w:w="1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240" w:type="dxa"/>
            <w:vAlign w:val="bottom"/>
          </w:tcPr>
          <w:p>
            <w:pPr>
              <w:spacing w:after="0"/>
              <w:rPr>
                <w:sz w:val="20"/>
                <w:szCs w:val="20"/>
                <w:color w:val="auto"/>
              </w:rPr>
            </w:pPr>
            <w:r>
              <w:rPr>
                <w:rFonts w:ascii="Arial" w:cs="Arial" w:eastAsia="Arial" w:hAnsi="Arial"/>
                <w:sz w:val="13"/>
                <w:szCs w:val="13"/>
                <w:color w:val="auto"/>
              </w:rPr>
              <w:t>Add: Lease transaction costs that qualify as rent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895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(895)</w:t>
            </w:r>
          </w:p>
        </w:tc>
        <w:tc>
          <w:tcPr>
            <w:tcW w:w="1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(100.0)%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3,963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4,522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(559)</w:t>
            </w: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88"/>
        </w:trPr>
        <w:tc>
          <w:tcPr>
            <w:tcW w:w="3240" w:type="dxa"/>
            <w:vAlign w:val="bottom"/>
          </w:tcPr>
          <w:p>
            <w:pPr>
              <w:ind w:left="340"/>
              <w:spacing w:after="0" w:line="189" w:lineRule="exact"/>
              <w:rPr>
                <w:sz w:val="20"/>
                <w:szCs w:val="20"/>
                <w:color w:val="auto"/>
              </w:rPr>
            </w:pPr>
            <w:r>
              <w:rPr>
                <w:rFonts w:ascii="Arial" w:cs="Arial" w:eastAsia="Arial" w:hAnsi="Arial"/>
                <w:sz w:val="13"/>
                <w:szCs w:val="13"/>
                <w:color w:val="auto"/>
              </w:rPr>
              <w:t xml:space="preserve">inducements </w:t>
            </w:r>
            <w:r>
              <w:rPr>
                <w:rFonts w:ascii="Arial" w:cs="Arial" w:eastAsia="Arial" w:hAnsi="Arial"/>
                <w:sz w:val="17"/>
                <w:szCs w:val="17"/>
                <w:color w:val="auto"/>
                <w:vertAlign w:val="superscript"/>
              </w:rPr>
              <w:t>4</w:t>
            </w:r>
          </w:p>
        </w:tc>
        <w:tc>
          <w:tcPr>
            <w:tcW w:w="1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240" w:type="dxa"/>
            <w:vAlign w:val="bottom"/>
          </w:tcPr>
          <w:p>
            <w:pPr>
              <w:spacing w:after="0"/>
              <w:rPr>
                <w:sz w:val="20"/>
                <w:szCs w:val="20"/>
                <w:color w:val="auto"/>
              </w:rPr>
            </w:pPr>
            <w:r>
              <w:rPr>
                <w:rFonts w:ascii="Arial" w:cs="Arial" w:eastAsia="Arial" w:hAnsi="Arial"/>
                <w:sz w:val="13"/>
                <w:szCs w:val="13"/>
                <w:color w:val="auto"/>
              </w:rPr>
              <w:t>Subtotal</w:t>
            </w: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88,366</w:t>
            </w: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81,181</w:t>
            </w:r>
          </w:p>
        </w:tc>
        <w:tc>
          <w:tcPr>
            <w:tcW w:w="16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7,185</w:t>
            </w:r>
          </w:p>
        </w:tc>
        <w:tc>
          <w:tcPr>
            <w:tcW w:w="160" w:type="dxa"/>
            <w:vAlign w:val="bottom"/>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8.9 %</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764,589</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756,935</w:t>
            </w: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7,654</w:t>
            </w:r>
          </w:p>
        </w:tc>
        <w:tc>
          <w:tcPr>
            <w:tcW w:w="160" w:type="dxa"/>
            <w:vAlign w:val="bottom"/>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203"/>
        </w:trPr>
        <w:tc>
          <w:tcPr>
            <w:tcW w:w="3240" w:type="dxa"/>
            <w:vAlign w:val="bottom"/>
          </w:tcPr>
          <w:p>
            <w:pPr>
              <w:spacing w:after="0"/>
              <w:rPr>
                <w:sz w:val="20"/>
                <w:szCs w:val="20"/>
                <w:color w:val="auto"/>
              </w:rPr>
            </w:pPr>
            <w:r>
              <w:rPr>
                <w:rFonts w:ascii="Arial" w:cs="Arial" w:eastAsia="Arial" w:hAnsi="Arial"/>
                <w:sz w:val="13"/>
                <w:szCs w:val="13"/>
                <w:color w:val="auto"/>
              </w:rPr>
              <w:t>Less: Operating expenses and real estate taxes</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38,299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36,677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1,622</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4.4 %</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315,549</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306,416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9,133</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r>
        <w:trPr>
          <w:trHeight w:val="214"/>
        </w:trPr>
        <w:tc>
          <w:tcPr>
            <w:tcW w:w="3240" w:type="dxa"/>
            <w:vAlign w:val="bottom"/>
          </w:tcPr>
          <w:p>
            <w:pPr>
              <w:spacing w:after="0"/>
              <w:rPr>
                <w:sz w:val="20"/>
                <w:szCs w:val="20"/>
                <w:color w:val="auto"/>
              </w:rPr>
            </w:pPr>
            <w:r>
              <w:rPr>
                <w:rFonts w:ascii="Arial" w:cs="Arial" w:eastAsia="Arial" w:hAnsi="Arial"/>
                <w:sz w:val="13"/>
                <w:szCs w:val="13"/>
                <w:color w:val="auto"/>
              </w:rPr>
              <w:t xml:space="preserve">Add: Straight-line ground rent expense </w:t>
            </w:r>
            <w:r>
              <w:rPr>
                <w:rFonts w:ascii="Arial" w:cs="Arial" w:eastAsia="Arial" w:hAnsi="Arial"/>
                <w:sz w:val="17"/>
                <w:szCs w:val="17"/>
                <w:color w:val="auto"/>
                <w:vertAlign w:val="superscript"/>
              </w:rPr>
              <w:t>5</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(54)</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96"/>
        </w:trPr>
        <w:tc>
          <w:tcPr>
            <w:tcW w:w="3240" w:type="dxa"/>
            <w:vAlign w:val="bottom"/>
          </w:tcPr>
          <w:p>
            <w:pPr>
              <w:spacing w:after="0"/>
              <w:rPr>
                <w:sz w:val="20"/>
                <w:szCs w:val="20"/>
                <w:color w:val="auto"/>
              </w:rPr>
            </w:pPr>
            <w:r>
              <w:rPr>
                <w:rFonts w:ascii="Arial" w:cs="Arial" w:eastAsia="Arial" w:hAnsi="Arial"/>
                <w:sz w:val="13"/>
                <w:szCs w:val="13"/>
                <w:color w:val="auto"/>
              </w:rPr>
              <w:t xml:space="preserve">NOI - cash (excluding termination income) </w:t>
            </w:r>
            <w:r>
              <w:rPr>
                <w:rFonts w:ascii="Arial" w:cs="Arial" w:eastAsia="Arial" w:hAnsi="Arial"/>
                <w:sz w:val="17"/>
                <w:szCs w:val="17"/>
                <w:color w:val="auto"/>
                <w:vertAlign w:val="superscript"/>
              </w:rPr>
              <w:t>2, 3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50,067</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44,504</w:t>
            </w:r>
          </w:p>
        </w:tc>
        <w:tc>
          <w:tcPr>
            <w:tcW w:w="1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5,563</w:t>
            </w:r>
          </w:p>
        </w:tc>
        <w:tc>
          <w:tcPr>
            <w:tcW w:w="1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12.5 %</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449,733</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451,266</w:t>
            </w:r>
          </w:p>
        </w:tc>
        <w:tc>
          <w:tcPr>
            <w:tcW w:w="1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(1,533)</w:t>
            </w:r>
          </w:p>
        </w:tc>
        <w:tc>
          <w:tcPr>
            <w:tcW w:w="16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w:t>
      </w:r>
    </w:p>
    <w:p>
      <w:pPr>
        <w:ind w:left="80" w:hanging="72"/>
        <w:spacing w:after="0" w:line="229" w:lineRule="auto"/>
        <w:tabs>
          <w:tab w:leader="none" w:pos="80" w:val="left"/>
        </w:tabs>
        <w:numPr>
          <w:ilvl w:val="0"/>
          <w:numId w:val="29"/>
        </w:numPr>
        <w:rPr>
          <w:rFonts w:ascii="Arial" w:cs="Arial" w:eastAsia="Arial" w:hAnsi="Arial"/>
          <w:sz w:val="19"/>
          <w:szCs w:val="19"/>
          <w:color w:val="auto"/>
          <w:vertAlign w:val="superscript"/>
        </w:rPr>
      </w:pPr>
      <w:r>
        <w:rPr>
          <w:rFonts w:ascii="Arial" w:cs="Arial" w:eastAsia="Arial" w:hAnsi="Arial"/>
          <w:sz w:val="13"/>
          <w:szCs w:val="13"/>
          <w:color w:val="auto"/>
        </w:rPr>
        <w:t>Includes 100% share of consolidated joint ventures that are a Same Property.</w:t>
      </w:r>
    </w:p>
    <w:p>
      <w:pPr>
        <w:ind w:left="80" w:hanging="72"/>
        <w:spacing w:after="0" w:line="222" w:lineRule="auto"/>
        <w:tabs>
          <w:tab w:leader="none" w:pos="80" w:val="left"/>
        </w:tabs>
        <w:numPr>
          <w:ilvl w:val="0"/>
          <w:numId w:val="30"/>
        </w:numPr>
        <w:rPr>
          <w:rFonts w:ascii="Arial" w:cs="Arial" w:eastAsia="Arial" w:hAnsi="Arial"/>
          <w:sz w:val="19"/>
          <w:szCs w:val="19"/>
          <w:color w:val="auto"/>
          <w:vertAlign w:val="superscript"/>
        </w:rPr>
      </w:pPr>
      <w:r>
        <w:rPr>
          <w:rFonts w:ascii="Arial" w:cs="Arial" w:eastAsia="Arial" w:hAnsi="Arial"/>
          <w:sz w:val="13"/>
          <w:szCs w:val="13"/>
          <w:color w:val="auto"/>
        </w:rPr>
        <w:t>See the Definitions and Reconciliations sections of this Supplemental package starting on page 56.</w:t>
      </w:r>
    </w:p>
    <w:p>
      <w:pPr>
        <w:spacing w:after="0" w:line="23" w:lineRule="exact"/>
        <w:rPr>
          <w:sz w:val="20"/>
          <w:szCs w:val="20"/>
          <w:color w:val="auto"/>
        </w:rPr>
      </w:pPr>
    </w:p>
    <w:p>
      <w:pPr>
        <w:ind w:left="80" w:right="200" w:hanging="72"/>
        <w:spacing w:after="0" w:line="221" w:lineRule="auto"/>
        <w:tabs>
          <w:tab w:leader="none" w:pos="78" w:val="left"/>
        </w:tabs>
        <w:numPr>
          <w:ilvl w:val="0"/>
          <w:numId w:val="31"/>
        </w:numPr>
        <w:rPr>
          <w:rFonts w:ascii="Arial" w:cs="Arial" w:eastAsia="Arial" w:hAnsi="Arial"/>
          <w:sz w:val="18"/>
          <w:szCs w:val="18"/>
          <w:color w:val="auto"/>
          <w:vertAlign w:val="superscript"/>
        </w:rPr>
      </w:pPr>
      <w:r>
        <w:rPr>
          <w:rFonts w:ascii="Arial" w:cs="Arial" w:eastAsia="Arial" w:hAnsi="Arial"/>
          <w:sz w:val="13"/>
          <w:szCs w:val="13"/>
          <w:color w:val="auto"/>
        </w:rPr>
        <w:t>For a quantitative reconciliation of net income attributable to BXP, Inc. to net operating income (NOI) (excluding termination income) and NOI - cash (excluding termination income), see pages 9-10.</w:t>
      </w:r>
    </w:p>
    <w:p>
      <w:pPr>
        <w:sectPr>
          <w:pgSz w:w="11900" w:h="16838" w:orient="portrait"/>
          <w:cols w:equalWidth="0" w:num="1">
            <w:col w:w="11240"/>
          </w:cols>
          <w:pgMar w:left="320" w:top="279" w:right="339" w:bottom="1440" w:gutter="0" w:footer="0" w:header="0"/>
        </w:sectPr>
      </w:pPr>
    </w:p>
    <w:p>
      <w:pPr>
        <w:spacing w:after="0" w:line="206"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11</w:t>
      </w:r>
    </w:p>
    <w:p>
      <w:pPr>
        <w:sectPr>
          <w:pgSz w:w="11900" w:h="16838" w:orient="portrait"/>
          <w:cols w:equalWidth="0" w:num="1">
            <w:col w:w="11240"/>
          </w:cols>
          <w:pgMar w:left="320" w:top="279" w:right="339" w:bottom="1440" w:gutter="0" w:footer="0" w:header="0"/>
          <w:type w:val="continuous"/>
        </w:sectPr>
      </w:pPr>
    </w:p>
    <w:bookmarkStart w:id="19" w:name="page20"/>
    <w:bookmarkEnd w:id="19"/>
    <w:p>
      <w:pPr>
        <w:jc w:val="right"/>
        <w:ind w:right="6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-61595</wp:posOffset>
            </wp:positionV>
            <wp:extent cx="257175" cy="1631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60"/>
        <w:spacing w:after="0"/>
        <w:rPr>
          <w:sz w:val="20"/>
          <w:szCs w:val="20"/>
          <w:color w:val="auto"/>
        </w:rPr>
      </w:pPr>
      <w:r>
        <w:rPr>
          <w:rFonts w:ascii="Arial" w:cs="Arial" w:eastAsia="Arial" w:hAnsi="Arial"/>
          <w:sz w:val="14"/>
          <w:szCs w:val="14"/>
          <w:b w:val="1"/>
          <w:bCs w:val="1"/>
          <w:color w:val="00497F"/>
        </w:rPr>
        <w:t>Same property net operating income (NOI) by reportable segment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32385</wp:posOffset>
            </wp:positionV>
            <wp:extent cx="70719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80" w:right="80" w:hanging="72"/>
        <w:spacing w:after="0" w:line="227" w:lineRule="auto"/>
        <w:tabs>
          <w:tab w:leader="none" w:pos="78" w:val="left"/>
        </w:tabs>
        <w:numPr>
          <w:ilvl w:val="0"/>
          <w:numId w:val="32"/>
        </w:numPr>
        <w:rPr>
          <w:rFonts w:ascii="Arial" w:cs="Arial" w:eastAsia="Arial" w:hAnsi="Arial"/>
          <w:sz w:val="18"/>
          <w:szCs w:val="18"/>
          <w:color w:val="auto"/>
          <w:vertAlign w:val="superscript"/>
        </w:rPr>
      </w:pPr>
      <w:r>
        <w:rPr>
          <w:rFonts w:ascii="Arial" w:cs="Arial" w:eastAsia="Arial" w:hAnsi="Arial"/>
          <w:sz w:val="13"/>
          <w:szCs w:val="13"/>
          <w:color w:val="auto"/>
        </w:rPr>
        <w:t>Consists of lease transaction costs that qualify as rent inducements in accordance with GAAP. Lease transaction costs are generally included in 2nd generation tenant improvements and leasing commissions in the Company’s FAD calculation on page 8.</w:t>
      </w:r>
    </w:p>
    <w:p>
      <w:pPr>
        <w:spacing w:after="0" w:line="14" w:lineRule="exact"/>
        <w:rPr>
          <w:sz w:val="20"/>
          <w:szCs w:val="20"/>
          <w:color w:val="auto"/>
        </w:rPr>
      </w:pPr>
    </w:p>
    <w:p>
      <w:pPr>
        <w:ind w:left="80" w:right="220" w:hanging="72"/>
        <w:spacing w:after="0" w:line="227" w:lineRule="auto"/>
        <w:tabs>
          <w:tab w:leader="none" w:pos="78" w:val="left"/>
        </w:tabs>
        <w:numPr>
          <w:ilvl w:val="0"/>
          <w:numId w:val="33"/>
        </w:numPr>
        <w:rPr>
          <w:rFonts w:ascii="Arial" w:cs="Arial" w:eastAsia="Arial" w:hAnsi="Arial"/>
          <w:sz w:val="18"/>
          <w:szCs w:val="18"/>
          <w:color w:val="auto"/>
          <w:vertAlign w:val="superscript"/>
        </w:rPr>
      </w:pPr>
      <w:r>
        <w:rPr>
          <w:rFonts w:ascii="Arial" w:cs="Arial" w:eastAsia="Arial" w:hAnsi="Arial"/>
          <w:sz w:val="13"/>
          <w:szCs w:val="13"/>
          <w:color w:val="auto"/>
        </w:rPr>
        <w:t>Excludes the straight-line impact of approximately $(6,084) and $(1,061) for the three months ended September 30, 2026 and 2025, respectively, in connection with the Company’s 99-year ground and air rights lease at 100 Clarendon Street garage and Back Bay Transit Station.</w:t>
      </w:r>
    </w:p>
    <w:p>
      <w:pPr>
        <w:ind w:left="80" w:hanging="72"/>
        <w:spacing w:after="0" w:line="223" w:lineRule="auto"/>
        <w:tabs>
          <w:tab w:leader="none" w:pos="80" w:val="left"/>
        </w:tabs>
        <w:numPr>
          <w:ilvl w:val="0"/>
          <w:numId w:val="34"/>
        </w:numPr>
        <w:rPr>
          <w:rFonts w:ascii="Arial" w:cs="Arial" w:eastAsia="Arial" w:hAnsi="Arial"/>
          <w:sz w:val="19"/>
          <w:szCs w:val="19"/>
          <w:color w:val="auto"/>
          <w:vertAlign w:val="superscript"/>
        </w:rPr>
      </w:pPr>
      <w:r>
        <w:rPr>
          <w:rFonts w:ascii="Arial" w:cs="Arial" w:eastAsia="Arial" w:hAnsi="Arial"/>
          <w:sz w:val="13"/>
          <w:szCs w:val="13"/>
          <w:color w:val="auto"/>
        </w:rPr>
        <w:t>BXP’s Share equals (A) + (B) - (C).</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279" w:right="339" w:bottom="1440" w:gutter="0" w:footer="0" w:header="0"/>
        </w:sectPr>
      </w:pPr>
    </w:p>
    <w:bookmarkStart w:id="20" w:name="page21"/>
    <w:bookmarkEnd w:id="20"/>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PSF amounts)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7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r>
      <w:tr>
        <w:trPr>
          <w:trHeight w:val="209"/>
        </w:trPr>
        <w:tc>
          <w:tcPr>
            <w:tcW w:w="8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30-Sep-26</w:t>
            </w:r>
          </w:p>
        </w:tc>
        <w:tc>
          <w:tcPr>
            <w:tcW w:w="160" w:type="dxa"/>
            <w:vAlign w:val="bottom"/>
          </w:tcPr>
          <w:p>
            <w:pPr>
              <w:spacing w:after="0"/>
              <w:rPr>
                <w:sz w:val="18"/>
                <w:szCs w:val="18"/>
                <w:color w:val="auto"/>
              </w:rPr>
            </w:pPr>
          </w:p>
        </w:tc>
        <w:tc>
          <w:tcPr>
            <w:tcW w:w="980" w:type="dxa"/>
            <w:vAlign w:val="bottom"/>
          </w:tcPr>
          <w:p>
            <w:pPr>
              <w:jc w:val="right"/>
              <w:ind w:right="168"/>
              <w:spacing w:after="0"/>
              <w:rPr>
                <w:sz w:val="20"/>
                <w:szCs w:val="20"/>
                <w:color w:val="auto"/>
              </w:rPr>
            </w:pPr>
            <w:r>
              <w:rPr>
                <w:rFonts w:ascii="Arial" w:cs="Arial" w:eastAsia="Arial" w:hAnsi="Arial"/>
                <w:sz w:val="14"/>
                <w:szCs w:val="14"/>
                <w:b w:val="1"/>
                <w:bCs w:val="1"/>
                <w:color w:val="auto"/>
              </w:rPr>
              <w:t>30-Jun-26</w:t>
            </w:r>
          </w:p>
        </w:tc>
      </w:tr>
      <w:tr>
        <w:trPr>
          <w:trHeight w:val="202"/>
        </w:trPr>
        <w:tc>
          <w:tcPr>
            <w:tcW w:w="8720" w:type="dxa"/>
            <w:vAlign w:val="bottom"/>
          </w:tcPr>
          <w:p>
            <w:pPr>
              <w:spacing w:after="0"/>
              <w:rPr>
                <w:sz w:val="20"/>
                <w:szCs w:val="20"/>
                <w:color w:val="auto"/>
              </w:rPr>
            </w:pPr>
            <w:r>
              <w:rPr>
                <w:rFonts w:ascii="Arial" w:cs="Arial" w:eastAsia="Arial" w:hAnsi="Arial"/>
                <w:sz w:val="14"/>
                <w:szCs w:val="14"/>
                <w:color w:val="auto"/>
              </w:rPr>
              <w:t>Maintenance capital expenditures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14,752</w:t>
            </w:r>
          </w:p>
        </w:tc>
        <w:tc>
          <w:tcPr>
            <w:tcW w:w="2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15,936</w:t>
            </w:r>
          </w:p>
        </w:tc>
      </w:tr>
      <w:tr>
        <w:trPr>
          <w:trHeight w:val="216"/>
        </w:trPr>
        <w:tc>
          <w:tcPr>
            <w:tcW w:w="8720" w:type="dxa"/>
            <w:vAlign w:val="bottom"/>
          </w:tcPr>
          <w:p>
            <w:pPr>
              <w:spacing w:after="0"/>
              <w:rPr>
                <w:sz w:val="20"/>
                <w:szCs w:val="20"/>
                <w:color w:val="auto"/>
              </w:rPr>
            </w:pPr>
            <w:r>
              <w:rPr>
                <w:rFonts w:ascii="Arial" w:cs="Arial" w:eastAsia="Arial" w:hAnsi="Arial"/>
                <w:sz w:val="14"/>
                <w:szCs w:val="14"/>
                <w:color w:val="auto"/>
              </w:rPr>
              <w:t>Planned capital expenditures associated with acquisition properties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719</w:t>
            </w:r>
          </w:p>
        </w:tc>
      </w:tr>
      <w:tr>
        <w:trPr>
          <w:trHeight w:val="216"/>
        </w:trPr>
        <w:tc>
          <w:tcPr>
            <w:tcW w:w="8720" w:type="dxa"/>
            <w:vAlign w:val="bottom"/>
          </w:tcPr>
          <w:p>
            <w:pPr>
              <w:spacing w:after="0"/>
              <w:rPr>
                <w:sz w:val="20"/>
                <w:szCs w:val="20"/>
                <w:color w:val="auto"/>
              </w:rPr>
            </w:pPr>
            <w:r>
              <w:rPr>
                <w:rFonts w:ascii="Arial" w:cs="Arial" w:eastAsia="Arial" w:hAnsi="Arial"/>
                <w:sz w:val="14"/>
                <w:szCs w:val="14"/>
                <w:color w:val="auto"/>
              </w:rPr>
              <w:t>Repositioning capital expenditures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634</w:t>
            </w:r>
          </w:p>
        </w:tc>
      </w:tr>
      <w:tr>
        <w:trPr>
          <w:trHeight w:val="220"/>
        </w:trPr>
        <w:tc>
          <w:tcPr>
            <w:tcW w:w="8720" w:type="dxa"/>
            <w:vAlign w:val="bottom"/>
          </w:tcPr>
          <w:p>
            <w:pPr>
              <w:spacing w:after="0"/>
              <w:rPr>
                <w:sz w:val="20"/>
                <w:szCs w:val="20"/>
                <w:color w:val="auto"/>
              </w:rPr>
            </w:pPr>
            <w:r>
              <w:rPr>
                <w:rFonts w:ascii="Arial" w:cs="Arial" w:eastAsia="Arial" w:hAnsi="Arial"/>
                <w:sz w:val="14"/>
                <w:szCs w:val="14"/>
                <w:color w:val="auto"/>
              </w:rPr>
              <w:t>Hotel improvements, equipment upgrades and replacements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w:t>
            </w:r>
          </w:p>
        </w:tc>
      </w:tr>
      <w:tr>
        <w:trPr>
          <w:trHeight w:val="205"/>
        </w:trPr>
        <w:tc>
          <w:tcPr>
            <w:tcW w:w="8720" w:type="dxa"/>
            <w:vAlign w:val="bottom"/>
          </w:tcPr>
          <w:p>
            <w:pPr>
              <w:ind w:left="200"/>
              <w:spacing w:after="0"/>
              <w:rPr>
                <w:sz w:val="20"/>
                <w:szCs w:val="20"/>
                <w:color w:val="auto"/>
              </w:rPr>
            </w:pPr>
            <w:r>
              <w:rPr>
                <w:rFonts w:ascii="Arial" w:cs="Arial" w:eastAsia="Arial" w:hAnsi="Arial"/>
                <w:sz w:val="14"/>
                <w:szCs w:val="14"/>
                <w:color w:val="auto"/>
              </w:rPr>
              <w:t>Subtotal</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17,751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18,548</w:t>
            </w:r>
          </w:p>
        </w:tc>
      </w:tr>
      <w:tr>
        <w:trPr>
          <w:trHeight w:val="216"/>
        </w:trPr>
        <w:tc>
          <w:tcPr>
            <w:tcW w:w="8720" w:type="dxa"/>
            <w:vAlign w:val="bottom"/>
          </w:tcPr>
          <w:p>
            <w:pPr>
              <w:spacing w:after="0"/>
              <w:rPr>
                <w:sz w:val="20"/>
                <w:szCs w:val="20"/>
                <w:color w:val="auto"/>
              </w:rPr>
            </w:pPr>
            <w:r>
              <w:rPr>
                <w:rFonts w:ascii="Arial" w:cs="Arial" w:eastAsia="Arial" w:hAnsi="Arial"/>
                <w:sz w:val="14"/>
                <w:szCs w:val="14"/>
                <w:color w:val="auto"/>
              </w:rPr>
              <w:t>Add: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720" w:type="dxa"/>
            <w:vAlign w:val="bottom"/>
          </w:tcPr>
          <w:p>
            <w:pPr>
              <w:ind w:left="200"/>
              <w:spacing w:after="0"/>
              <w:rPr>
                <w:sz w:val="20"/>
                <w:szCs w:val="20"/>
                <w:color w:val="auto"/>
              </w:rPr>
            </w:pPr>
            <w:r>
              <w:rPr>
                <w:rFonts w:ascii="Arial" w:cs="Arial" w:eastAsia="Arial" w:hAnsi="Arial"/>
                <w:sz w:val="14"/>
                <w:szCs w:val="14"/>
                <w:color w:val="auto"/>
              </w:rPr>
              <w:t>BXP’s share of maintenance capital expenditures from unconsolidated joint ventures (JVs)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572</w:t>
            </w:r>
          </w:p>
        </w:tc>
      </w:tr>
      <w:tr>
        <w:trPr>
          <w:trHeight w:val="216"/>
        </w:trPr>
        <w:tc>
          <w:tcPr>
            <w:tcW w:w="8720" w:type="dxa"/>
            <w:vAlign w:val="bottom"/>
          </w:tcPr>
          <w:p>
            <w:pPr>
              <w:ind w:left="200"/>
              <w:spacing w:after="0"/>
              <w:rPr>
                <w:sz w:val="20"/>
                <w:szCs w:val="20"/>
                <w:color w:val="auto"/>
              </w:rPr>
            </w:pPr>
            <w:r>
              <w:rPr>
                <w:rFonts w:ascii="Arial" w:cs="Arial" w:eastAsia="Arial" w:hAnsi="Arial"/>
                <w:sz w:val="14"/>
                <w:szCs w:val="14"/>
                <w:color w:val="auto"/>
              </w:rPr>
              <w:t>BXP’s share of planned capital expenditures associated with acquisition properties from unconsolidated JVs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16"/>
        </w:trPr>
        <w:tc>
          <w:tcPr>
            <w:tcW w:w="8720" w:type="dxa"/>
            <w:vAlign w:val="bottom"/>
          </w:tcPr>
          <w:p>
            <w:pPr>
              <w:ind w:left="200"/>
              <w:spacing w:after="0"/>
              <w:rPr>
                <w:sz w:val="20"/>
                <w:szCs w:val="20"/>
                <w:color w:val="auto"/>
              </w:rPr>
            </w:pPr>
            <w:r>
              <w:rPr>
                <w:rFonts w:ascii="Arial" w:cs="Arial" w:eastAsia="Arial" w:hAnsi="Arial"/>
                <w:sz w:val="14"/>
                <w:szCs w:val="14"/>
                <w:color w:val="auto"/>
              </w:rPr>
              <w:t>BXP’s share of repositioning capital expenditures from unconsolidated JVs</w:t>
            </w: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8720" w:type="dxa"/>
            <w:vAlign w:val="bottom"/>
          </w:tcPr>
          <w:p>
            <w:pPr>
              <w:spacing w:after="0"/>
              <w:rPr>
                <w:sz w:val="20"/>
                <w:szCs w:val="20"/>
                <w:color w:val="auto"/>
              </w:rPr>
            </w:pPr>
            <w:r>
              <w:rPr>
                <w:rFonts w:ascii="Arial" w:cs="Arial" w:eastAsia="Arial" w:hAnsi="Arial"/>
                <w:sz w:val="14"/>
                <w:szCs w:val="14"/>
                <w:color w:val="auto"/>
              </w:rPr>
              <w:t>Less: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720" w:type="dxa"/>
            <w:vAlign w:val="bottom"/>
          </w:tcPr>
          <w:p>
            <w:pPr>
              <w:ind w:left="200"/>
              <w:spacing w:after="0"/>
              <w:rPr>
                <w:sz w:val="20"/>
                <w:szCs w:val="20"/>
                <w:color w:val="auto"/>
              </w:rPr>
            </w:pPr>
            <w:r>
              <w:rPr>
                <w:rFonts w:ascii="Arial" w:cs="Arial" w:eastAsia="Arial" w:hAnsi="Arial"/>
                <w:sz w:val="14"/>
                <w:szCs w:val="14"/>
                <w:color w:val="auto"/>
              </w:rPr>
              <w:t>Partners’ share of maintenance capital expenditures from consolidated JVs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1,052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1,891</w:t>
            </w:r>
          </w:p>
        </w:tc>
      </w:tr>
      <w:tr>
        <w:trPr>
          <w:trHeight w:val="216"/>
        </w:trPr>
        <w:tc>
          <w:tcPr>
            <w:tcW w:w="8720" w:type="dxa"/>
            <w:vAlign w:val="bottom"/>
          </w:tcPr>
          <w:p>
            <w:pPr>
              <w:ind w:left="200"/>
              <w:spacing w:after="0"/>
              <w:rPr>
                <w:sz w:val="20"/>
                <w:szCs w:val="20"/>
                <w:color w:val="auto"/>
              </w:rPr>
            </w:pPr>
            <w:r>
              <w:rPr>
                <w:rFonts w:ascii="Arial" w:cs="Arial" w:eastAsia="Arial" w:hAnsi="Arial"/>
                <w:sz w:val="14"/>
                <w:szCs w:val="14"/>
                <w:color w:val="auto"/>
              </w:rPr>
              <w:t>Partners’ share of planned capital expenditures associated with acquisition properties from consolidated JVs</w:t>
            </w: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8720" w:type="dxa"/>
            <w:vAlign w:val="bottom"/>
          </w:tcPr>
          <w:p>
            <w:pPr>
              <w:ind w:left="200"/>
              <w:spacing w:after="0"/>
              <w:rPr>
                <w:sz w:val="20"/>
                <w:szCs w:val="20"/>
                <w:color w:val="auto"/>
              </w:rPr>
            </w:pPr>
            <w:r>
              <w:rPr>
                <w:rFonts w:ascii="Arial" w:cs="Arial" w:eastAsia="Arial" w:hAnsi="Arial"/>
                <w:sz w:val="14"/>
                <w:szCs w:val="14"/>
                <w:color w:val="auto"/>
              </w:rPr>
              <w:t>Partners’ share of repositioning capital expenditures from consolidated JVs</w:t>
            </w:r>
          </w:p>
        </w:tc>
        <w:tc>
          <w:tcPr>
            <w:tcW w:w="160" w:type="dxa"/>
            <w:vAlign w:val="bottom"/>
          </w:tcPr>
          <w:p>
            <w:pPr>
              <w:spacing w:after="0"/>
              <w:rPr>
                <w:sz w:val="19"/>
                <w:szCs w:val="19"/>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3"/>
        </w:trPr>
        <w:tc>
          <w:tcPr>
            <w:tcW w:w="8720" w:type="dxa"/>
            <w:vAlign w:val="bottom"/>
          </w:tcPr>
          <w:p>
            <w:pPr>
              <w:spacing w:after="0"/>
              <w:rPr>
                <w:sz w:val="20"/>
                <w:szCs w:val="20"/>
                <w:color w:val="auto"/>
              </w:rPr>
            </w:pPr>
            <w:r>
              <w:rPr>
                <w:rFonts w:ascii="Arial" w:cs="Arial" w:eastAsia="Arial" w:hAnsi="Arial"/>
                <w:sz w:val="14"/>
                <w:szCs w:val="14"/>
                <w:color w:val="auto"/>
              </w:rPr>
              <w:t xml:space="preserve">BXP’s Share of Capital Expenditures </w:t>
            </w:r>
            <w:r>
              <w:rPr>
                <w:rFonts w:ascii="Arial" w:cs="Arial" w:eastAsia="Arial" w:hAnsi="Arial"/>
                <w:sz w:val="9"/>
                <w:szCs w:val="9"/>
                <w:color w:val="auto"/>
              </w:rPr>
              <w:t>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17,153</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17,246</w:t>
            </w:r>
          </w:p>
        </w:tc>
      </w:tr>
      <w:tr>
        <w:trPr>
          <w:trHeight w:val="21"/>
        </w:trPr>
        <w:tc>
          <w:tcPr>
            <w:tcW w:w="8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w:t>
      </w:r>
    </w:p>
    <w:p>
      <w:pPr>
        <w:spacing w:after="0" w:line="8" w:lineRule="exact"/>
        <w:rPr>
          <w:sz w:val="20"/>
          <w:szCs w:val="20"/>
          <w:color w:val="auto"/>
        </w:rPr>
      </w:pPr>
    </w:p>
    <w:p>
      <w:pPr>
        <w:ind w:left="80" w:hanging="72"/>
        <w:spacing w:after="0"/>
        <w:tabs>
          <w:tab w:leader="none" w:pos="80"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56.</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279" w:right="339" w:bottom="1440" w:gutter="0" w:footer="0" w:header="0"/>
        </w:sectPr>
      </w:pPr>
    </w:p>
    <w:bookmarkStart w:id="21" w:name="page22"/>
    <w:bookmarkEnd w:id="21"/>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Acquisitions and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For the period from January 1, 2026 through September 30,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BXP’s Share of Investment</w:t>
            </w: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w:t>
            </w:r>
          </w:p>
        </w:tc>
        <w:tc>
          <w:tcPr>
            <w:tcW w:w="140" w:type="dxa"/>
            <w:vAlign w:val="bottom"/>
            <w:vMerge w:val="restart"/>
          </w:tcPr>
          <w:p>
            <w:pPr>
              <w:spacing w:after="0"/>
              <w:rPr>
                <w:sz w:val="13"/>
                <w:szCs w:val="13"/>
                <w:color w:val="auto"/>
              </w:rPr>
            </w:pPr>
          </w:p>
        </w:tc>
        <w:tc>
          <w:tcPr>
            <w:tcW w:w="14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Location</w:t>
            </w:r>
          </w:p>
        </w:tc>
        <w:tc>
          <w:tcPr>
            <w:tcW w:w="80" w:type="dxa"/>
            <w:vAlign w:val="bottom"/>
            <w:vMerge w:val="restart"/>
          </w:tcPr>
          <w:p>
            <w:pPr>
              <w:spacing w:after="0"/>
              <w:rPr>
                <w:sz w:val="13"/>
                <w:szCs w:val="13"/>
                <w:color w:val="auto"/>
              </w:rPr>
            </w:pPr>
          </w:p>
        </w:tc>
        <w:tc>
          <w:tcPr>
            <w:tcW w:w="15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Date Acquired</w:t>
            </w:r>
          </w:p>
        </w:tc>
        <w:tc>
          <w:tcPr>
            <w:tcW w:w="160" w:type="dxa"/>
            <w:vAlign w:val="bottom"/>
            <w:vMerge w:val="restart"/>
          </w:tcPr>
          <w:p>
            <w:pPr>
              <w:spacing w:after="0"/>
              <w:rPr>
                <w:sz w:val="13"/>
                <w:szCs w:val="13"/>
                <w:color w:val="auto"/>
              </w:rPr>
            </w:pPr>
          </w:p>
        </w:tc>
        <w:tc>
          <w:tcPr>
            <w:tcW w:w="10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Square Feet</w:t>
            </w:r>
          </w:p>
        </w:tc>
        <w:tc>
          <w:tcPr>
            <w:tcW w:w="14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Initial</w:t>
            </w:r>
          </w:p>
        </w:tc>
        <w:tc>
          <w:tcPr>
            <w:tcW w:w="16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Anticipated</w:t>
            </w:r>
          </w:p>
        </w:tc>
        <w:tc>
          <w:tcPr>
            <w:tcW w:w="340" w:type="dxa"/>
            <w:vAlign w:val="bottom"/>
          </w:tcPr>
          <w:p>
            <w:pPr>
              <w:spacing w:after="0"/>
              <w:rPr>
                <w:sz w:val="13"/>
                <w:szCs w:val="13"/>
                <w:color w:val="auto"/>
              </w:rPr>
            </w:pPr>
          </w:p>
        </w:tc>
        <w:tc>
          <w:tcPr>
            <w:tcW w:w="7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140" w:type="dxa"/>
            <w:vAlign w:val="bottom"/>
            <w:vMerge w:val="restart"/>
          </w:tcPr>
          <w:p>
            <w:pPr>
              <w:spacing w:after="0"/>
              <w:rPr>
                <w:sz w:val="13"/>
                <w:szCs w:val="13"/>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In-service</w:t>
            </w:r>
          </w:p>
        </w:tc>
        <w:tc>
          <w:tcPr>
            <w:tcW w:w="0" w:type="dxa"/>
            <w:vAlign w:val="bottom"/>
          </w:tcPr>
          <w:p>
            <w:pPr>
              <w:spacing w:after="0"/>
              <w:rPr>
                <w:sz w:val="1"/>
                <w:szCs w:val="1"/>
                <w:color w:val="auto"/>
              </w:rPr>
            </w:pPr>
          </w:p>
        </w:tc>
      </w:tr>
      <w:tr>
        <w:trPr>
          <w:trHeight w:val="185"/>
        </w:trPr>
        <w:tc>
          <w:tcPr>
            <w:tcW w:w="21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Future</w:t>
            </w: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Leased (%)</w:t>
            </w:r>
          </w:p>
        </w:tc>
        <w:tc>
          <w:tcPr>
            <w:tcW w:w="0" w:type="dxa"/>
            <w:vAlign w:val="bottom"/>
          </w:tcPr>
          <w:p>
            <w:pPr>
              <w:spacing w:after="0"/>
              <w:rPr>
                <w:sz w:val="1"/>
                <w:szCs w:val="1"/>
                <w:color w:val="auto"/>
              </w:rPr>
            </w:pPr>
          </w:p>
        </w:tc>
      </w:tr>
      <w:tr>
        <w:trPr>
          <w:trHeight w:val="160"/>
        </w:trPr>
        <w:tc>
          <w:tcPr>
            <w:tcW w:w="2280" w:type="dxa"/>
            <w:vAlign w:val="bottom"/>
            <w:gridSpan w:val="2"/>
          </w:tcPr>
          <w:p>
            <w:pPr>
              <w:ind w:left="20"/>
              <w:spacing w:after="0" w:line="160" w:lineRule="exact"/>
              <w:rPr>
                <w:sz w:val="20"/>
                <w:szCs w:val="20"/>
                <w:color w:val="auto"/>
              </w:rPr>
            </w:pPr>
            <w:r>
              <w:rPr>
                <w:rFonts w:ascii="Arial" w:cs="Arial" w:eastAsia="Arial" w:hAnsi="Arial"/>
                <w:sz w:val="14"/>
                <w:szCs w:val="14"/>
                <w:color w:val="auto"/>
              </w:rPr>
              <w:t>13150 Worldgate Drive (20%</w:t>
            </w:r>
          </w:p>
        </w:tc>
        <w:tc>
          <w:tcPr>
            <w:tcW w:w="1540" w:type="dxa"/>
            <w:vAlign w:val="bottom"/>
            <w:gridSpan w:val="2"/>
            <w:vMerge w:val="restart"/>
          </w:tcPr>
          <w:p>
            <w:pPr>
              <w:ind w:left="20"/>
              <w:spacing w:after="0"/>
              <w:rPr>
                <w:sz w:val="20"/>
                <w:szCs w:val="20"/>
                <w:color w:val="auto"/>
              </w:rPr>
            </w:pPr>
            <w:r>
              <w:rPr>
                <w:rFonts w:ascii="Arial" w:cs="Arial" w:eastAsia="Arial" w:hAnsi="Arial"/>
                <w:sz w:val="14"/>
                <w:szCs w:val="14"/>
                <w:color w:val="auto"/>
              </w:rPr>
              <w:t>Herndon, VA</w:t>
            </w:r>
          </w:p>
        </w:tc>
        <w:tc>
          <w:tcPr>
            <w:tcW w:w="1660" w:type="dxa"/>
            <w:vAlign w:val="bottom"/>
            <w:gridSpan w:val="2"/>
            <w:vMerge w:val="restart"/>
          </w:tcPr>
          <w:p>
            <w:pPr>
              <w:ind w:left="20"/>
              <w:spacing w:after="0"/>
              <w:rPr>
                <w:sz w:val="20"/>
                <w:szCs w:val="20"/>
                <w:color w:val="auto"/>
              </w:rPr>
            </w:pPr>
            <w:r>
              <w:rPr>
                <w:rFonts w:ascii="Arial" w:cs="Arial" w:eastAsia="Arial" w:hAnsi="Arial"/>
                <w:sz w:val="14"/>
                <w:szCs w:val="14"/>
                <w:color w:val="auto"/>
              </w:rPr>
              <w:t>June 4, 2026</w:t>
            </w:r>
          </w:p>
        </w:tc>
        <w:tc>
          <w:tcPr>
            <w:tcW w:w="1140" w:type="dxa"/>
            <w:vAlign w:val="bottom"/>
            <w:gridSpan w:val="2"/>
            <w:vMerge w:val="restart"/>
          </w:tcPr>
          <w:p>
            <w:pPr>
              <w:jc w:val="center"/>
              <w:ind w:left="508"/>
              <w:spacing w:after="0"/>
              <w:rPr>
                <w:sz w:val="20"/>
                <w:szCs w:val="20"/>
                <w:color w:val="auto"/>
              </w:rPr>
            </w:pPr>
            <w:r>
              <w:rPr>
                <w:rFonts w:ascii="Arial" w:cs="Arial" w:eastAsia="Arial" w:hAnsi="Arial"/>
                <w:sz w:val="14"/>
                <w:szCs w:val="14"/>
                <w:color w:val="auto"/>
              </w:rPr>
              <w:t>N/A</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4,236</w:t>
            </w:r>
          </w:p>
        </w:tc>
        <w:tc>
          <w:tcPr>
            <w:tcW w:w="16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22,164</w:t>
            </w:r>
          </w:p>
        </w:tc>
        <w:tc>
          <w:tcPr>
            <w:tcW w:w="140" w:type="dxa"/>
            <w:vAlign w:val="bottom"/>
          </w:tcPr>
          <w:p>
            <w:pPr>
              <w:spacing w:after="0"/>
              <w:rPr>
                <w:sz w:val="13"/>
                <w:szCs w:val="13"/>
                <w:color w:val="auto"/>
              </w:rPr>
            </w:pPr>
          </w:p>
        </w:tc>
        <w:tc>
          <w:tcPr>
            <w:tcW w:w="340" w:type="dxa"/>
            <w:vAlign w:val="bottom"/>
            <w:vMerge w:val="restart"/>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26,400</w:t>
            </w:r>
          </w:p>
        </w:tc>
        <w:tc>
          <w:tcPr>
            <w:tcW w:w="1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0"/>
        </w:trPr>
        <w:tc>
          <w:tcPr>
            <w:tcW w:w="2280" w:type="dxa"/>
            <w:vAlign w:val="bottom"/>
            <w:gridSpan w:val="2"/>
          </w:tcPr>
          <w:p>
            <w:pPr>
              <w:ind w:left="180"/>
              <w:spacing w:after="0"/>
              <w:rPr>
                <w:sz w:val="20"/>
                <w:szCs w:val="20"/>
                <w:color w:val="auto"/>
              </w:rPr>
            </w:pPr>
            <w:r>
              <w:rPr>
                <w:rFonts w:ascii="Arial" w:cs="Arial" w:eastAsia="Arial" w:hAnsi="Arial"/>
                <w:sz w:val="14"/>
                <w:szCs w:val="14"/>
                <w:color w:val="auto"/>
              </w:rPr>
              <w:t>ownership)</w:t>
            </w:r>
          </w:p>
        </w:tc>
        <w:tc>
          <w:tcPr>
            <w:tcW w:w="154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280" w:type="dxa"/>
            <w:vAlign w:val="bottom"/>
            <w:gridSpan w:val="2"/>
          </w:tcPr>
          <w:p>
            <w:pPr>
              <w:ind w:left="20"/>
              <w:spacing w:after="0"/>
              <w:rPr>
                <w:sz w:val="20"/>
                <w:szCs w:val="20"/>
                <w:color w:val="auto"/>
              </w:rPr>
            </w:pPr>
            <w:r>
              <w:rPr>
                <w:rFonts w:ascii="Arial" w:cs="Arial" w:eastAsia="Arial" w:hAnsi="Arial"/>
                <w:sz w:val="14"/>
                <w:szCs w:val="14"/>
                <w:color w:val="auto"/>
              </w:rPr>
              <w:t>860 &amp; 870 Winter Street</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Waltham, MA</w:t>
            </w:r>
          </w:p>
        </w:tc>
        <w:tc>
          <w:tcPr>
            <w:tcW w:w="1660" w:type="dxa"/>
            <w:vAlign w:val="bottom"/>
            <w:gridSpan w:val="2"/>
          </w:tcPr>
          <w:p>
            <w:pPr>
              <w:ind w:left="20"/>
              <w:spacing w:after="0"/>
              <w:rPr>
                <w:sz w:val="20"/>
                <w:szCs w:val="20"/>
                <w:color w:val="auto"/>
              </w:rPr>
            </w:pPr>
            <w:r>
              <w:rPr>
                <w:rFonts w:ascii="Arial" w:cs="Arial" w:eastAsia="Arial" w:hAnsi="Arial"/>
                <w:sz w:val="14"/>
                <w:szCs w:val="14"/>
                <w:color w:val="auto"/>
              </w:rPr>
              <w:t>August 20, 2026</w:t>
            </w:r>
          </w:p>
        </w:tc>
        <w:tc>
          <w:tcPr>
            <w:tcW w:w="1000" w:type="dxa"/>
            <w:vAlign w:val="bottom"/>
            <w:tcBorders>
              <w:bottom w:val="single" w:sz="8" w:color="auto"/>
            </w:tcBorders>
          </w:tcPr>
          <w:p>
            <w:pPr>
              <w:jc w:val="center"/>
              <w:ind w:left="648"/>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30,287</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30,287</w:t>
            </w:r>
          </w:p>
        </w:tc>
        <w:tc>
          <w:tcPr>
            <w:tcW w:w="14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4"/>
        </w:trPr>
        <w:tc>
          <w:tcPr>
            <w:tcW w:w="2280" w:type="dxa"/>
            <w:vAlign w:val="bottom"/>
            <w:gridSpan w:val="2"/>
          </w:tcPr>
          <w:p>
            <w:pPr>
              <w:ind w:left="360"/>
              <w:spacing w:after="0"/>
              <w:rPr>
                <w:sz w:val="20"/>
                <w:szCs w:val="20"/>
                <w:color w:val="auto"/>
              </w:rPr>
            </w:pPr>
            <w:r>
              <w:rPr>
                <w:rFonts w:ascii="Arial" w:cs="Arial" w:eastAsia="Arial" w:hAnsi="Arial"/>
                <w:sz w:val="14"/>
                <w:szCs w:val="14"/>
                <w:color w:val="auto"/>
              </w:rPr>
              <w:t>Total Acquisitions</w:t>
            </w: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left="488"/>
              <w:spacing w:after="0"/>
              <w:rPr>
                <w:sz w:val="20"/>
                <w:szCs w:val="20"/>
                <w:color w:val="auto"/>
              </w:rPr>
            </w:pPr>
            <w:r>
              <w:rPr>
                <w:rFonts w:ascii="Arial" w:cs="Arial" w:eastAsia="Arial" w:hAnsi="Arial"/>
                <w:sz w:val="14"/>
                <w:szCs w:val="14"/>
                <w:color w:val="auto"/>
                <w:w w:val="99"/>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34,523</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22,164</w:t>
            </w:r>
          </w:p>
        </w:tc>
        <w:tc>
          <w:tcPr>
            <w:tcW w:w="14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56,687</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BXP’s Share of</w:t>
            </w: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Property</w:t>
            </w:r>
          </w:p>
        </w:tc>
        <w:tc>
          <w:tcPr>
            <w:tcW w:w="140" w:type="dxa"/>
            <w:vAlign w:val="bottom"/>
            <w:vMerge w:val="restart"/>
          </w:tcPr>
          <w:p>
            <w:pPr>
              <w:spacing w:after="0"/>
              <w:rPr>
                <w:sz w:val="13"/>
                <w:szCs w:val="13"/>
                <w:color w:val="auto"/>
              </w:rPr>
            </w:pPr>
          </w:p>
        </w:tc>
        <w:tc>
          <w:tcPr>
            <w:tcW w:w="16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Location</w:t>
            </w:r>
          </w:p>
        </w:tc>
        <w:tc>
          <w:tcPr>
            <w:tcW w:w="140" w:type="dxa"/>
            <w:vAlign w:val="bottom"/>
            <w:vMerge w:val="restart"/>
          </w:tcPr>
          <w:p>
            <w:pPr>
              <w:spacing w:after="0"/>
              <w:rPr>
                <w:sz w:val="13"/>
                <w:szCs w:val="13"/>
                <w:color w:val="auto"/>
              </w:rPr>
            </w:pPr>
          </w:p>
        </w:tc>
        <w:tc>
          <w:tcPr>
            <w:tcW w:w="15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Date Disposed</w:t>
            </w:r>
          </w:p>
        </w:tc>
        <w:tc>
          <w:tcPr>
            <w:tcW w:w="140" w:type="dxa"/>
            <w:vAlign w:val="bottom"/>
            <w:vMerge w:val="restart"/>
          </w:tcPr>
          <w:p>
            <w:pPr>
              <w:spacing w:after="0"/>
              <w:rPr>
                <w:sz w:val="13"/>
                <w:szCs w:val="13"/>
                <w:color w:val="auto"/>
              </w:rPr>
            </w:pPr>
          </w:p>
        </w:tc>
        <w:tc>
          <w:tcPr>
            <w:tcW w:w="10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Square Feet</w:t>
            </w:r>
          </w:p>
        </w:tc>
        <w:tc>
          <w:tcPr>
            <w:tcW w:w="16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Gross Sales</w:t>
            </w:r>
          </w:p>
        </w:tc>
        <w:tc>
          <w:tcPr>
            <w:tcW w:w="120" w:type="dxa"/>
            <w:vAlign w:val="bottom"/>
          </w:tcPr>
          <w:p>
            <w:pPr>
              <w:spacing w:after="0"/>
              <w:rPr>
                <w:sz w:val="13"/>
                <w:szCs w:val="13"/>
                <w:color w:val="auto"/>
              </w:rPr>
            </w:pPr>
          </w:p>
        </w:tc>
        <w:tc>
          <w:tcPr>
            <w:tcW w:w="1280" w:type="dxa"/>
            <w:vAlign w:val="bottom"/>
            <w:gridSpan w:val="2"/>
          </w:tcPr>
          <w:p>
            <w:pPr>
              <w:jc w:val="center"/>
              <w:ind w:right="260"/>
              <w:spacing w:after="0" w:line="157" w:lineRule="exact"/>
              <w:rPr>
                <w:sz w:val="20"/>
                <w:szCs w:val="20"/>
                <w:color w:val="auto"/>
              </w:rPr>
            </w:pPr>
            <w:r>
              <w:rPr>
                <w:rFonts w:ascii="Arial" w:cs="Arial" w:eastAsia="Arial" w:hAnsi="Arial"/>
                <w:sz w:val="14"/>
                <w:szCs w:val="14"/>
                <w:b w:val="1"/>
                <w:bCs w:val="1"/>
                <w:color w:val="auto"/>
              </w:rPr>
              <w:t>Net Cash</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Book Gain (Loss)</w:t>
            </w:r>
          </w:p>
        </w:tc>
        <w:tc>
          <w:tcPr>
            <w:tcW w:w="0" w:type="dxa"/>
            <w:vAlign w:val="bottom"/>
          </w:tcPr>
          <w:p>
            <w:pPr>
              <w:spacing w:after="0"/>
              <w:rPr>
                <w:sz w:val="1"/>
                <w:szCs w:val="1"/>
                <w:color w:val="auto"/>
              </w:rPr>
            </w:pPr>
          </w:p>
        </w:tc>
      </w:tr>
      <w:tr>
        <w:trPr>
          <w:trHeight w:val="189"/>
        </w:trPr>
        <w:tc>
          <w:tcPr>
            <w:tcW w:w="24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Price</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Proceeds</w:t>
            </w:r>
          </w:p>
        </w:tc>
        <w:tc>
          <w:tcPr>
            <w:tcW w:w="160" w:type="dxa"/>
            <w:vAlign w:val="bottom"/>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620" w:type="dxa"/>
            <w:vAlign w:val="bottom"/>
            <w:gridSpan w:val="2"/>
          </w:tcPr>
          <w:p>
            <w:pPr>
              <w:ind w:left="20"/>
              <w:spacing w:after="0"/>
              <w:rPr>
                <w:sz w:val="20"/>
                <w:szCs w:val="20"/>
                <w:color w:val="auto"/>
              </w:rPr>
            </w:pPr>
            <w:r>
              <w:rPr>
                <w:rFonts w:ascii="Arial" w:cs="Arial" w:eastAsia="Arial" w:hAnsi="Arial"/>
                <w:sz w:val="14"/>
                <w:szCs w:val="14"/>
                <w:b w:val="1"/>
                <w:bCs w:val="1"/>
                <w:color w:val="auto"/>
              </w:rPr>
              <w:t>Land:</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 xml:space="preserve">North First Business Park </w:t>
            </w:r>
            <w:r>
              <w:rPr>
                <w:rFonts w:ascii="Arial" w:cs="Arial" w:eastAsia="Arial" w:hAnsi="Arial"/>
                <w:sz w:val="18"/>
                <w:szCs w:val="18"/>
                <w:color w:val="auto"/>
                <w:vertAlign w:val="superscript"/>
              </w:rPr>
              <w:t>1</w:t>
            </w: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San Jose, CA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January 14, 2026</w:t>
            </w:r>
          </w:p>
        </w:tc>
        <w:tc>
          <w:tcPr>
            <w:tcW w:w="1020" w:type="dxa"/>
            <w:vAlign w:val="bottom"/>
          </w:tcPr>
          <w:p>
            <w:pPr>
              <w:jc w:val="right"/>
              <w:spacing w:after="0"/>
              <w:rPr>
                <w:sz w:val="20"/>
                <w:szCs w:val="20"/>
                <w:color w:val="auto"/>
              </w:rPr>
            </w:pPr>
            <w:r>
              <w:rPr>
                <w:rFonts w:ascii="Arial" w:cs="Arial" w:eastAsia="Arial" w:hAnsi="Arial"/>
                <w:sz w:val="14"/>
                <w:szCs w:val="14"/>
                <w:color w:val="auto"/>
              </w:rPr>
              <w:t>191,000</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50,500</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49,437</w:t>
            </w:r>
          </w:p>
        </w:tc>
        <w:tc>
          <w:tcPr>
            <w:tcW w:w="160" w:type="dxa"/>
            <w:vAlign w:val="bottom"/>
          </w:tcPr>
          <w:p>
            <w:pPr>
              <w:spacing w:after="0"/>
              <w:rPr>
                <w:sz w:val="20"/>
                <w:szCs w:val="20"/>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18"/>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 xml:space="preserve">Shady Grove Parcel 1 </w:t>
            </w:r>
            <w:r>
              <w:rPr>
                <w:rFonts w:ascii="Arial" w:cs="Arial" w:eastAsia="Arial" w:hAnsi="Arial"/>
                <w:sz w:val="18"/>
                <w:szCs w:val="18"/>
                <w:color w:val="auto"/>
                <w:vertAlign w:val="superscript"/>
              </w:rPr>
              <w:t>1</w:t>
            </w: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Rockville, MD</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February 5, 2026</w:t>
            </w:r>
          </w:p>
        </w:tc>
        <w:tc>
          <w:tcPr>
            <w:tcW w:w="1180" w:type="dxa"/>
            <w:vAlign w:val="bottom"/>
            <w:gridSpan w:val="2"/>
          </w:tcPr>
          <w:p>
            <w:pPr>
              <w:ind w:left="78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24,650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23,546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144"/>
        </w:trPr>
        <w:tc>
          <w:tcPr>
            <w:tcW w:w="262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13150 Worldgate Drive (50%</w:t>
            </w:r>
          </w:p>
        </w:tc>
        <w:tc>
          <w:tcPr>
            <w:tcW w:w="1740" w:type="dxa"/>
            <w:vAlign w:val="bottom"/>
            <w:gridSpan w:val="2"/>
            <w:vMerge w:val="restart"/>
          </w:tcPr>
          <w:p>
            <w:pPr>
              <w:ind w:left="20"/>
              <w:spacing w:after="0"/>
              <w:rPr>
                <w:sz w:val="20"/>
                <w:szCs w:val="20"/>
                <w:color w:val="auto"/>
              </w:rPr>
            </w:pPr>
            <w:r>
              <w:rPr>
                <w:rFonts w:ascii="Arial" w:cs="Arial" w:eastAsia="Arial" w:hAnsi="Arial"/>
                <w:sz w:val="14"/>
                <w:szCs w:val="14"/>
                <w:color w:val="auto"/>
              </w:rPr>
              <w:t>Herndon, VA</w:t>
            </w: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June 4, 2026</w:t>
            </w:r>
          </w:p>
        </w:tc>
        <w:tc>
          <w:tcPr>
            <w:tcW w:w="1180" w:type="dxa"/>
            <w:vAlign w:val="bottom"/>
            <w:gridSpan w:val="2"/>
            <w:vMerge w:val="restart"/>
          </w:tcPr>
          <w:p>
            <w:pPr>
              <w:ind w:left="780"/>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10,275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10,248</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89"/>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ownership)</w:t>
            </w:r>
          </w:p>
        </w:tc>
        <w:tc>
          <w:tcPr>
            <w:tcW w:w="1740" w:type="dxa"/>
            <w:vAlign w:val="bottom"/>
            <w:gridSpan w:val="2"/>
            <w:vMerge w:val="continue"/>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191,000</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85,425</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83,231</w:t>
            </w:r>
          </w:p>
        </w:tc>
        <w:tc>
          <w:tcPr>
            <w:tcW w:w="16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1"/>
        </w:trPr>
        <w:tc>
          <w:tcPr>
            <w:tcW w:w="2620" w:type="dxa"/>
            <w:vAlign w:val="bottom"/>
            <w:gridSpan w:val="2"/>
          </w:tcPr>
          <w:p>
            <w:pPr>
              <w:ind w:left="20"/>
              <w:spacing w:after="0"/>
              <w:rPr>
                <w:sz w:val="20"/>
                <w:szCs w:val="20"/>
                <w:color w:val="auto"/>
              </w:rPr>
            </w:pPr>
            <w:r>
              <w:rPr>
                <w:rFonts w:ascii="Arial" w:cs="Arial" w:eastAsia="Arial" w:hAnsi="Arial"/>
                <w:sz w:val="14"/>
                <w:szCs w:val="14"/>
                <w:b w:val="1"/>
                <w:bCs w:val="1"/>
                <w:color w:val="auto"/>
              </w:rPr>
              <w:t>Residential:</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The Lofts at Atlantic Wharf</w:t>
            </w: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Boston, MA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February 25, 2026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87,000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55,500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54,188</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14,744</w:t>
            </w:r>
          </w:p>
        </w:tc>
        <w:tc>
          <w:tcPr>
            <w:tcW w:w="0" w:type="dxa"/>
            <w:vAlign w:val="bottom"/>
          </w:tcPr>
          <w:p>
            <w:pPr>
              <w:spacing w:after="0"/>
              <w:rPr>
                <w:sz w:val="1"/>
                <w:szCs w:val="1"/>
                <w:color w:val="auto"/>
              </w:rPr>
            </w:pPr>
          </w:p>
        </w:tc>
      </w:tr>
      <w:tr>
        <w:trPr>
          <w:trHeight w:val="207"/>
        </w:trPr>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87,000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55,500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54,188</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14,744</w:t>
            </w:r>
          </w:p>
        </w:tc>
        <w:tc>
          <w:tcPr>
            <w:tcW w:w="0" w:type="dxa"/>
            <w:vAlign w:val="bottom"/>
          </w:tcPr>
          <w:p>
            <w:pPr>
              <w:spacing w:after="0"/>
              <w:rPr>
                <w:sz w:val="1"/>
                <w:szCs w:val="1"/>
                <w:color w:val="auto"/>
              </w:rPr>
            </w:pPr>
          </w:p>
        </w:tc>
      </w:tr>
      <w:tr>
        <w:trPr>
          <w:trHeight w:val="201"/>
        </w:trPr>
        <w:tc>
          <w:tcPr>
            <w:tcW w:w="2620" w:type="dxa"/>
            <w:vAlign w:val="bottom"/>
            <w:gridSpan w:val="2"/>
          </w:tcPr>
          <w:p>
            <w:pPr>
              <w:ind w:left="20"/>
              <w:spacing w:after="0"/>
              <w:rPr>
                <w:sz w:val="20"/>
                <w:szCs w:val="20"/>
                <w:color w:val="auto"/>
              </w:rPr>
            </w:pPr>
            <w:r>
              <w:rPr>
                <w:rFonts w:ascii="Arial" w:cs="Arial" w:eastAsia="Arial" w:hAnsi="Arial"/>
                <w:sz w:val="14"/>
                <w:szCs w:val="14"/>
                <w:b w:val="1"/>
                <w:bCs w:val="1"/>
                <w:color w:val="auto"/>
              </w:rPr>
              <w:t>Non-Strategic Office / Retail:</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Gateway Commons (50% ownership)</w:t>
            </w: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South San Francisco,</w:t>
            </w: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480" w:type="dxa"/>
            <w:vAlign w:val="bottom"/>
          </w:tcPr>
          <w:p>
            <w:pPr>
              <w:ind w:left="180"/>
              <w:spacing w:after="0" w:line="95" w:lineRule="exact"/>
              <w:rPr>
                <w:sz w:val="20"/>
                <w:szCs w:val="20"/>
                <w:color w:val="auto"/>
              </w:rPr>
            </w:pPr>
            <w:r>
              <w:rPr>
                <w:rFonts w:ascii="Arial" w:cs="Arial" w:eastAsia="Arial" w:hAnsi="Arial"/>
                <w:sz w:val="9"/>
                <w:szCs w:val="9"/>
                <w:color w:val="auto"/>
              </w:rPr>
              <w:t>1</w:t>
            </w:r>
          </w:p>
        </w:tc>
        <w:tc>
          <w:tcPr>
            <w:tcW w:w="140" w:type="dxa"/>
            <w:vAlign w:val="bottom"/>
          </w:tcPr>
          <w:p>
            <w:pPr>
              <w:spacing w:after="0"/>
              <w:rPr>
                <w:sz w:val="8"/>
                <w:szCs w:val="8"/>
                <w:color w:val="auto"/>
              </w:rPr>
            </w:pPr>
          </w:p>
        </w:tc>
        <w:tc>
          <w:tcPr>
            <w:tcW w:w="1740" w:type="dxa"/>
            <w:vAlign w:val="bottom"/>
            <w:gridSpan w:val="2"/>
            <w:vMerge w:val="restart"/>
          </w:tcPr>
          <w:p>
            <w:pPr>
              <w:ind w:left="20"/>
              <w:spacing w:after="0"/>
              <w:rPr>
                <w:sz w:val="20"/>
                <w:szCs w:val="20"/>
                <w:color w:val="auto"/>
              </w:rPr>
            </w:pPr>
            <w:r>
              <w:rPr>
                <w:rFonts w:ascii="Arial" w:cs="Arial" w:eastAsia="Arial" w:hAnsi="Arial"/>
                <w:sz w:val="14"/>
                <w:szCs w:val="14"/>
                <w:color w:val="auto"/>
              </w:rPr>
              <w:t>CA</w:t>
            </w: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January 2, 2026</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792,700</w:t>
            </w: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150,000</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131,023</w:t>
            </w: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6,407</w:t>
            </w:r>
          </w:p>
        </w:tc>
        <w:tc>
          <w:tcPr>
            <w:tcW w:w="0" w:type="dxa"/>
            <w:vAlign w:val="bottom"/>
          </w:tcPr>
          <w:p>
            <w:pPr>
              <w:spacing w:after="0"/>
              <w:rPr>
                <w:sz w:val="1"/>
                <w:szCs w:val="1"/>
                <w:color w:val="auto"/>
              </w:rPr>
            </w:pPr>
          </w:p>
        </w:tc>
      </w:tr>
      <w:tr>
        <w:trPr>
          <w:trHeight w:val="72"/>
        </w:trPr>
        <w:tc>
          <w:tcPr>
            <w:tcW w:w="24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740" w:type="dxa"/>
            <w:vAlign w:val="bottom"/>
            <w:gridSpan w:val="2"/>
            <w:vMerge w:val="continue"/>
          </w:tcPr>
          <w:p>
            <w:pPr>
              <w:spacing w:after="0"/>
              <w:rPr>
                <w:sz w:val="6"/>
                <w:szCs w:val="6"/>
                <w:color w:val="auto"/>
              </w:rPr>
            </w:pPr>
          </w:p>
        </w:tc>
        <w:tc>
          <w:tcPr>
            <w:tcW w:w="1680" w:type="dxa"/>
            <w:vAlign w:val="bottom"/>
            <w:gridSpan w:val="2"/>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62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7750 Wisconsin Avenue (50%</w:t>
            </w:r>
          </w:p>
        </w:tc>
        <w:tc>
          <w:tcPr>
            <w:tcW w:w="1740" w:type="dxa"/>
            <w:vAlign w:val="bottom"/>
            <w:gridSpan w:val="2"/>
          </w:tcPr>
          <w:p>
            <w:pPr>
              <w:ind w:left="20"/>
              <w:spacing w:after="0" w:line="145" w:lineRule="exact"/>
              <w:rPr>
                <w:sz w:val="20"/>
                <w:szCs w:val="20"/>
                <w:color w:val="auto"/>
              </w:rPr>
            </w:pPr>
            <w:r>
              <w:rPr>
                <w:rFonts w:ascii="Arial" w:cs="Arial" w:eastAsia="Arial" w:hAnsi="Arial"/>
                <w:sz w:val="14"/>
                <w:szCs w:val="14"/>
                <w:color w:val="auto"/>
              </w:rPr>
              <w:t>Bethesda/Chevy Chase,</w:t>
            </w: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March 19, 2026</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736,000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215,000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81,501</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34,840</w:t>
            </w:r>
          </w:p>
        </w:tc>
        <w:tc>
          <w:tcPr>
            <w:tcW w:w="0" w:type="dxa"/>
            <w:vAlign w:val="bottom"/>
          </w:tcPr>
          <w:p>
            <w:pPr>
              <w:spacing w:after="0"/>
              <w:rPr>
                <w:sz w:val="1"/>
                <w:szCs w:val="1"/>
                <w:color w:val="auto"/>
              </w:rPr>
            </w:pPr>
          </w:p>
        </w:tc>
      </w:tr>
      <w:tr>
        <w:trPr>
          <w:trHeight w:val="190"/>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ownership)</w:t>
            </w: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MD</w:t>
            </w:r>
          </w:p>
        </w:tc>
        <w:tc>
          <w:tcPr>
            <w:tcW w:w="16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Kingstowne Retail</w:t>
            </w: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Alexandria, VA</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April 17, 2026</w:t>
            </w:r>
          </w:p>
        </w:tc>
        <w:tc>
          <w:tcPr>
            <w:tcW w:w="1020" w:type="dxa"/>
            <w:vAlign w:val="bottom"/>
          </w:tcPr>
          <w:p>
            <w:pPr>
              <w:jc w:val="right"/>
              <w:spacing w:after="0"/>
              <w:rPr>
                <w:sz w:val="20"/>
                <w:szCs w:val="20"/>
                <w:color w:val="auto"/>
              </w:rPr>
            </w:pPr>
            <w:r>
              <w:rPr>
                <w:rFonts w:ascii="Arial" w:cs="Arial" w:eastAsia="Arial" w:hAnsi="Arial"/>
                <w:sz w:val="14"/>
                <w:szCs w:val="14"/>
                <w:color w:val="auto"/>
              </w:rPr>
              <w:t>88,300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19,700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19,205</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7,029</w:t>
            </w:r>
          </w:p>
        </w:tc>
        <w:tc>
          <w:tcPr>
            <w:tcW w:w="0" w:type="dxa"/>
            <w:vAlign w:val="bottom"/>
          </w:tcPr>
          <w:p>
            <w:pPr>
              <w:spacing w:after="0"/>
              <w:rPr>
                <w:sz w:val="1"/>
                <w:szCs w:val="1"/>
                <w:color w:val="auto"/>
              </w:rPr>
            </w:pPr>
          </w:p>
        </w:tc>
      </w:tr>
      <w:tr>
        <w:trPr>
          <w:trHeight w:val="239"/>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 xml:space="preserve">Sumner Square </w:t>
            </w:r>
            <w:r>
              <w:rPr>
                <w:rFonts w:ascii="Arial" w:cs="Arial" w:eastAsia="Arial" w:hAnsi="Arial"/>
                <w:sz w:val="18"/>
                <w:szCs w:val="18"/>
                <w:color w:val="auto"/>
                <w:vertAlign w:val="superscript"/>
              </w:rPr>
              <w:t>1</w:t>
            </w: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Washington, DC</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August 5, 2026</w:t>
            </w:r>
          </w:p>
        </w:tc>
        <w:tc>
          <w:tcPr>
            <w:tcW w:w="1020" w:type="dxa"/>
            <w:vAlign w:val="bottom"/>
          </w:tcPr>
          <w:p>
            <w:pPr>
              <w:jc w:val="right"/>
              <w:spacing w:after="0"/>
              <w:rPr>
                <w:sz w:val="20"/>
                <w:szCs w:val="20"/>
                <w:color w:val="auto"/>
              </w:rPr>
            </w:pPr>
            <w:r>
              <w:rPr>
                <w:rFonts w:ascii="Arial" w:cs="Arial" w:eastAsia="Arial" w:hAnsi="Arial"/>
                <w:sz w:val="14"/>
                <w:szCs w:val="14"/>
                <w:color w:val="auto"/>
              </w:rPr>
              <w:t>210,500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63,000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61,090</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1,932</w:t>
            </w:r>
          </w:p>
        </w:tc>
        <w:tc>
          <w:tcPr>
            <w:tcW w:w="0" w:type="dxa"/>
            <w:vAlign w:val="bottom"/>
          </w:tcPr>
          <w:p>
            <w:pPr>
              <w:spacing w:after="0"/>
              <w:rPr>
                <w:sz w:val="1"/>
                <w:szCs w:val="1"/>
                <w:color w:val="auto"/>
              </w:rPr>
            </w:pPr>
          </w:p>
        </w:tc>
      </w:tr>
      <w:tr>
        <w:trPr>
          <w:trHeight w:val="201"/>
        </w:trPr>
        <w:tc>
          <w:tcPr>
            <w:tcW w:w="2620" w:type="dxa"/>
            <w:vAlign w:val="bottom"/>
            <w:gridSpan w:val="2"/>
          </w:tcPr>
          <w:p>
            <w:pPr>
              <w:ind w:left="20"/>
              <w:spacing w:after="0" w:line="201" w:lineRule="exact"/>
              <w:rPr>
                <w:sz w:val="20"/>
                <w:szCs w:val="20"/>
                <w:color w:val="auto"/>
              </w:rPr>
            </w:pPr>
            <w:r>
              <w:rPr>
                <w:rFonts w:ascii="Arial" w:cs="Arial" w:eastAsia="Arial" w:hAnsi="Arial"/>
                <w:sz w:val="14"/>
                <w:szCs w:val="14"/>
                <w:color w:val="auto"/>
              </w:rPr>
              <w:t xml:space="preserve">1330 Connecticut Avenue </w:t>
            </w:r>
            <w:r>
              <w:rPr>
                <w:rFonts w:ascii="Arial" w:cs="Arial" w:eastAsia="Arial" w:hAnsi="Arial"/>
                <w:sz w:val="18"/>
                <w:szCs w:val="18"/>
                <w:color w:val="auto"/>
                <w:vertAlign w:val="superscript"/>
              </w:rPr>
              <w:t>1, 2</w:t>
            </w: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Washington, DC</w:t>
            </w:r>
          </w:p>
        </w:tc>
        <w:tc>
          <w:tcPr>
            <w:tcW w:w="1680" w:type="dxa"/>
            <w:vAlign w:val="bottom"/>
            <w:gridSpan w:val="2"/>
          </w:tcPr>
          <w:p>
            <w:pPr>
              <w:ind w:left="20"/>
              <w:spacing w:after="0"/>
              <w:rPr>
                <w:sz w:val="20"/>
                <w:szCs w:val="20"/>
                <w:color w:val="auto"/>
              </w:rPr>
            </w:pPr>
            <w:r>
              <w:rPr>
                <w:rFonts w:ascii="Arial" w:cs="Arial" w:eastAsia="Arial" w:hAnsi="Arial"/>
                <w:sz w:val="14"/>
                <w:szCs w:val="14"/>
                <w:color w:val="auto"/>
              </w:rPr>
              <w:t>September 23, 2026</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253,400</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92,375</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89,217</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8,528</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2,080,900</w:t>
            </w: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540,075</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382,036</w:t>
            </w: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58,736</w:t>
            </w:r>
          </w:p>
        </w:tc>
        <w:tc>
          <w:tcPr>
            <w:tcW w:w="0" w:type="dxa"/>
            <w:vAlign w:val="bottom"/>
          </w:tcPr>
          <w:p>
            <w:pPr>
              <w:spacing w:after="0"/>
              <w:rPr>
                <w:sz w:val="1"/>
                <w:szCs w:val="1"/>
                <w:color w:val="auto"/>
              </w:rPr>
            </w:pPr>
          </w:p>
        </w:tc>
      </w:tr>
      <w:tr>
        <w:trPr>
          <w:trHeight w:val="201"/>
        </w:trPr>
        <w:tc>
          <w:tcPr>
            <w:tcW w:w="2620" w:type="dxa"/>
            <w:vAlign w:val="bottom"/>
            <w:gridSpan w:val="2"/>
          </w:tcPr>
          <w:p>
            <w:pPr>
              <w:ind w:left="20"/>
              <w:spacing w:after="0"/>
              <w:rPr>
                <w:sz w:val="20"/>
                <w:szCs w:val="20"/>
                <w:color w:val="auto"/>
              </w:rPr>
            </w:pPr>
            <w:r>
              <w:rPr>
                <w:rFonts w:ascii="Arial" w:cs="Arial" w:eastAsia="Arial" w:hAnsi="Arial"/>
                <w:sz w:val="14"/>
                <w:szCs w:val="14"/>
                <w:b w:val="1"/>
                <w:bCs w:val="1"/>
                <w:color w:val="auto"/>
              </w:rPr>
              <w:t>Development</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620" w:type="dxa"/>
            <w:vAlign w:val="bottom"/>
            <w:gridSpan w:val="2"/>
          </w:tcPr>
          <w:p>
            <w:pPr>
              <w:ind w:left="20"/>
              <w:spacing w:after="0"/>
              <w:rPr>
                <w:sz w:val="20"/>
                <w:szCs w:val="20"/>
                <w:color w:val="auto"/>
              </w:rPr>
            </w:pPr>
            <w:r>
              <w:rPr>
                <w:rFonts w:ascii="Arial" w:cs="Arial" w:eastAsia="Arial" w:hAnsi="Arial"/>
                <w:sz w:val="14"/>
                <w:szCs w:val="14"/>
                <w:color w:val="auto"/>
              </w:rPr>
              <w:t>343 Madison Avenue (10.55%</w:t>
            </w:r>
          </w:p>
        </w:tc>
        <w:tc>
          <w:tcPr>
            <w:tcW w:w="1740" w:type="dxa"/>
            <w:vAlign w:val="bottom"/>
            <w:gridSpan w:val="2"/>
            <w:vMerge w:val="restart"/>
          </w:tcPr>
          <w:p>
            <w:pPr>
              <w:ind w:left="20"/>
              <w:spacing w:after="0"/>
              <w:rPr>
                <w:sz w:val="20"/>
                <w:szCs w:val="20"/>
                <w:color w:val="auto"/>
              </w:rPr>
            </w:pPr>
            <w:r>
              <w:rPr>
                <w:rFonts w:ascii="Arial" w:cs="Arial" w:eastAsia="Arial" w:hAnsi="Arial"/>
                <w:sz w:val="14"/>
                <w:szCs w:val="14"/>
                <w:color w:val="auto"/>
              </w:rPr>
              <w:t>New York, NY</w:t>
            </w:r>
          </w:p>
        </w:tc>
        <w:tc>
          <w:tcPr>
            <w:tcW w:w="1680" w:type="dxa"/>
            <w:vAlign w:val="bottom"/>
            <w:gridSpan w:val="2"/>
            <w:vMerge w:val="restart"/>
          </w:tcPr>
          <w:p>
            <w:pPr>
              <w:ind w:left="20"/>
              <w:spacing w:after="0"/>
              <w:rPr>
                <w:sz w:val="20"/>
                <w:szCs w:val="20"/>
                <w:color w:val="auto"/>
              </w:rPr>
            </w:pPr>
            <w:r>
              <w:rPr>
                <w:rFonts w:ascii="Arial" w:cs="Arial" w:eastAsia="Arial" w:hAnsi="Arial"/>
                <w:sz w:val="14"/>
                <w:szCs w:val="14"/>
                <w:color w:val="auto"/>
              </w:rPr>
              <w:t>September 23, 2026</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930,000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208,131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50,289</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98"/>
        </w:trPr>
        <w:tc>
          <w:tcPr>
            <w:tcW w:w="2620" w:type="dxa"/>
            <w:vAlign w:val="bottom"/>
            <w:gridSpan w:val="2"/>
          </w:tcPr>
          <w:p>
            <w:pPr>
              <w:ind w:left="180"/>
              <w:spacing w:after="0"/>
              <w:rPr>
                <w:sz w:val="20"/>
                <w:szCs w:val="20"/>
                <w:color w:val="auto"/>
              </w:rPr>
            </w:pPr>
            <w:r>
              <w:rPr>
                <w:rFonts w:ascii="Arial" w:cs="Arial" w:eastAsia="Arial" w:hAnsi="Arial"/>
                <w:sz w:val="14"/>
                <w:szCs w:val="14"/>
                <w:color w:val="auto"/>
              </w:rPr>
              <w:t xml:space="preserve">ownership) </w:t>
            </w:r>
            <w:r>
              <w:rPr>
                <w:rFonts w:ascii="Arial" w:cs="Arial" w:eastAsia="Arial" w:hAnsi="Arial"/>
                <w:sz w:val="9"/>
                <w:szCs w:val="9"/>
                <w:color w:val="auto"/>
              </w:rPr>
              <w:t>3</w:t>
            </w:r>
          </w:p>
        </w:tc>
        <w:tc>
          <w:tcPr>
            <w:tcW w:w="1740" w:type="dxa"/>
            <w:vAlign w:val="bottom"/>
            <w:gridSpan w:val="2"/>
            <w:vMerge w:val="continue"/>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930,000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208,131</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50,289</w:t>
            </w:r>
          </w:p>
        </w:tc>
        <w:tc>
          <w:tcPr>
            <w:tcW w:w="1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3"/>
        </w:trPr>
        <w:tc>
          <w:tcPr>
            <w:tcW w:w="2620" w:type="dxa"/>
            <w:vAlign w:val="bottom"/>
            <w:gridSpan w:val="2"/>
          </w:tcPr>
          <w:p>
            <w:pPr>
              <w:ind w:left="340"/>
              <w:spacing w:after="0"/>
              <w:rPr>
                <w:sz w:val="20"/>
                <w:szCs w:val="20"/>
                <w:color w:val="auto"/>
              </w:rPr>
            </w:pPr>
            <w:r>
              <w:rPr>
                <w:rFonts w:ascii="Arial" w:cs="Arial" w:eastAsia="Arial" w:hAnsi="Arial"/>
                <w:sz w:val="14"/>
                <w:szCs w:val="14"/>
                <w:color w:val="auto"/>
              </w:rPr>
              <w:t>Total Dispositions</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3,288,900</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889,131</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569,744</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73,320</w:t>
            </w:r>
          </w:p>
        </w:tc>
        <w:tc>
          <w:tcPr>
            <w:tcW w:w="0" w:type="dxa"/>
            <w:vAlign w:val="bottom"/>
          </w:tcPr>
          <w:p>
            <w:pPr>
              <w:spacing w:after="0"/>
              <w:rPr>
                <w:sz w:val="1"/>
                <w:szCs w:val="1"/>
                <w:color w:val="auto"/>
              </w:rPr>
            </w:pPr>
          </w:p>
        </w:tc>
      </w:tr>
      <w:tr>
        <w:trPr>
          <w:trHeight w:val="21"/>
        </w:trPr>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w:t>
      </w:r>
    </w:p>
    <w:p>
      <w:pPr>
        <w:spacing w:after="0" w:line="36" w:lineRule="exact"/>
        <w:rPr>
          <w:sz w:val="20"/>
          <w:szCs w:val="20"/>
          <w:color w:val="auto"/>
        </w:rPr>
      </w:pPr>
    </w:p>
    <w:p>
      <w:pPr>
        <w:ind w:left="80" w:hanging="72"/>
        <w:spacing w:after="0"/>
        <w:tabs>
          <w:tab w:leader="none" w:pos="80" w:val="left"/>
        </w:tabs>
        <w:numPr>
          <w:ilvl w:val="0"/>
          <w:numId w:val="36"/>
        </w:numPr>
        <w:rPr>
          <w:rFonts w:ascii="Arial" w:cs="Arial" w:eastAsia="Arial" w:hAnsi="Arial"/>
          <w:sz w:val="9"/>
          <w:szCs w:val="9"/>
          <w:color w:val="auto"/>
        </w:rPr>
      </w:pPr>
      <w:r>
        <w:rPr>
          <w:rFonts w:ascii="Arial" w:cs="Arial" w:eastAsia="Arial" w:hAnsi="Arial"/>
          <w:sz w:val="14"/>
          <w:szCs w:val="14"/>
          <w:color w:val="auto"/>
        </w:rPr>
        <w:t>The Company previously recognized an impairment loss.</w:t>
      </w:r>
    </w:p>
    <w:p>
      <w:pPr>
        <w:ind w:left="80" w:hanging="72"/>
        <w:spacing w:after="0" w:line="210" w:lineRule="auto"/>
        <w:tabs>
          <w:tab w:leader="none" w:pos="8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Including approximately $9.0 million of tenant improvement obligations assumed by the buyer, the total consideration is approximately $101.4 million.</w:t>
      </w:r>
    </w:p>
    <w:p>
      <w:pPr>
        <w:spacing w:after="0" w:line="31" w:lineRule="exact"/>
        <w:rPr>
          <w:sz w:val="20"/>
          <w:szCs w:val="20"/>
          <w:color w:val="auto"/>
        </w:rPr>
      </w:pPr>
    </w:p>
    <w:p>
      <w:pPr>
        <w:ind w:left="80" w:right="280" w:hanging="72"/>
        <w:spacing w:after="0" w:line="243" w:lineRule="auto"/>
        <w:tabs>
          <w:tab w:leader="none" w:pos="78"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The Company completed a partial equity interest sale to AVRS Partners of 10.55%. The partner agreed to invest an aggregate of $81.5 million, of which $50.7 million was invested at closing. The partner’s investment excludes its share of equity carry. The Company retains an 89.45% ownership interest and will provide development, property management, and leasing services for the venture. This transaction did not qualify as a sale of real estate for financial reporting purposes as the Company continues to effectively control the property and thus will continue to account for the property on a consolidated basis in its financial statements.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27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ind w:left="160"/>
              <w:spacing w:after="0"/>
              <w:rPr>
                <w:sz w:val="20"/>
                <w:szCs w:val="20"/>
                <w:color w:val="auto"/>
              </w:rPr>
            </w:pPr>
            <w:r>
              <w:rPr>
                <w:rFonts w:ascii="Arial" w:cs="Arial" w:eastAsia="Arial" w:hAnsi="Arial"/>
                <w:sz w:val="14"/>
                <w:szCs w:val="14"/>
                <w:color w:val="auto"/>
              </w:rPr>
              <w:t>Q3 2026</w:t>
            </w:r>
          </w:p>
        </w:tc>
        <w:tc>
          <w:tcPr>
            <w:tcW w:w="0" w:type="dxa"/>
            <w:vAlign w:val="bottom"/>
          </w:tcPr>
          <w:p>
            <w:pPr>
              <w:spacing w:after="0"/>
              <w:rPr>
                <w:sz w:val="1"/>
                <w:szCs w:val="1"/>
                <w:color w:val="auto"/>
              </w:rPr>
            </w:pPr>
          </w:p>
        </w:tc>
      </w:tr>
      <w:tr>
        <w:trPr>
          <w:trHeight w:val="245"/>
        </w:trPr>
        <w:tc>
          <w:tcPr>
            <w:tcW w:w="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00497F"/>
              </w:rPr>
              <w:t>Construction in progress</w:t>
            </w:r>
          </w:p>
        </w:tc>
        <w:tc>
          <w:tcPr>
            <w:tcW w:w="0" w:type="dxa"/>
            <w:vAlign w:val="bottom"/>
          </w:tcPr>
          <w:p>
            <w:pPr>
              <w:spacing w:after="0"/>
              <w:rPr>
                <w:sz w:val="1"/>
                <w:szCs w:val="1"/>
                <w:color w:val="auto"/>
              </w:rPr>
            </w:pPr>
          </w:p>
        </w:tc>
      </w:tr>
      <w:tr>
        <w:trPr>
          <w:trHeight w:val="748"/>
        </w:trPr>
        <w:tc>
          <w:tcPr>
            <w:tcW w:w="1840" w:type="dxa"/>
            <w:vAlign w:val="bottom"/>
            <w:gridSpan w:val="6"/>
          </w:tcPr>
          <w:p>
            <w:pPr>
              <w:spacing w:after="0"/>
              <w:rPr>
                <w:sz w:val="20"/>
                <w:szCs w:val="20"/>
                <w:color w:val="auto"/>
              </w:rPr>
            </w:pPr>
            <w:r>
              <w:rPr>
                <w:rFonts w:ascii="Arial" w:cs="Arial" w:eastAsia="Arial" w:hAnsi="Arial"/>
                <w:sz w:val="14"/>
                <w:szCs w:val="14"/>
                <w:color w:val="auto"/>
              </w:rPr>
              <w:t>(dollars in thousands)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340" w:type="dxa"/>
            <w:vAlign w:val="bottom"/>
            <w:tcBorders>
              <w:bottom w:val="single" w:sz="8" w:color="auto"/>
            </w:tcBorders>
            <w:gridSpan w:val="12"/>
          </w:tcPr>
          <w:p>
            <w:pPr>
              <w:spacing w:after="0"/>
              <w:rPr>
                <w:sz w:val="20"/>
                <w:szCs w:val="20"/>
                <w:color w:val="auto"/>
              </w:rPr>
            </w:pPr>
            <w:r>
              <w:rPr>
                <w:rFonts w:ascii="Arial" w:cs="Arial" w:eastAsia="Arial" w:hAnsi="Arial"/>
                <w:sz w:val="14"/>
                <w:szCs w:val="14"/>
                <w:b w:val="1"/>
                <w:bCs w:val="1"/>
                <w:i w:val="1"/>
                <w:iCs w:val="1"/>
                <w:color w:val="auto"/>
              </w:rPr>
              <w:t xml:space="preserve">CONSTRUCTION IN PROGRESS AT SEPTEMBER 30, 2026 </w:t>
            </w:r>
            <w:r>
              <w:rPr>
                <w:rFonts w:ascii="Arial" w:cs="Arial" w:eastAsia="Arial" w:hAnsi="Arial"/>
                <w:sz w:val="18"/>
                <w:szCs w:val="18"/>
                <w:b w:val="1"/>
                <w:bCs w:val="1"/>
                <w:i w:val="1"/>
                <w:iCs w:val="1"/>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4"/>
          </w:tcPr>
          <w:p>
            <w:pPr>
              <w:ind w:left="280"/>
              <w:spacing w:after="0"/>
              <w:rPr>
                <w:sz w:val="20"/>
                <w:szCs w:val="20"/>
                <w:color w:val="auto"/>
              </w:rPr>
            </w:pPr>
            <w:r>
              <w:rPr>
                <w:rFonts w:ascii="Arial" w:cs="Arial" w:eastAsia="Arial" w:hAnsi="Arial"/>
                <w:sz w:val="13"/>
                <w:szCs w:val="13"/>
                <w:b w:val="1"/>
                <w:bCs w:val="1"/>
                <w:color w:val="auto"/>
              </w:rPr>
              <w:t>Actual/Estimated</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80" w:type="dxa"/>
            <w:vAlign w:val="bottom"/>
            <w:gridSpan w:val="4"/>
          </w:tcPr>
          <w:p>
            <w:pPr>
              <w:ind w:left="60"/>
              <w:spacing w:after="0"/>
              <w:rPr>
                <w:sz w:val="20"/>
                <w:szCs w:val="20"/>
                <w:color w:val="auto"/>
              </w:rPr>
            </w:pPr>
            <w:r>
              <w:rPr>
                <w:rFonts w:ascii="Arial" w:cs="Arial" w:eastAsia="Arial" w:hAnsi="Arial"/>
                <w:sz w:val="13"/>
                <w:szCs w:val="13"/>
                <w:b w:val="1"/>
                <w:bCs w:val="1"/>
                <w:color w:val="auto"/>
              </w:rPr>
              <w:t>BXP’s share</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spacing w:after="0" w:line="131"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Estimated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Operating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restart"/>
          </w:tcPr>
          <w:p>
            <w:pPr>
              <w:jc w:val="right"/>
              <w:ind w:right="13"/>
              <w:spacing w:after="0"/>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7"/>
                <w:szCs w:val="7"/>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8"/>
              </w:rPr>
              <w:t>Future</w:t>
            </w: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6"/>
              </w:rPr>
              <w:t>Percentage</w:t>
            </w:r>
          </w:p>
        </w:tc>
        <w:tc>
          <w:tcPr>
            <w:tcW w:w="72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Income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72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rPr>
              <w:t xml:space="preserve">(Loss) </w:t>
            </w:r>
            <w:r>
              <w:rPr>
                <w:rFonts w:ascii="Arial" w:cs="Arial" w:eastAsia="Arial" w:hAnsi="Arial"/>
                <w:sz w:val="14"/>
                <w:szCs w:val="14"/>
                <w:b w:val="1"/>
                <w:bCs w:val="1"/>
                <w:color w:val="auto"/>
                <w:vertAlign w:val="superscript"/>
              </w:rPr>
              <w:t>5</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4"/>
              </w:rPr>
              <w:t>Initial</w:t>
            </w: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6"/>
              </w:rPr>
              <w:t>Stabilization</w:t>
            </w: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Square</w:t>
            </w: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6"/>
              </w:rPr>
              <w:t>Investment</w:t>
            </w:r>
          </w:p>
        </w:tc>
        <w:tc>
          <w:tcPr>
            <w:tcW w:w="100" w:type="dxa"/>
            <w:vAlign w:val="bottom"/>
          </w:tcPr>
          <w:p>
            <w:pPr>
              <w:spacing w:after="0"/>
              <w:rPr>
                <w:sz w:val="4"/>
                <w:szCs w:val="4"/>
                <w:color w:val="auto"/>
              </w:rPr>
            </w:pPr>
          </w:p>
        </w:tc>
        <w:tc>
          <w:tcPr>
            <w:tcW w:w="68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6"/>
              </w:rPr>
              <w:t>Total</w:t>
            </w: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4"/>
              </w:rPr>
              <w:t>Drawn at</w:t>
            </w:r>
          </w:p>
        </w:tc>
        <w:tc>
          <w:tcPr>
            <w:tcW w:w="100" w:type="dxa"/>
            <w:vAlign w:val="bottom"/>
          </w:tcPr>
          <w:p>
            <w:pPr>
              <w:spacing w:after="0"/>
              <w:rPr>
                <w:sz w:val="4"/>
                <w:szCs w:val="4"/>
                <w:color w:val="auto"/>
              </w:rPr>
            </w:pPr>
          </w:p>
        </w:tc>
        <w:tc>
          <w:tcPr>
            <w:tcW w:w="800" w:type="dxa"/>
            <w:vAlign w:val="bottom"/>
            <w:gridSpan w:val="2"/>
          </w:tcPr>
          <w:p>
            <w:pPr>
              <w:jc w:val="center"/>
              <w:ind w:right="200"/>
              <w:spacing w:after="0" w:line="54" w:lineRule="exact"/>
              <w:rPr>
                <w:sz w:val="20"/>
                <w:szCs w:val="20"/>
                <w:color w:val="auto"/>
              </w:rPr>
            </w:pPr>
            <w:r>
              <w:rPr>
                <w:rFonts w:ascii="Arial" w:cs="Arial" w:eastAsia="Arial" w:hAnsi="Arial"/>
                <w:sz w:val="6"/>
                <w:szCs w:val="6"/>
                <w:b w:val="1"/>
                <w:bCs w:val="1"/>
                <w:color w:val="auto"/>
              </w:rPr>
              <w:t>Equity</w:t>
            </w:r>
          </w:p>
        </w:tc>
        <w:tc>
          <w:tcPr>
            <w:tcW w:w="980" w:type="dxa"/>
            <w:vAlign w:val="bottom"/>
            <w:gridSpan w:val="2"/>
            <w:vMerge w:val="restart"/>
          </w:tcPr>
          <w:p>
            <w:pPr>
              <w:jc w:val="right"/>
              <w:ind w:right="148"/>
              <w:spacing w:after="0"/>
              <w:rPr>
                <w:sz w:val="20"/>
                <w:szCs w:val="20"/>
                <w:color w:val="auto"/>
              </w:rPr>
            </w:pPr>
            <w:r>
              <w:rPr>
                <w:rFonts w:ascii="Arial" w:cs="Arial" w:eastAsia="Arial" w:hAnsi="Arial"/>
                <w:sz w:val="13"/>
                <w:szCs w:val="13"/>
                <w:b w:val="1"/>
                <w:bCs w:val="1"/>
                <w:color w:val="auto"/>
              </w:rPr>
              <w:t>Percentage</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5"/>
              </w:rPr>
              <w:t>placed in-</w:t>
            </w:r>
          </w:p>
        </w:tc>
        <w:tc>
          <w:tcPr>
            <w:tcW w:w="7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5"/>
              </w:rPr>
              <w:t>(BXP’s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Location</w:t>
            </w:r>
          </w:p>
        </w:tc>
        <w:tc>
          <w:tcPr>
            <w:tcW w:w="760" w:type="dxa"/>
            <w:vAlign w:val="bottom"/>
            <w:gridSpan w:val="2"/>
            <w:vMerge w:val="continue"/>
          </w:tcPr>
          <w:p>
            <w:pPr>
              <w:spacing w:after="0"/>
              <w:rPr>
                <w:sz w:val="10"/>
                <w:szCs w:val="10"/>
                <w:color w:val="auto"/>
              </w:rPr>
            </w:pPr>
          </w:p>
        </w:tc>
        <w:tc>
          <w:tcPr>
            <w:tcW w:w="88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90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95"/>
              </w:rPr>
              <w:t>Requirement</w:t>
            </w:r>
          </w:p>
        </w:tc>
        <w:tc>
          <w:tcPr>
            <w:tcW w:w="98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Occupancy</w:t>
            </w:r>
          </w:p>
        </w:tc>
        <w:tc>
          <w:tcPr>
            <w:tcW w:w="8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9"/>
              </w:rPr>
              <w:t>Date</w:t>
            </w:r>
          </w:p>
        </w:tc>
        <w:tc>
          <w:tcPr>
            <w:tcW w:w="880" w:type="dxa"/>
            <w:vAlign w:val="bottom"/>
            <w:gridSpan w:val="2"/>
            <w:vMerge w:val="continue"/>
          </w:tcPr>
          <w:p>
            <w:pPr>
              <w:spacing w:after="0"/>
              <w:rPr>
                <w:sz w:val="11"/>
                <w:szCs w:val="11"/>
                <w:color w:val="auto"/>
              </w:rPr>
            </w:pPr>
          </w:p>
        </w:tc>
        <w:tc>
          <w:tcPr>
            <w:tcW w:w="7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Feet</w:t>
            </w: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rPr>
              <w:t xml:space="preserve">to Date </w:t>
            </w:r>
            <w:r>
              <w:rPr>
                <w:rFonts w:ascii="Arial" w:cs="Arial" w:eastAsia="Arial" w:hAnsi="Arial"/>
                <w:sz w:val="15"/>
                <w:szCs w:val="15"/>
                <w:b w:val="1"/>
                <w:bCs w:val="1"/>
                <w:color w:val="auto"/>
                <w:vertAlign w:val="superscript"/>
              </w:rPr>
              <w:t>2</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 xml:space="preserve">Investment </w:t>
            </w:r>
            <w:r>
              <w:rPr>
                <w:rFonts w:ascii="Arial" w:cs="Arial" w:eastAsia="Arial" w:hAnsi="Arial"/>
                <w:sz w:val="15"/>
                <w:szCs w:val="15"/>
                <w:b w:val="1"/>
                <w:bCs w:val="1"/>
                <w:color w:val="auto"/>
                <w:vertAlign w:val="superscript"/>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4"/>
              </w:rPr>
              <w:t>Financing</w:t>
            </w:r>
          </w:p>
        </w:tc>
        <w:tc>
          <w:tcPr>
            <w:tcW w:w="6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9/30/2026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7"/>
              <w:spacing w:after="0"/>
              <w:rPr>
                <w:sz w:val="20"/>
                <w:szCs w:val="20"/>
                <w:color w:val="auto"/>
              </w:rPr>
            </w:pPr>
            <w:r>
              <w:rPr>
                <w:rFonts w:ascii="Arial" w:cs="Arial" w:eastAsia="Arial" w:hAnsi="Arial"/>
                <w:sz w:val="8"/>
                <w:szCs w:val="8"/>
                <w:b w:val="1"/>
                <w:bCs w:val="1"/>
                <w:color w:val="auto"/>
                <w:w w:val="88"/>
              </w:rPr>
              <w:t>2</w:t>
            </w:r>
          </w:p>
        </w:tc>
        <w:tc>
          <w:tcPr>
            <w:tcW w:w="100" w:type="dxa"/>
            <w:vAlign w:val="bottom"/>
          </w:tcPr>
          <w:p>
            <w:pPr>
              <w:spacing w:after="0"/>
              <w:rPr>
                <w:sz w:val="11"/>
                <w:szCs w:val="11"/>
                <w:color w:val="auto"/>
              </w:rPr>
            </w:pPr>
          </w:p>
        </w:tc>
        <w:tc>
          <w:tcPr>
            <w:tcW w:w="980" w:type="dxa"/>
            <w:vAlign w:val="bottom"/>
            <w:gridSpan w:val="2"/>
          </w:tcPr>
          <w:p>
            <w:pPr>
              <w:jc w:val="right"/>
              <w:ind w:right="228"/>
              <w:spacing w:after="0" w:line="135" w:lineRule="exact"/>
              <w:rPr>
                <w:sz w:val="20"/>
                <w:szCs w:val="20"/>
                <w:color w:val="auto"/>
              </w:rPr>
            </w:pPr>
            <w:r>
              <w:rPr>
                <w:rFonts w:ascii="Arial" w:cs="Arial" w:eastAsia="Arial" w:hAnsi="Arial"/>
                <w:sz w:val="12"/>
                <w:szCs w:val="12"/>
                <w:b w:val="1"/>
                <w:bCs w:val="1"/>
                <w:color w:val="auto"/>
              </w:rPr>
              <w:t xml:space="preserve">Leased </w:t>
            </w:r>
            <w:r>
              <w:rPr>
                <w:rFonts w:ascii="Arial" w:cs="Arial" w:eastAsia="Arial" w:hAnsi="Arial"/>
                <w:sz w:val="15"/>
                <w:szCs w:val="15"/>
                <w:b w:val="1"/>
                <w:bCs w:val="1"/>
                <w:color w:val="auto"/>
                <w:vertAlign w:val="superscript"/>
              </w:rPr>
              <w:t>3</w:t>
            </w:r>
          </w:p>
        </w:tc>
        <w:tc>
          <w:tcPr>
            <w:tcW w:w="920" w:type="dxa"/>
            <w:vAlign w:val="bottom"/>
            <w:gridSpan w:val="2"/>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 xml:space="preserve">service </w:t>
            </w:r>
            <w:r>
              <w:rPr>
                <w:rFonts w:ascii="Arial" w:cs="Arial" w:eastAsia="Arial" w:hAnsi="Arial"/>
                <w:sz w:val="15"/>
                <w:szCs w:val="15"/>
                <w:b w:val="1"/>
                <w:bCs w:val="1"/>
                <w:color w:val="auto"/>
                <w:w w:val="99"/>
                <w:vertAlign w:val="superscript"/>
              </w:rPr>
              <w:t>4</w:t>
            </w:r>
          </w:p>
        </w:tc>
        <w:tc>
          <w:tcPr>
            <w:tcW w:w="720" w:type="dxa"/>
            <w:vAlign w:val="bottom"/>
            <w:gridSpan w:val="2"/>
          </w:tcPr>
          <w:p>
            <w:pPr>
              <w:jc w:val="center"/>
              <w:ind w:right="20"/>
              <w:spacing w:after="0" w:line="135" w:lineRule="exact"/>
              <w:rPr>
                <w:sz w:val="20"/>
                <w:szCs w:val="20"/>
                <w:color w:val="auto"/>
              </w:rPr>
            </w:pPr>
            <w:r>
              <w:rPr>
                <w:rFonts w:ascii="Arial" w:cs="Arial" w:eastAsia="Arial" w:hAnsi="Arial"/>
                <w:sz w:val="13"/>
                <w:szCs w:val="13"/>
                <w:b w:val="1"/>
                <w:bCs w:val="1"/>
                <w:color w:val="auto"/>
                <w:w w:val="97"/>
              </w:rPr>
              <w:t>share)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3"/>
                <w:szCs w:val="13"/>
                <w:b w:val="1"/>
                <w:bCs w:val="1"/>
                <w:color w:val="auto"/>
              </w:rPr>
              <w:t>Office</w:t>
            </w: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3"/>
                <w:szCs w:val="13"/>
                <w:color w:val="auto"/>
              </w:rPr>
              <w:t>Reservoir</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Q2 2027</w:t>
            </w: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3"/>
                <w:szCs w:val="13"/>
                <w:color w:val="auto"/>
              </w:rPr>
              <w:t>Q2 2027</w:t>
            </w:r>
          </w:p>
        </w:tc>
        <w:tc>
          <w:tcPr>
            <w:tcW w:w="880" w:type="dxa"/>
            <w:vAlign w:val="bottom"/>
            <w:gridSpan w:val="2"/>
          </w:tcPr>
          <w:p>
            <w:pPr>
              <w:ind w:left="20"/>
              <w:spacing w:after="0"/>
              <w:rPr>
                <w:sz w:val="20"/>
                <w:szCs w:val="20"/>
                <w:color w:val="auto"/>
              </w:rPr>
            </w:pPr>
            <w:r>
              <w:rPr>
                <w:rFonts w:ascii="Arial" w:cs="Arial" w:eastAsia="Arial" w:hAnsi="Arial"/>
                <w:sz w:val="13"/>
                <w:szCs w:val="13"/>
                <w:color w:val="auto"/>
              </w:rPr>
              <w:t>Waltham,</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363,000</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14,900</w:t>
            </w:r>
          </w:p>
        </w:tc>
        <w:tc>
          <w:tcPr>
            <w:tcW w:w="100" w:type="dxa"/>
            <w:vAlign w:val="bottom"/>
          </w:tcPr>
          <w:p>
            <w:pPr>
              <w:spacing w:after="0"/>
              <w:rPr>
                <w:sz w:val="14"/>
                <w:szCs w:val="14"/>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87,000</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72,100</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89 %</w:t>
            </w:r>
          </w:p>
        </w:tc>
        <w:tc>
          <w:tcPr>
            <w:tcW w:w="140" w:type="dxa"/>
            <w:vAlign w:val="bottom"/>
          </w:tcPr>
          <w:p>
            <w:pPr>
              <w:spacing w:after="0"/>
              <w:rPr>
                <w:sz w:val="14"/>
                <w:szCs w:val="14"/>
                <w:color w:val="auto"/>
              </w:rPr>
            </w:pPr>
          </w:p>
        </w:tc>
        <w:tc>
          <w:tcPr>
            <w:tcW w:w="920" w:type="dxa"/>
            <w:vAlign w:val="bottom"/>
            <w:gridSpan w:val="2"/>
            <w:vMerge w:val="restart"/>
          </w:tcPr>
          <w:p>
            <w:pPr>
              <w:ind w:left="500"/>
              <w:spacing w:after="0"/>
              <w:rPr>
                <w:sz w:val="20"/>
                <w:szCs w:val="20"/>
                <w:color w:val="auto"/>
              </w:rPr>
            </w:pPr>
            <w:r>
              <w:rPr>
                <w:rFonts w:ascii="Arial" w:cs="Arial" w:eastAsia="Arial" w:hAnsi="Arial"/>
                <w:sz w:val="13"/>
                <w:szCs w:val="13"/>
                <w:color w:val="auto"/>
              </w:rPr>
              <w:t>— %</w:t>
            </w: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20" w:type="dxa"/>
            <w:vAlign w:val="bottom"/>
            <w:gridSpan w:val="3"/>
          </w:tcPr>
          <w:p>
            <w:pPr>
              <w:ind w:left="240"/>
              <w:spacing w:after="0"/>
              <w:rPr>
                <w:sz w:val="20"/>
                <w:szCs w:val="20"/>
                <w:color w:val="auto"/>
              </w:rPr>
            </w:pPr>
            <w:r>
              <w:rPr>
                <w:rFonts w:ascii="Arial" w:cs="Arial" w:eastAsia="Arial" w:hAnsi="Arial"/>
                <w:sz w:val="13"/>
                <w:szCs w:val="13"/>
                <w:color w:val="auto"/>
              </w:rPr>
              <w:t xml:space="preserve">Place </w:t>
            </w:r>
            <w:r>
              <w:rPr>
                <w:rFonts w:ascii="Arial" w:cs="Arial" w:eastAsia="Arial" w:hAnsi="Arial"/>
                <w:sz w:val="17"/>
                <w:szCs w:val="17"/>
                <w:color w:val="auto"/>
                <w:vertAlign w:val="superscript"/>
              </w:rPr>
              <w:t>6</w:t>
            </w:r>
          </w:p>
        </w:tc>
        <w:tc>
          <w:tcPr>
            <w:tcW w:w="80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color w:val="auto"/>
              </w:rPr>
              <w:t>MA</w:t>
            </w: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725 12th</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Q1 2029</w:t>
            </w: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3"/>
                <w:szCs w:val="13"/>
                <w:color w:val="auto"/>
              </w:rPr>
              <w:t>Q3 2029</w:t>
            </w:r>
          </w:p>
        </w:tc>
        <w:tc>
          <w:tcPr>
            <w:tcW w:w="8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Washington,</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320,000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125,765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349,600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223,835</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93 %</w:t>
            </w:r>
          </w:p>
        </w:tc>
        <w:tc>
          <w:tcPr>
            <w:tcW w:w="140" w:type="dxa"/>
            <w:vAlign w:val="bottom"/>
          </w:tcPr>
          <w:p>
            <w:pPr>
              <w:spacing w:after="0"/>
              <w:rPr>
                <w:sz w:val="11"/>
                <w:szCs w:val="11"/>
                <w:color w:val="auto"/>
              </w:rPr>
            </w:pPr>
          </w:p>
        </w:tc>
        <w:tc>
          <w:tcPr>
            <w:tcW w:w="920" w:type="dxa"/>
            <w:vAlign w:val="bottom"/>
            <w:gridSpan w:val="2"/>
            <w:vMerge w:val="restart"/>
          </w:tcPr>
          <w:p>
            <w:pPr>
              <w:ind w:left="500"/>
              <w:spacing w:after="0"/>
              <w:rPr>
                <w:sz w:val="20"/>
                <w:szCs w:val="20"/>
                <w:color w:val="auto"/>
              </w:rPr>
            </w:pPr>
            <w:r>
              <w:rPr>
                <w:rFonts w:ascii="Arial" w:cs="Arial" w:eastAsia="Arial" w:hAnsi="Arial"/>
                <w:sz w:val="13"/>
                <w:szCs w:val="13"/>
                <w:color w:val="auto"/>
              </w:rPr>
              <w:t>— %</w:t>
            </w: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tcPr>
          <w:p>
            <w:pPr>
              <w:ind w:left="240"/>
              <w:spacing w:after="0"/>
              <w:rPr>
                <w:sz w:val="20"/>
                <w:szCs w:val="20"/>
                <w:color w:val="auto"/>
              </w:rPr>
            </w:pPr>
            <w:r>
              <w:rPr>
                <w:rFonts w:ascii="Arial" w:cs="Arial" w:eastAsia="Arial" w:hAnsi="Arial"/>
                <w:sz w:val="13"/>
                <w:szCs w:val="13"/>
                <w:color w:val="auto"/>
              </w:rPr>
              <w:t>Street</w:t>
            </w:r>
          </w:p>
        </w:tc>
        <w:tc>
          <w:tcPr>
            <w:tcW w:w="8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color w:val="auto"/>
              </w:rPr>
              <w:t>DC</w:t>
            </w: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3"/>
                <w:szCs w:val="13"/>
                <w:color w:val="auto"/>
              </w:rPr>
              <w:t>343 Madison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Avenue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3"/>
                <w:szCs w:val="13"/>
                <w:color w:val="auto"/>
              </w:rPr>
              <w:t>New York,</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(89.45%</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Q3 2029</w:t>
            </w: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3"/>
                <w:szCs w:val="13"/>
                <w:color w:val="auto"/>
              </w:rPr>
              <w:t>Q2 2031</w:t>
            </w:r>
          </w:p>
        </w:tc>
        <w:tc>
          <w:tcPr>
            <w:tcW w:w="880" w:type="dxa"/>
            <w:vAlign w:val="bottom"/>
            <w:gridSpan w:val="2"/>
            <w:vMerge w:val="continue"/>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930,000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498,037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1,750,000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1,073,400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71,634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250,197</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56 %</w:t>
            </w:r>
          </w:p>
        </w:tc>
        <w:tc>
          <w:tcPr>
            <w:tcW w:w="140" w:type="dxa"/>
            <w:vAlign w:val="bottom"/>
          </w:tcPr>
          <w:p>
            <w:pPr>
              <w:spacing w:after="0"/>
              <w:rPr>
                <w:sz w:val="11"/>
                <w:szCs w:val="11"/>
                <w:color w:val="auto"/>
              </w:rPr>
            </w:pPr>
          </w:p>
        </w:tc>
        <w:tc>
          <w:tcPr>
            <w:tcW w:w="820" w:type="dxa"/>
            <w:vAlign w:val="bottom"/>
            <w:vMerge w:val="restart"/>
          </w:tcPr>
          <w:p>
            <w:pPr>
              <w:ind w:left="500"/>
              <w:spacing w:after="0"/>
              <w:rPr>
                <w:sz w:val="20"/>
                <w:szCs w:val="20"/>
                <w:color w:val="auto"/>
              </w:rPr>
            </w:pPr>
            <w:r>
              <w:rPr>
                <w:rFonts w:ascii="Arial" w:cs="Arial" w:eastAsia="Arial" w:hAnsi="Arial"/>
                <w:sz w:val="13"/>
                <w:szCs w:val="13"/>
                <w:color w:val="auto"/>
              </w:rPr>
              <w:t>— %</w:t>
            </w:r>
          </w:p>
        </w:tc>
        <w:tc>
          <w:tcPr>
            <w:tcW w:w="100" w:type="dxa"/>
            <w:vAlign w:val="bottom"/>
            <w:vMerge w:val="restart"/>
          </w:tcPr>
          <w:p>
            <w:pPr>
              <w:spacing w:after="0"/>
              <w:rPr>
                <w:sz w:val="11"/>
                <w:szCs w:val="11"/>
                <w:color w:val="auto"/>
              </w:rPr>
            </w:pPr>
          </w:p>
        </w:tc>
        <w:tc>
          <w:tcPr>
            <w:tcW w:w="700" w:type="dxa"/>
            <w:vAlign w:val="bottom"/>
            <w:vMerge w:val="restart"/>
          </w:tcPr>
          <w:p>
            <w:pPr>
              <w:ind w:left="460"/>
              <w:spacing w:after="0"/>
              <w:rPr>
                <w:sz w:val="20"/>
                <w:szCs w:val="20"/>
                <w:color w:val="auto"/>
              </w:rPr>
            </w:pPr>
            <w:r>
              <w:rPr>
                <w:rFonts w:ascii="Arial" w:cs="Arial" w:eastAsia="Arial" w:hAnsi="Arial"/>
                <w:sz w:val="13"/>
                <w:szCs w:val="13"/>
                <w:color w:val="auto"/>
              </w:rPr>
              <w:t>N/A</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20" w:type="dxa"/>
            <w:vAlign w:val="bottom"/>
            <w:gridSpan w:val="3"/>
          </w:tcPr>
          <w:p>
            <w:pPr>
              <w:ind w:left="240"/>
              <w:spacing w:after="0"/>
              <w:rPr>
                <w:sz w:val="20"/>
                <w:szCs w:val="20"/>
                <w:color w:val="auto"/>
              </w:rPr>
            </w:pPr>
            <w:r>
              <w:rPr>
                <w:rFonts w:ascii="Arial" w:cs="Arial" w:eastAsia="Arial" w:hAnsi="Arial"/>
                <w:sz w:val="13"/>
                <w:szCs w:val="13"/>
                <w:color w:val="auto"/>
              </w:rPr>
              <w:t>ownership)</w:t>
            </w:r>
          </w:p>
        </w:tc>
        <w:tc>
          <w:tcPr>
            <w:tcW w:w="8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color w:val="auto"/>
              </w:rPr>
              <w:t>NY</w:t>
            </w: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80" w:type="dxa"/>
            <w:vAlign w:val="bottom"/>
            <w:gridSpan w:val="8"/>
          </w:tcPr>
          <w:p>
            <w:pPr>
              <w:ind w:left="40"/>
              <w:spacing w:after="0"/>
              <w:rPr>
                <w:sz w:val="20"/>
                <w:szCs w:val="20"/>
                <w:color w:val="auto"/>
              </w:rPr>
            </w:pPr>
            <w:r>
              <w:rPr>
                <w:rFonts w:ascii="Arial" w:cs="Arial" w:eastAsia="Arial" w:hAnsi="Arial"/>
                <w:sz w:val="13"/>
                <w:szCs w:val="13"/>
                <w:b w:val="1"/>
                <w:bCs w:val="1"/>
                <w:color w:val="auto"/>
              </w:rPr>
              <w:t>Total Office Properties under Construction</w:t>
            </w:r>
          </w:p>
        </w:tc>
        <w:tc>
          <w:tcPr>
            <w:tcW w:w="660" w:type="dxa"/>
            <w:vAlign w:val="bottom"/>
          </w:tcPr>
          <w:p>
            <w:pPr>
              <w:jc w:val="center"/>
              <w:spacing w:after="0"/>
              <w:rPr>
                <w:sz w:val="20"/>
                <w:szCs w:val="20"/>
                <w:color w:val="auto"/>
              </w:rPr>
            </w:pPr>
            <w:r>
              <w:rPr>
                <w:rFonts w:ascii="Arial" w:cs="Arial" w:eastAsia="Arial" w:hAnsi="Arial"/>
                <w:sz w:val="13"/>
                <w:szCs w:val="13"/>
                <w:color w:val="auto"/>
              </w:rPr>
              <w:t>1,613,000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638,702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2,186,600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1,073,400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71,634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546,132</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71 %</w:t>
            </w:r>
          </w:p>
        </w:tc>
        <w:tc>
          <w:tcPr>
            <w:tcW w:w="140" w:type="dxa"/>
            <w:vAlign w:val="bottom"/>
          </w:tcPr>
          <w:p>
            <w:pPr>
              <w:spacing w:after="0"/>
              <w:rPr>
                <w:sz w:val="17"/>
                <w:szCs w:val="17"/>
                <w:color w:val="auto"/>
              </w:rPr>
            </w:pPr>
          </w:p>
        </w:tc>
        <w:tc>
          <w:tcPr>
            <w:tcW w:w="92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 xml:space="preserve">Residential </w:t>
            </w:r>
            <w:r>
              <w:rPr>
                <w:rFonts w:ascii="Arial" w:cs="Arial" w:eastAsia="Arial" w:hAnsi="Arial"/>
                <w:sz w:val="17"/>
                <w:szCs w:val="17"/>
                <w:b w:val="1"/>
                <w:bCs w:val="1"/>
                <w:color w:val="auto"/>
                <w:vertAlign w:val="superscript"/>
              </w:rPr>
              <w:t>7</w:t>
            </w: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3"/>
                <w:szCs w:val="13"/>
                <w:color w:val="auto"/>
              </w:rPr>
              <w:t>Reverie - 17</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Hartwell</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Avenue</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(312 units)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3"/>
                <w:szCs w:val="13"/>
                <w:color w:val="auto"/>
              </w:rPr>
              <w:t>Lexington,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gridSpan w:val="3"/>
          </w:tcPr>
          <w:p>
            <w:pPr>
              <w:ind w:left="260"/>
              <w:spacing w:after="0" w:line="135" w:lineRule="exact"/>
              <w:rPr>
                <w:sz w:val="20"/>
                <w:szCs w:val="20"/>
                <w:color w:val="auto"/>
              </w:rPr>
            </w:pPr>
            <w:r>
              <w:rPr>
                <w:rFonts w:ascii="Arial" w:cs="Arial" w:eastAsia="Arial" w:hAnsi="Arial"/>
                <w:sz w:val="13"/>
                <w:szCs w:val="13"/>
                <w:color w:val="auto"/>
              </w:rPr>
              <w:t>(20%</w:t>
            </w:r>
          </w:p>
        </w:tc>
        <w:tc>
          <w:tcPr>
            <w:tcW w:w="300" w:type="dxa"/>
            <w:vAlign w:val="bottom"/>
          </w:tcPr>
          <w:p>
            <w:pPr>
              <w:spacing w:after="0"/>
              <w:rPr>
                <w:sz w:val="11"/>
                <w:szCs w:val="11"/>
                <w:color w:val="auto"/>
              </w:rPr>
            </w:pP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Q2 2027</w:t>
            </w: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3"/>
                <w:szCs w:val="13"/>
                <w:color w:val="auto"/>
              </w:rPr>
              <w:t>Q2 2028</w:t>
            </w:r>
          </w:p>
        </w:tc>
        <w:tc>
          <w:tcPr>
            <w:tcW w:w="880" w:type="dxa"/>
            <w:vAlign w:val="bottom"/>
            <w:gridSpan w:val="2"/>
            <w:vMerge w:val="continue"/>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347,000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23,213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35,900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19,747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4,469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88"/>
              <w:spacing w:after="0"/>
              <w:rPr>
                <w:sz w:val="20"/>
                <w:szCs w:val="20"/>
                <w:color w:val="auto"/>
              </w:rPr>
            </w:pPr>
            <w:r>
              <w:rPr>
                <w:rFonts w:ascii="Arial" w:cs="Arial" w:eastAsia="Arial" w:hAnsi="Arial"/>
                <w:sz w:val="13"/>
                <w:szCs w:val="13"/>
                <w:color w:val="auto"/>
              </w:rPr>
              <w:t>— %</w:t>
            </w:r>
          </w:p>
        </w:tc>
        <w:tc>
          <w:tcPr>
            <w:tcW w:w="920" w:type="dxa"/>
            <w:vAlign w:val="bottom"/>
            <w:gridSpan w:val="2"/>
            <w:vMerge w:val="restart"/>
          </w:tcPr>
          <w:p>
            <w:pPr>
              <w:ind w:left="500"/>
              <w:spacing w:after="0"/>
              <w:rPr>
                <w:sz w:val="20"/>
                <w:szCs w:val="20"/>
                <w:color w:val="auto"/>
              </w:rPr>
            </w:pPr>
            <w:r>
              <w:rPr>
                <w:rFonts w:ascii="Arial" w:cs="Arial" w:eastAsia="Arial" w:hAnsi="Arial"/>
                <w:sz w:val="13"/>
                <w:szCs w:val="13"/>
                <w:color w:val="auto"/>
              </w:rPr>
              <w:t>— %</w:t>
            </w: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tcPr>
          <w:p>
            <w:pPr>
              <w:ind w:left="240"/>
              <w:spacing w:after="0"/>
              <w:rPr>
                <w:sz w:val="20"/>
                <w:szCs w:val="20"/>
                <w:color w:val="auto"/>
              </w:rPr>
            </w:pPr>
            <w:r>
              <w:rPr>
                <w:rFonts w:ascii="Arial" w:cs="Arial" w:eastAsia="Arial" w:hAnsi="Arial"/>
                <w:sz w:val="13"/>
                <w:szCs w:val="13"/>
                <w:color w:val="auto"/>
              </w:rPr>
              <w:t>ownership)</w:t>
            </w:r>
          </w:p>
        </w:tc>
        <w:tc>
          <w:tcPr>
            <w:tcW w:w="8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color w:val="auto"/>
              </w:rPr>
              <w:t>MA</w:t>
            </w: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gridSpan w:val="3"/>
          </w:tcPr>
          <w:p>
            <w:pPr>
              <w:ind w:left="200"/>
              <w:spacing w:after="0"/>
              <w:rPr>
                <w:sz w:val="20"/>
                <w:szCs w:val="20"/>
                <w:color w:val="auto"/>
              </w:rPr>
            </w:pPr>
            <w:r>
              <w:rPr>
                <w:rFonts w:ascii="Arial" w:cs="Arial" w:eastAsia="Arial" w:hAnsi="Arial"/>
                <w:sz w:val="13"/>
                <w:szCs w:val="13"/>
                <w:color w:val="auto"/>
              </w:rPr>
              <w:t>17 Hartwell</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gridSpan w:val="3"/>
          </w:tcPr>
          <w:p>
            <w:pPr>
              <w:ind w:left="360"/>
              <w:spacing w:after="0" w:line="135" w:lineRule="exact"/>
              <w:rPr>
                <w:sz w:val="20"/>
                <w:szCs w:val="20"/>
                <w:color w:val="auto"/>
              </w:rPr>
            </w:pPr>
            <w:r>
              <w:rPr>
                <w:rFonts w:ascii="Arial" w:cs="Arial" w:eastAsia="Arial" w:hAnsi="Arial"/>
                <w:sz w:val="13"/>
                <w:szCs w:val="13"/>
                <w:color w:val="auto"/>
              </w:rPr>
              <w:t>Avenue -</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2,100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88"/>
              <w:spacing w:after="0"/>
              <w:rPr>
                <w:sz w:val="20"/>
                <w:szCs w:val="20"/>
                <w:color w:val="auto"/>
              </w:rPr>
            </w:pPr>
            <w:r>
              <w:rPr>
                <w:rFonts w:ascii="Arial" w:cs="Arial" w:eastAsia="Arial" w:hAnsi="Arial"/>
                <w:sz w:val="13"/>
                <w:szCs w:val="13"/>
                <w:color w:val="auto"/>
              </w:rPr>
              <w:t>— %</w:t>
            </w:r>
          </w:p>
        </w:tc>
        <w:tc>
          <w:tcPr>
            <w:tcW w:w="920" w:type="dxa"/>
            <w:vAlign w:val="bottom"/>
            <w:gridSpan w:val="2"/>
            <w:vMerge w:val="restart"/>
          </w:tcPr>
          <w:p>
            <w:pPr>
              <w:ind w:left="500"/>
              <w:spacing w:after="0"/>
              <w:rPr>
                <w:sz w:val="20"/>
                <w:szCs w:val="20"/>
                <w:color w:val="auto"/>
              </w:rPr>
            </w:pPr>
            <w:r>
              <w:rPr>
                <w:rFonts w:ascii="Arial" w:cs="Arial" w:eastAsia="Arial" w:hAnsi="Arial"/>
                <w:sz w:val="13"/>
                <w:szCs w:val="13"/>
                <w:color w:val="auto"/>
              </w:rPr>
              <w:t>— %</w:t>
            </w: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tcPr>
          <w:p>
            <w:pPr>
              <w:ind w:left="360"/>
              <w:spacing w:after="0"/>
              <w:rPr>
                <w:sz w:val="20"/>
                <w:szCs w:val="20"/>
                <w:color w:val="auto"/>
              </w:rPr>
            </w:pPr>
            <w:r>
              <w:rPr>
                <w:rFonts w:ascii="Arial" w:cs="Arial" w:eastAsia="Arial" w:hAnsi="Arial"/>
                <w:sz w:val="13"/>
                <w:szCs w:val="13"/>
                <w:color w:val="auto"/>
              </w:rPr>
              <w:t>Retail</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3"/>
                <w:szCs w:val="13"/>
                <w:color w:val="auto"/>
              </w:rPr>
              <w:t>121 Broadway</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3"/>
                <w:szCs w:val="13"/>
                <w:color w:val="auto"/>
              </w:rPr>
              <w:t>Cambridge,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Street (439</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Q2 2027</w:t>
            </w: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3"/>
                <w:szCs w:val="13"/>
                <w:color w:val="auto"/>
              </w:rPr>
              <w:t>Q2 2029</w:t>
            </w:r>
          </w:p>
        </w:tc>
        <w:tc>
          <w:tcPr>
            <w:tcW w:w="880" w:type="dxa"/>
            <w:vAlign w:val="bottom"/>
            <w:gridSpan w:val="2"/>
            <w:vMerge w:val="continue"/>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490,000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411,207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597,800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186,593</w:t>
            </w:r>
          </w:p>
        </w:tc>
        <w:tc>
          <w:tcPr>
            <w:tcW w:w="100" w:type="dxa"/>
            <w:vAlign w:val="bottom"/>
          </w:tcPr>
          <w:p>
            <w:pPr>
              <w:spacing w:after="0"/>
              <w:rPr>
                <w:sz w:val="11"/>
                <w:szCs w:val="11"/>
                <w:color w:val="auto"/>
              </w:rPr>
            </w:pPr>
          </w:p>
        </w:tc>
        <w:tc>
          <w:tcPr>
            <w:tcW w:w="980" w:type="dxa"/>
            <w:vAlign w:val="bottom"/>
            <w:gridSpan w:val="2"/>
            <w:vMerge w:val="restart"/>
          </w:tcPr>
          <w:p>
            <w:pPr>
              <w:jc w:val="right"/>
              <w:ind w:right="88"/>
              <w:spacing w:after="0"/>
              <w:rPr>
                <w:sz w:val="20"/>
                <w:szCs w:val="20"/>
                <w:color w:val="auto"/>
              </w:rPr>
            </w:pPr>
            <w:r>
              <w:rPr>
                <w:rFonts w:ascii="Arial" w:cs="Arial" w:eastAsia="Arial" w:hAnsi="Arial"/>
                <w:sz w:val="13"/>
                <w:szCs w:val="13"/>
                <w:color w:val="auto"/>
              </w:rPr>
              <w:t>— %</w:t>
            </w:r>
          </w:p>
        </w:tc>
        <w:tc>
          <w:tcPr>
            <w:tcW w:w="920" w:type="dxa"/>
            <w:vAlign w:val="bottom"/>
            <w:gridSpan w:val="2"/>
            <w:vMerge w:val="restart"/>
          </w:tcPr>
          <w:p>
            <w:pPr>
              <w:ind w:left="500"/>
              <w:spacing w:after="0"/>
              <w:rPr>
                <w:sz w:val="20"/>
                <w:szCs w:val="20"/>
                <w:color w:val="auto"/>
              </w:rPr>
            </w:pPr>
            <w:r>
              <w:rPr>
                <w:rFonts w:ascii="Arial" w:cs="Arial" w:eastAsia="Arial" w:hAnsi="Arial"/>
                <w:sz w:val="13"/>
                <w:szCs w:val="13"/>
                <w:color w:val="auto"/>
              </w:rPr>
              <w:t>— %</w:t>
            </w: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tcPr>
          <w:p>
            <w:pPr>
              <w:ind w:left="240"/>
              <w:spacing w:after="0"/>
              <w:rPr>
                <w:sz w:val="20"/>
                <w:szCs w:val="20"/>
                <w:color w:val="auto"/>
              </w:rPr>
            </w:pPr>
            <w:r>
              <w:rPr>
                <w:rFonts w:ascii="Arial" w:cs="Arial" w:eastAsia="Arial" w:hAnsi="Arial"/>
                <w:sz w:val="13"/>
                <w:szCs w:val="13"/>
                <w:color w:val="auto"/>
              </w:rPr>
              <w:t>units)</w:t>
            </w:r>
          </w:p>
        </w:tc>
        <w:tc>
          <w:tcPr>
            <w:tcW w:w="8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color w:val="auto"/>
              </w:rPr>
              <w:t>MA</w:t>
            </w: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740" w:type="dxa"/>
            <w:vAlign w:val="bottom"/>
            <w:gridSpan w:val="3"/>
          </w:tcPr>
          <w:p>
            <w:pPr>
              <w:ind w:left="220"/>
              <w:spacing w:after="0"/>
              <w:rPr>
                <w:sz w:val="20"/>
                <w:szCs w:val="20"/>
                <w:color w:val="auto"/>
              </w:rPr>
            </w:pPr>
            <w:r>
              <w:rPr>
                <w:rFonts w:ascii="Arial" w:cs="Arial" w:eastAsia="Arial" w:hAnsi="Arial"/>
                <w:sz w:val="13"/>
                <w:szCs w:val="13"/>
                <w:color w:val="auto"/>
              </w:rPr>
              <w:t>121</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gridSpan w:val="3"/>
          </w:tcPr>
          <w:p>
            <w:pPr>
              <w:ind w:left="360"/>
              <w:spacing w:after="0" w:line="135" w:lineRule="exact"/>
              <w:rPr>
                <w:sz w:val="20"/>
                <w:szCs w:val="20"/>
                <w:color w:val="auto"/>
              </w:rPr>
            </w:pPr>
            <w:r>
              <w:rPr>
                <w:rFonts w:ascii="Arial" w:cs="Arial" w:eastAsia="Arial" w:hAnsi="Arial"/>
                <w:sz w:val="13"/>
                <w:szCs w:val="13"/>
                <w:color w:val="auto"/>
              </w:rPr>
              <w:t>Broadway</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gridSpan w:val="3"/>
          </w:tcPr>
          <w:p>
            <w:pPr>
              <w:ind w:left="360"/>
              <w:spacing w:after="0" w:line="135" w:lineRule="exact"/>
              <w:rPr>
                <w:sz w:val="20"/>
                <w:szCs w:val="20"/>
                <w:color w:val="auto"/>
              </w:rPr>
            </w:pPr>
            <w:r>
              <w:rPr>
                <w:rFonts w:ascii="Arial" w:cs="Arial" w:eastAsia="Arial" w:hAnsi="Arial"/>
                <w:sz w:val="13"/>
                <w:szCs w:val="13"/>
                <w:color w:val="auto"/>
              </w:rPr>
              <w:t>Street -</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1,550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88"/>
              <w:spacing w:after="0"/>
              <w:rPr>
                <w:sz w:val="20"/>
                <w:szCs w:val="20"/>
                <w:color w:val="auto"/>
              </w:rPr>
            </w:pPr>
            <w:r>
              <w:rPr>
                <w:rFonts w:ascii="Arial" w:cs="Arial" w:eastAsia="Arial" w:hAnsi="Arial"/>
                <w:sz w:val="13"/>
                <w:szCs w:val="13"/>
                <w:color w:val="auto"/>
              </w:rPr>
              <w:t>— %</w:t>
            </w:r>
          </w:p>
        </w:tc>
        <w:tc>
          <w:tcPr>
            <w:tcW w:w="920" w:type="dxa"/>
            <w:vAlign w:val="bottom"/>
            <w:gridSpan w:val="2"/>
            <w:vMerge w:val="restart"/>
          </w:tcPr>
          <w:p>
            <w:pPr>
              <w:ind w:left="500"/>
              <w:spacing w:after="0"/>
              <w:rPr>
                <w:sz w:val="20"/>
                <w:szCs w:val="20"/>
                <w:color w:val="auto"/>
              </w:rPr>
            </w:pPr>
            <w:r>
              <w:rPr>
                <w:rFonts w:ascii="Arial" w:cs="Arial" w:eastAsia="Arial" w:hAnsi="Arial"/>
                <w:sz w:val="13"/>
                <w:szCs w:val="13"/>
                <w:color w:val="auto"/>
              </w:rPr>
              <w:t>— %</w:t>
            </w: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tcPr>
          <w:p>
            <w:pPr>
              <w:ind w:left="360"/>
              <w:spacing w:after="0"/>
              <w:rPr>
                <w:sz w:val="20"/>
                <w:szCs w:val="20"/>
                <w:color w:val="auto"/>
              </w:rPr>
            </w:pPr>
            <w:r>
              <w:rPr>
                <w:rFonts w:ascii="Arial" w:cs="Arial" w:eastAsia="Arial" w:hAnsi="Arial"/>
                <w:sz w:val="13"/>
                <w:szCs w:val="13"/>
                <w:color w:val="auto"/>
              </w:rPr>
              <w:t>Retail</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3"/>
                <w:szCs w:val="13"/>
                <w:color w:val="auto"/>
              </w:rPr>
              <w:t>290 Coles</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Street (670</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units)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3"/>
                <w:szCs w:val="13"/>
                <w:color w:val="auto"/>
              </w:rPr>
              <w:t>Jersey City,</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40" w:type="dxa"/>
            <w:vAlign w:val="bottom"/>
            <w:gridSpan w:val="4"/>
          </w:tcPr>
          <w:p>
            <w:pPr>
              <w:ind w:left="260"/>
              <w:spacing w:after="0" w:line="135" w:lineRule="exact"/>
              <w:rPr>
                <w:sz w:val="20"/>
                <w:szCs w:val="20"/>
                <w:color w:val="auto"/>
              </w:rPr>
            </w:pPr>
            <w:r>
              <w:rPr>
                <w:rFonts w:ascii="Arial" w:cs="Arial" w:eastAsia="Arial" w:hAnsi="Arial"/>
                <w:sz w:val="13"/>
                <w:szCs w:val="13"/>
                <w:color w:val="auto"/>
              </w:rPr>
              <w:t>(19.46%</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Q1 2028</w:t>
            </w: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3"/>
                <w:szCs w:val="13"/>
                <w:color w:val="auto"/>
              </w:rPr>
              <w:t>Q3 2029</w:t>
            </w:r>
          </w:p>
        </w:tc>
        <w:tc>
          <w:tcPr>
            <w:tcW w:w="880" w:type="dxa"/>
            <w:vAlign w:val="bottom"/>
            <w:gridSpan w:val="2"/>
            <w:vMerge w:val="continue"/>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693,000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46,949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88,700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56,422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21,918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7,247</w:t>
            </w:r>
          </w:p>
        </w:tc>
        <w:tc>
          <w:tcPr>
            <w:tcW w:w="100" w:type="dxa"/>
            <w:vAlign w:val="bottom"/>
          </w:tcPr>
          <w:p>
            <w:pPr>
              <w:spacing w:after="0"/>
              <w:rPr>
                <w:sz w:val="11"/>
                <w:szCs w:val="11"/>
                <w:color w:val="auto"/>
              </w:rPr>
            </w:pPr>
          </w:p>
        </w:tc>
        <w:tc>
          <w:tcPr>
            <w:tcW w:w="980" w:type="dxa"/>
            <w:vAlign w:val="bottom"/>
            <w:gridSpan w:val="2"/>
            <w:vMerge w:val="restart"/>
          </w:tcPr>
          <w:p>
            <w:pPr>
              <w:jc w:val="right"/>
              <w:ind w:right="88"/>
              <w:spacing w:after="0"/>
              <w:rPr>
                <w:sz w:val="20"/>
                <w:szCs w:val="20"/>
                <w:color w:val="auto"/>
              </w:rPr>
            </w:pPr>
            <w:r>
              <w:rPr>
                <w:rFonts w:ascii="Arial" w:cs="Arial" w:eastAsia="Arial" w:hAnsi="Arial"/>
                <w:sz w:val="13"/>
                <w:szCs w:val="13"/>
                <w:color w:val="auto"/>
              </w:rPr>
              <w:t>— %</w:t>
            </w:r>
          </w:p>
        </w:tc>
        <w:tc>
          <w:tcPr>
            <w:tcW w:w="920" w:type="dxa"/>
            <w:vAlign w:val="bottom"/>
            <w:gridSpan w:val="2"/>
            <w:vMerge w:val="restart"/>
          </w:tcPr>
          <w:p>
            <w:pPr>
              <w:ind w:left="500"/>
              <w:spacing w:after="0"/>
              <w:rPr>
                <w:sz w:val="20"/>
                <w:szCs w:val="20"/>
                <w:color w:val="auto"/>
              </w:rPr>
            </w:pPr>
            <w:r>
              <w:rPr>
                <w:rFonts w:ascii="Arial" w:cs="Arial" w:eastAsia="Arial" w:hAnsi="Arial"/>
                <w:sz w:val="13"/>
                <w:szCs w:val="13"/>
                <w:color w:val="auto"/>
              </w:rPr>
              <w:t>— %</w:t>
            </w: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20" w:type="dxa"/>
            <w:vAlign w:val="bottom"/>
            <w:gridSpan w:val="3"/>
          </w:tcPr>
          <w:p>
            <w:pPr>
              <w:ind w:left="240"/>
              <w:spacing w:after="0"/>
              <w:rPr>
                <w:sz w:val="20"/>
                <w:szCs w:val="20"/>
                <w:color w:val="auto"/>
              </w:rPr>
            </w:pPr>
            <w:r>
              <w:rPr>
                <w:rFonts w:ascii="Arial" w:cs="Arial" w:eastAsia="Arial" w:hAnsi="Arial"/>
                <w:sz w:val="13"/>
                <w:szCs w:val="13"/>
                <w:color w:val="auto"/>
              </w:rPr>
              <w:t xml:space="preserve">ownership) </w:t>
            </w:r>
            <w:r>
              <w:rPr>
                <w:rFonts w:ascii="Arial" w:cs="Arial" w:eastAsia="Arial" w:hAnsi="Arial"/>
                <w:sz w:val="17"/>
                <w:szCs w:val="17"/>
                <w:color w:val="auto"/>
                <w:vertAlign w:val="superscript"/>
              </w:rPr>
              <w:t>8</w:t>
            </w:r>
          </w:p>
        </w:tc>
        <w:tc>
          <w:tcPr>
            <w:tcW w:w="80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color w:val="auto"/>
              </w:rPr>
              <w:t>NJ</w:t>
            </w: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gridSpan w:val="3"/>
          </w:tcPr>
          <w:p>
            <w:pPr>
              <w:ind w:left="200"/>
              <w:spacing w:after="0" w:line="135" w:lineRule="exact"/>
              <w:rPr>
                <w:sz w:val="20"/>
                <w:szCs w:val="20"/>
                <w:color w:val="auto"/>
              </w:rPr>
            </w:pPr>
            <w:r>
              <w:rPr>
                <w:rFonts w:ascii="Arial" w:cs="Arial" w:eastAsia="Arial" w:hAnsi="Arial"/>
                <w:sz w:val="13"/>
                <w:szCs w:val="13"/>
                <w:color w:val="auto"/>
              </w:rPr>
              <w:t>290 Coles</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gridSpan w:val="3"/>
          </w:tcPr>
          <w:p>
            <w:pPr>
              <w:ind w:left="360"/>
              <w:spacing w:after="0" w:line="135" w:lineRule="exact"/>
              <w:rPr>
                <w:sz w:val="20"/>
                <w:szCs w:val="20"/>
                <w:color w:val="auto"/>
              </w:rPr>
            </w:pPr>
            <w:r>
              <w:rPr>
                <w:rFonts w:ascii="Arial" w:cs="Arial" w:eastAsia="Arial" w:hAnsi="Arial"/>
                <w:sz w:val="13"/>
                <w:szCs w:val="13"/>
                <w:color w:val="auto"/>
              </w:rPr>
              <w:t>Street -</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13,000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vMerge w:val="restart"/>
          </w:tcPr>
          <w:p>
            <w:pPr>
              <w:jc w:val="right"/>
              <w:ind w:right="88"/>
              <w:spacing w:after="0"/>
              <w:rPr>
                <w:sz w:val="20"/>
                <w:szCs w:val="20"/>
                <w:color w:val="auto"/>
              </w:rPr>
            </w:pPr>
            <w:r>
              <w:rPr>
                <w:rFonts w:ascii="Arial" w:cs="Arial" w:eastAsia="Arial" w:hAnsi="Arial"/>
                <w:sz w:val="13"/>
                <w:szCs w:val="13"/>
                <w:color w:val="auto"/>
              </w:rPr>
              <w:t>— %</w:t>
            </w:r>
          </w:p>
        </w:tc>
        <w:tc>
          <w:tcPr>
            <w:tcW w:w="920" w:type="dxa"/>
            <w:vAlign w:val="bottom"/>
            <w:gridSpan w:val="2"/>
            <w:vMerge w:val="restart"/>
          </w:tcPr>
          <w:p>
            <w:pPr>
              <w:ind w:left="500"/>
              <w:spacing w:after="0"/>
              <w:rPr>
                <w:sz w:val="20"/>
                <w:szCs w:val="20"/>
                <w:color w:val="auto"/>
              </w:rPr>
            </w:pPr>
            <w:r>
              <w:rPr>
                <w:rFonts w:ascii="Arial" w:cs="Arial" w:eastAsia="Arial" w:hAnsi="Arial"/>
                <w:sz w:val="13"/>
                <w:szCs w:val="13"/>
                <w:color w:val="auto"/>
              </w:rPr>
              <w:t>— %</w:t>
            </w:r>
          </w:p>
        </w:tc>
        <w:tc>
          <w:tcPr>
            <w:tcW w:w="720" w:type="dxa"/>
            <w:vAlign w:val="bottom"/>
            <w:gridSpan w:val="2"/>
            <w:vMerge w:val="restart"/>
          </w:tcPr>
          <w:p>
            <w:pPr>
              <w:ind w:left="4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gridSpan w:val="3"/>
          </w:tcPr>
          <w:p>
            <w:pPr>
              <w:ind w:left="360"/>
              <w:spacing w:after="0"/>
              <w:rPr>
                <w:sz w:val="20"/>
                <w:szCs w:val="20"/>
                <w:color w:val="auto"/>
              </w:rPr>
            </w:pPr>
            <w:r>
              <w:rPr>
                <w:rFonts w:ascii="Arial" w:cs="Arial" w:eastAsia="Arial" w:hAnsi="Arial"/>
                <w:sz w:val="13"/>
                <w:szCs w:val="13"/>
                <w:color w:val="auto"/>
              </w:rPr>
              <w:t>Retail</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20" w:type="dxa"/>
            <w:vAlign w:val="bottom"/>
            <w:gridSpan w:val="3"/>
          </w:tcPr>
          <w:p>
            <w:pPr>
              <w:ind w:left="80"/>
              <w:spacing w:after="0"/>
              <w:rPr>
                <w:sz w:val="20"/>
                <w:szCs w:val="20"/>
                <w:color w:val="auto"/>
              </w:rPr>
            </w:pPr>
            <w:r>
              <w:rPr>
                <w:rFonts w:ascii="Arial" w:cs="Arial" w:eastAsia="Arial" w:hAnsi="Arial"/>
                <w:sz w:val="13"/>
                <w:szCs w:val="13"/>
                <w:color w:val="auto"/>
              </w:rPr>
              <w:t>Worldgate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Drive (359</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3"/>
                <w:szCs w:val="13"/>
                <w:color w:val="auto"/>
              </w:rPr>
              <w:t>Herndon,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20" w:type="dxa"/>
            <w:vAlign w:val="bottom"/>
            <w:gridSpan w:val="3"/>
          </w:tcPr>
          <w:p>
            <w:pPr>
              <w:ind w:left="240"/>
              <w:spacing w:after="0" w:line="135" w:lineRule="exact"/>
              <w:rPr>
                <w:sz w:val="20"/>
                <w:szCs w:val="20"/>
                <w:color w:val="auto"/>
              </w:rPr>
            </w:pPr>
            <w:r>
              <w:rPr>
                <w:rFonts w:ascii="Arial" w:cs="Arial" w:eastAsia="Arial" w:hAnsi="Arial"/>
                <w:sz w:val="13"/>
                <w:szCs w:val="13"/>
                <w:color w:val="auto"/>
              </w:rPr>
              <w:t>units) (20%</w:t>
            </w:r>
          </w:p>
        </w:tc>
        <w:tc>
          <w:tcPr>
            <w:tcW w:w="80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rPr>
              <w:t>Q3 2028</w:t>
            </w: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3"/>
                <w:szCs w:val="13"/>
                <w:color w:val="auto"/>
              </w:rPr>
              <w:t>Q2 2030</w:t>
            </w:r>
          </w:p>
        </w:tc>
        <w:tc>
          <w:tcPr>
            <w:tcW w:w="880" w:type="dxa"/>
            <w:vAlign w:val="bottom"/>
            <w:gridSpan w:val="2"/>
            <w:vMerge w:val="continue"/>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347,000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4,576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26,400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13,639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8,185</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140" w:type="dxa"/>
            <w:vAlign w:val="bottom"/>
            <w:vMerge w:val="restart"/>
          </w:tcPr>
          <w:p>
            <w:pPr>
              <w:spacing w:after="0"/>
              <w:rPr>
                <w:sz w:val="11"/>
                <w:szCs w:val="11"/>
                <w:color w:val="auto"/>
              </w:rPr>
            </w:pPr>
          </w:p>
        </w:tc>
        <w:tc>
          <w:tcPr>
            <w:tcW w:w="820" w:type="dxa"/>
            <w:vAlign w:val="bottom"/>
            <w:vMerge w:val="restart"/>
          </w:tcPr>
          <w:p>
            <w:pPr>
              <w:ind w:left="500"/>
              <w:spacing w:after="0"/>
              <w:rPr>
                <w:sz w:val="20"/>
                <w:szCs w:val="20"/>
                <w:color w:val="auto"/>
              </w:rPr>
            </w:pPr>
            <w:r>
              <w:rPr>
                <w:rFonts w:ascii="Arial" w:cs="Arial" w:eastAsia="Arial" w:hAnsi="Arial"/>
                <w:sz w:val="13"/>
                <w:szCs w:val="13"/>
                <w:color w:val="auto"/>
              </w:rPr>
              <w:t>— %</w:t>
            </w:r>
          </w:p>
        </w:tc>
        <w:tc>
          <w:tcPr>
            <w:tcW w:w="100" w:type="dxa"/>
            <w:vAlign w:val="bottom"/>
            <w:vMerge w:val="restart"/>
          </w:tcPr>
          <w:p>
            <w:pPr>
              <w:spacing w:after="0"/>
              <w:rPr>
                <w:sz w:val="11"/>
                <w:szCs w:val="11"/>
                <w:color w:val="auto"/>
              </w:rPr>
            </w:pPr>
          </w:p>
        </w:tc>
        <w:tc>
          <w:tcPr>
            <w:tcW w:w="700" w:type="dxa"/>
            <w:vAlign w:val="bottom"/>
            <w:vMerge w:val="restart"/>
          </w:tcPr>
          <w:p>
            <w:pPr>
              <w:ind w:left="460"/>
              <w:spacing w:after="0"/>
              <w:rPr>
                <w:sz w:val="20"/>
                <w:szCs w:val="20"/>
                <w:color w:val="auto"/>
              </w:rPr>
            </w:pPr>
            <w:r>
              <w:rPr>
                <w:rFonts w:ascii="Arial" w:cs="Arial" w:eastAsia="Arial" w:hAnsi="Arial"/>
                <w:sz w:val="13"/>
                <w:szCs w:val="13"/>
                <w:color w:val="auto"/>
              </w:rPr>
              <w:t>N/A</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20" w:type="dxa"/>
            <w:vAlign w:val="bottom"/>
            <w:gridSpan w:val="3"/>
          </w:tcPr>
          <w:p>
            <w:pPr>
              <w:ind w:left="240"/>
              <w:spacing w:after="0"/>
              <w:rPr>
                <w:sz w:val="20"/>
                <w:szCs w:val="20"/>
                <w:color w:val="auto"/>
              </w:rPr>
            </w:pPr>
            <w:r>
              <w:rPr>
                <w:rFonts w:ascii="Arial" w:cs="Arial" w:eastAsia="Arial" w:hAnsi="Arial"/>
                <w:sz w:val="13"/>
                <w:szCs w:val="13"/>
                <w:color w:val="auto"/>
              </w:rPr>
              <w:t>ownership)</w:t>
            </w:r>
          </w:p>
        </w:tc>
        <w:tc>
          <w:tcPr>
            <w:tcW w:w="800" w:type="dxa"/>
            <w:vAlign w:val="bottom"/>
            <w:gridSpan w:val="2"/>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3"/>
                <w:szCs w:val="13"/>
                <w:color w:val="auto"/>
              </w:rPr>
              <w:t>VA</w:t>
            </w:r>
          </w:p>
        </w:tc>
        <w:tc>
          <w:tcPr>
            <w:tcW w:w="6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300" w:type="dxa"/>
            <w:vAlign w:val="bottom"/>
            <w:gridSpan w:val="6"/>
          </w:tcPr>
          <w:p>
            <w:pPr>
              <w:ind w:left="40"/>
              <w:spacing w:after="0" w:line="135" w:lineRule="exact"/>
              <w:rPr>
                <w:sz w:val="20"/>
                <w:szCs w:val="20"/>
                <w:color w:val="auto"/>
              </w:rPr>
            </w:pPr>
            <w:r>
              <w:rPr>
                <w:rFonts w:ascii="Arial" w:cs="Arial" w:eastAsia="Arial" w:hAnsi="Arial"/>
                <w:sz w:val="13"/>
                <w:szCs w:val="13"/>
                <w:b w:val="1"/>
                <w:bCs w:val="1"/>
                <w:color w:val="auto"/>
              </w:rPr>
              <w:t>Total Residential Properties under</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restart"/>
          </w:tcPr>
          <w:p>
            <w:pPr>
              <w:jc w:val="center"/>
              <w:spacing w:after="0"/>
              <w:rPr>
                <w:sz w:val="20"/>
                <w:szCs w:val="20"/>
                <w:color w:val="auto"/>
              </w:rPr>
            </w:pPr>
            <w:r>
              <w:rPr>
                <w:rFonts w:ascii="Arial" w:cs="Arial" w:eastAsia="Arial" w:hAnsi="Arial"/>
                <w:sz w:val="13"/>
                <w:szCs w:val="13"/>
                <w:color w:val="auto"/>
              </w:rPr>
              <w:t>1,893,650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485,945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748,800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89,808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26,387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202,025</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 %</w:t>
            </w:r>
          </w:p>
        </w:tc>
        <w:tc>
          <w:tcPr>
            <w:tcW w:w="140" w:type="dxa"/>
            <w:vAlign w:val="bottom"/>
            <w:vMerge w:val="restart"/>
          </w:tcPr>
          <w:p>
            <w:pPr>
              <w:spacing w:after="0"/>
              <w:rPr>
                <w:sz w:val="11"/>
                <w:szCs w:val="11"/>
                <w:color w:val="auto"/>
              </w:rPr>
            </w:pPr>
          </w:p>
        </w:tc>
        <w:tc>
          <w:tcPr>
            <w:tcW w:w="820" w:type="dxa"/>
            <w:vAlign w:val="bottom"/>
            <w:vMerge w:val="restart"/>
          </w:tcPr>
          <w:p>
            <w:pPr>
              <w:ind w:left="500"/>
              <w:spacing w:after="0"/>
              <w:rPr>
                <w:sz w:val="20"/>
                <w:szCs w:val="20"/>
                <w:color w:val="auto"/>
              </w:rPr>
            </w:pPr>
            <w:r>
              <w:rPr>
                <w:rFonts w:ascii="Arial" w:cs="Arial" w:eastAsia="Arial" w:hAnsi="Arial"/>
                <w:sz w:val="13"/>
                <w:szCs w:val="13"/>
                <w:color w:val="auto"/>
              </w:rPr>
              <w:t>— %</w:t>
            </w:r>
          </w:p>
        </w:tc>
        <w:tc>
          <w:tcPr>
            <w:tcW w:w="100" w:type="dxa"/>
            <w:vAlign w:val="bottom"/>
            <w:vMerge w:val="restart"/>
          </w:tcPr>
          <w:p>
            <w:pPr>
              <w:spacing w:after="0"/>
              <w:rPr>
                <w:sz w:val="11"/>
                <w:szCs w:val="11"/>
                <w:color w:val="auto"/>
              </w:rPr>
            </w:pPr>
          </w:p>
        </w:tc>
        <w:tc>
          <w:tcPr>
            <w:tcW w:w="700" w:type="dxa"/>
            <w:vAlign w:val="bottom"/>
            <w:vMerge w:val="restart"/>
          </w:tcPr>
          <w:p>
            <w:pPr>
              <w:ind w:left="460"/>
              <w:spacing w:after="0"/>
              <w:rPr>
                <w:sz w:val="20"/>
                <w:szCs w:val="20"/>
                <w:color w:val="auto"/>
              </w:rPr>
            </w:pPr>
            <w:r>
              <w:rPr>
                <w:rFonts w:ascii="Arial" w:cs="Arial" w:eastAsia="Arial" w:hAnsi="Arial"/>
                <w:sz w:val="13"/>
                <w:szCs w:val="13"/>
                <w:color w:val="auto"/>
              </w:rPr>
              <w:t>N/A</w:t>
            </w: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40" w:type="dxa"/>
            <w:vAlign w:val="bottom"/>
            <w:gridSpan w:val="4"/>
          </w:tcPr>
          <w:p>
            <w:pPr>
              <w:ind w:left="40"/>
              <w:spacing w:after="0"/>
              <w:rPr>
                <w:sz w:val="20"/>
                <w:szCs w:val="20"/>
                <w:color w:val="auto"/>
              </w:rPr>
            </w:pPr>
            <w:r>
              <w:rPr>
                <w:rFonts w:ascii="Arial" w:cs="Arial" w:eastAsia="Arial" w:hAnsi="Arial"/>
                <w:sz w:val="13"/>
                <w:szCs w:val="13"/>
                <w:b w:val="1"/>
                <w:bCs w:val="1"/>
                <w:color w:val="auto"/>
              </w:rPr>
              <w:t>Construction</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680" w:type="dxa"/>
            <w:vAlign w:val="bottom"/>
            <w:gridSpan w:val="7"/>
          </w:tcPr>
          <w:p>
            <w:pPr>
              <w:spacing w:after="0"/>
              <w:rPr>
                <w:sz w:val="20"/>
                <w:szCs w:val="20"/>
                <w:color w:val="auto"/>
              </w:rPr>
            </w:pPr>
            <w:r>
              <w:rPr>
                <w:rFonts w:ascii="Arial" w:cs="Arial" w:eastAsia="Arial" w:hAnsi="Arial"/>
                <w:sz w:val="13"/>
                <w:szCs w:val="13"/>
                <w:b w:val="1"/>
                <w:bCs w:val="1"/>
                <w:color w:val="auto"/>
              </w:rPr>
              <w:t>Total Properties Under Construction</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3"/>
                <w:szCs w:val="13"/>
                <w:color w:val="auto"/>
              </w:rPr>
              <w:t>3,506,650</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1,124,647</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2,935,400</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1,163,208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98,021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748,157</w:t>
            </w:r>
          </w:p>
        </w:tc>
        <w:tc>
          <w:tcPr>
            <w:tcW w:w="100" w:type="dxa"/>
            <w:vAlign w:val="bottom"/>
          </w:tcPr>
          <w:p>
            <w:pPr>
              <w:spacing w:after="0"/>
              <w:rPr>
                <w:sz w:val="17"/>
                <w:szCs w:val="17"/>
                <w:color w:val="auto"/>
              </w:rPr>
            </w:pPr>
          </w:p>
        </w:tc>
        <w:tc>
          <w:tcPr>
            <w:tcW w:w="980" w:type="dxa"/>
            <w:vAlign w:val="bottom"/>
            <w:gridSpan w:val="2"/>
          </w:tcPr>
          <w:p>
            <w:pPr>
              <w:jc w:val="right"/>
              <w:ind w:right="8"/>
              <w:spacing w:after="0"/>
              <w:rPr>
                <w:sz w:val="20"/>
                <w:szCs w:val="20"/>
                <w:color w:val="auto"/>
              </w:rPr>
            </w:pPr>
            <w:r>
              <w:rPr>
                <w:rFonts w:ascii="Arial" w:cs="Arial" w:eastAsia="Arial" w:hAnsi="Arial"/>
                <w:sz w:val="13"/>
                <w:szCs w:val="13"/>
                <w:color w:val="auto"/>
              </w:rPr>
              <w:t xml:space="preserve">70 % </w:t>
            </w:r>
            <w:r>
              <w:rPr>
                <w:rFonts w:ascii="Arial" w:cs="Arial" w:eastAsia="Arial" w:hAnsi="Arial"/>
                <w:sz w:val="17"/>
                <w:szCs w:val="17"/>
                <w:color w:val="auto"/>
                <w:vertAlign w:val="superscript"/>
              </w:rPr>
              <w:t>9</w:t>
            </w:r>
          </w:p>
        </w:tc>
        <w:tc>
          <w:tcPr>
            <w:tcW w:w="92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720" w:type="dxa"/>
            <w:vAlign w:val="bottom"/>
            <w:gridSpan w:val="2"/>
          </w:tcPr>
          <w:p>
            <w:pPr>
              <w:ind w:left="460"/>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-6000115</wp:posOffset>
            </wp:positionV>
            <wp:extent cx="257175"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PROJECTS FULLY PLACED IN-SERVICE DURING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234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pacing w:after="0" w:line="5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1700" w:type="dxa"/>
            <w:vAlign w:val="bottom"/>
            <w:gridSpan w:val="4"/>
          </w:tcPr>
          <w:p>
            <w:pPr>
              <w:ind w:left="280"/>
              <w:spacing w:after="0"/>
              <w:rPr>
                <w:sz w:val="20"/>
                <w:szCs w:val="20"/>
                <w:color w:val="auto"/>
              </w:rPr>
            </w:pPr>
            <w:r>
              <w:rPr>
                <w:rFonts w:ascii="Arial" w:cs="Arial" w:eastAsia="Arial" w:hAnsi="Arial"/>
                <w:sz w:val="13"/>
                <w:szCs w:val="13"/>
                <w:b w:val="1"/>
                <w:bCs w:val="1"/>
                <w:color w:val="auto"/>
              </w:rPr>
              <w:t>Actual/Estimated</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3"/>
          </w:tcPr>
          <w:p>
            <w:pPr>
              <w:ind w:left="80"/>
              <w:spacing w:after="0"/>
              <w:rPr>
                <w:sz w:val="20"/>
                <w:szCs w:val="20"/>
                <w:color w:val="auto"/>
              </w:rPr>
            </w:pPr>
            <w:r>
              <w:rPr>
                <w:rFonts w:ascii="Arial" w:cs="Arial" w:eastAsia="Arial" w:hAnsi="Arial"/>
                <w:sz w:val="13"/>
                <w:szCs w:val="13"/>
                <w:b w:val="1"/>
                <w:bCs w:val="1"/>
                <w:color w:val="auto"/>
              </w:rPr>
              <w:t>BXP’s share</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14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8"/>
              <w:spacing w:after="0" w:line="131" w:lineRule="exact"/>
              <w:rPr>
                <w:sz w:val="20"/>
                <w:szCs w:val="20"/>
                <w:color w:val="auto"/>
              </w:rPr>
            </w:pPr>
            <w:r>
              <w:rPr>
                <w:rFonts w:ascii="Arial" w:cs="Arial" w:eastAsia="Arial" w:hAnsi="Arial"/>
                <w:sz w:val="13"/>
                <w:szCs w:val="13"/>
                <w:b w:val="1"/>
                <w:bCs w:val="1"/>
                <w:color w:val="auto"/>
                <w:w w:val="95"/>
              </w:rPr>
              <w:t>Net</w:t>
            </w:r>
          </w:p>
        </w:tc>
        <w:tc>
          <w:tcPr>
            <w:tcW w:w="0" w:type="dxa"/>
            <w:vAlign w:val="bottom"/>
          </w:tcPr>
          <w:p>
            <w:pPr>
              <w:spacing w:after="0"/>
              <w:rPr>
                <w:sz w:val="1"/>
                <w:szCs w:val="1"/>
                <w:color w:val="auto"/>
              </w:rPr>
            </w:pPr>
          </w:p>
        </w:tc>
      </w:tr>
      <w:tr>
        <w:trPr>
          <w:trHeight w:val="166"/>
        </w:trPr>
        <w:tc>
          <w:tcPr>
            <w:tcW w:w="1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6"/>
              </w:rPr>
              <w:t>Estimated</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Estimated</w:t>
            </w:r>
          </w:p>
        </w:tc>
        <w:tc>
          <w:tcPr>
            <w:tcW w:w="980" w:type="dxa"/>
            <w:vAlign w:val="bottom"/>
            <w:gridSpan w:val="2"/>
          </w:tcPr>
          <w:p>
            <w:pPr>
              <w:ind w:left="80"/>
              <w:spacing w:after="0"/>
              <w:rPr>
                <w:sz w:val="20"/>
                <w:szCs w:val="20"/>
                <w:color w:val="auto"/>
              </w:rPr>
            </w:pPr>
            <w:r>
              <w:rPr>
                <w:rFonts w:ascii="Arial" w:cs="Arial" w:eastAsia="Arial" w:hAnsi="Arial"/>
                <w:sz w:val="13"/>
                <w:szCs w:val="13"/>
                <w:b w:val="1"/>
                <w:bCs w:val="1"/>
                <w:color w:val="auto"/>
              </w:rPr>
              <w:t>Percentage</w:t>
            </w:r>
          </w:p>
        </w:tc>
        <w:tc>
          <w:tcPr>
            <w:tcW w:w="100" w:type="dxa"/>
            <w:vAlign w:val="bottom"/>
          </w:tcPr>
          <w:p>
            <w:pPr>
              <w:spacing w:after="0"/>
              <w:rPr>
                <w:sz w:val="14"/>
                <w:szCs w:val="14"/>
                <w:color w:val="auto"/>
              </w:rPr>
            </w:pPr>
          </w:p>
        </w:tc>
        <w:tc>
          <w:tcPr>
            <w:tcW w:w="740" w:type="dxa"/>
            <w:vAlign w:val="bottom"/>
          </w:tcPr>
          <w:p>
            <w:pPr>
              <w:jc w:val="center"/>
              <w:ind w:right="38"/>
              <w:spacing w:after="0"/>
              <w:rPr>
                <w:sz w:val="20"/>
                <w:szCs w:val="20"/>
                <w:color w:val="auto"/>
              </w:rPr>
            </w:pPr>
            <w:r>
              <w:rPr>
                <w:rFonts w:ascii="Arial" w:cs="Arial" w:eastAsia="Arial" w:hAnsi="Arial"/>
                <w:sz w:val="13"/>
                <w:szCs w:val="13"/>
                <w:b w:val="1"/>
                <w:bCs w:val="1"/>
                <w:color w:val="auto"/>
                <w:w w:val="97"/>
              </w:rPr>
              <w:t>Operating</w:t>
            </w:r>
          </w:p>
        </w:tc>
        <w:tc>
          <w:tcPr>
            <w:tcW w:w="0" w:type="dxa"/>
            <w:vAlign w:val="bottom"/>
          </w:tcPr>
          <w:p>
            <w:pPr>
              <w:spacing w:after="0"/>
              <w:rPr>
                <w:sz w:val="1"/>
                <w:szCs w:val="1"/>
                <w:color w:val="auto"/>
              </w:rPr>
            </w:pPr>
          </w:p>
        </w:tc>
      </w:tr>
      <w:tr>
        <w:trPr>
          <w:trHeight w:val="81"/>
        </w:trPr>
        <w:tc>
          <w:tcPr>
            <w:tcW w:w="1480" w:type="dxa"/>
            <w:vAlign w:val="bottom"/>
          </w:tcPr>
          <w:p>
            <w:pPr>
              <w:spacing w:after="0"/>
              <w:rPr>
                <w:sz w:val="7"/>
                <w:szCs w:val="7"/>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9"/>
              </w:rPr>
              <w:t>Initial</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6"/>
              </w:rPr>
              <w:t>Stabilization</w:t>
            </w: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Square</w:t>
            </w:r>
          </w:p>
        </w:tc>
        <w:tc>
          <w:tcPr>
            <w:tcW w:w="840" w:type="dxa"/>
            <w:vAlign w:val="bottom"/>
            <w:gridSpan w:val="4"/>
            <w:vMerge w:val="restart"/>
          </w:tcPr>
          <w:p>
            <w:pPr>
              <w:ind w:left="20"/>
              <w:spacing w:after="0"/>
              <w:rPr>
                <w:sz w:val="20"/>
                <w:szCs w:val="20"/>
                <w:color w:val="auto"/>
              </w:rPr>
            </w:pPr>
            <w:r>
              <w:rPr>
                <w:rFonts w:ascii="Arial" w:cs="Arial" w:eastAsia="Arial" w:hAnsi="Arial"/>
                <w:sz w:val="13"/>
                <w:szCs w:val="13"/>
                <w:b w:val="1"/>
                <w:bCs w:val="1"/>
                <w:color w:val="auto"/>
              </w:rPr>
              <w:t>Investment</w:t>
            </w:r>
          </w:p>
        </w:tc>
        <w:tc>
          <w:tcPr>
            <w:tcW w:w="160" w:type="dxa"/>
            <w:vAlign w:val="bottom"/>
          </w:tcPr>
          <w:p>
            <w:pPr>
              <w:spacing w:after="0"/>
              <w:rPr>
                <w:sz w:val="7"/>
                <w:szCs w:val="7"/>
                <w:color w:val="auto"/>
              </w:rPr>
            </w:pPr>
          </w:p>
        </w:tc>
        <w:tc>
          <w:tcPr>
            <w:tcW w:w="72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9"/>
              </w:rPr>
              <w:t>Total</w:t>
            </w:r>
          </w:p>
        </w:tc>
        <w:tc>
          <w:tcPr>
            <w:tcW w:w="16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40" w:type="dxa"/>
            <w:vAlign w:val="bottom"/>
            <w:gridSpan w:val="3"/>
            <w:vMerge w:val="restart"/>
          </w:tcPr>
          <w:p>
            <w:pPr>
              <w:jc w:val="center"/>
              <w:ind w:right="160"/>
              <w:spacing w:after="0"/>
              <w:rPr>
                <w:sz w:val="20"/>
                <w:szCs w:val="20"/>
                <w:color w:val="auto"/>
              </w:rPr>
            </w:pPr>
            <w:r>
              <w:rPr>
                <w:rFonts w:ascii="Arial" w:cs="Arial" w:eastAsia="Arial" w:hAnsi="Arial"/>
                <w:sz w:val="13"/>
                <w:szCs w:val="13"/>
                <w:b w:val="1"/>
                <w:bCs w:val="1"/>
                <w:color w:val="auto"/>
                <w:w w:val="95"/>
              </w:rPr>
              <w:t>Future Equity</w:t>
            </w:r>
          </w:p>
        </w:tc>
        <w:tc>
          <w:tcPr>
            <w:tcW w:w="8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jc w:val="center"/>
              <w:ind w:right="38"/>
              <w:spacing w:after="0" w:line="81" w:lineRule="exact"/>
              <w:rPr>
                <w:sz w:val="20"/>
                <w:szCs w:val="20"/>
                <w:color w:val="auto"/>
              </w:rPr>
            </w:pPr>
            <w:r>
              <w:rPr>
                <w:rFonts w:ascii="Arial" w:cs="Arial" w:eastAsia="Arial" w:hAnsi="Arial"/>
                <w:sz w:val="9"/>
                <w:szCs w:val="9"/>
                <w:b w:val="1"/>
                <w:bCs w:val="1"/>
                <w:color w:val="auto"/>
              </w:rPr>
              <w:t>Income</w:t>
            </w: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4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3"/>
                <w:szCs w:val="13"/>
                <w:b w:val="1"/>
                <w:bCs w:val="1"/>
                <w:color w:val="auto"/>
                <w:w w:val="98"/>
              </w:rPr>
              <w:t>Drawn at</w:t>
            </w:r>
          </w:p>
        </w:tc>
        <w:tc>
          <w:tcPr>
            <w:tcW w:w="1040" w:type="dxa"/>
            <w:vAlign w:val="bottom"/>
            <w:gridSpan w:val="3"/>
            <w:vMerge w:val="continue"/>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center"/>
              <w:ind w:right="18"/>
              <w:spacing w:after="0" w:line="122" w:lineRule="exact"/>
              <w:rPr>
                <w:sz w:val="20"/>
                <w:szCs w:val="20"/>
                <w:color w:val="auto"/>
              </w:rPr>
            </w:pPr>
            <w:r>
              <w:rPr>
                <w:rFonts w:ascii="Arial" w:cs="Arial" w:eastAsia="Arial" w:hAnsi="Arial"/>
                <w:sz w:val="11"/>
                <w:szCs w:val="11"/>
                <w:b w:val="1"/>
                <w:bCs w:val="1"/>
                <w:color w:val="auto"/>
              </w:rPr>
              <w:t xml:space="preserve">(Loss) </w:t>
            </w:r>
            <w:r>
              <w:rPr>
                <w:rFonts w:ascii="Arial" w:cs="Arial" w:eastAsia="Arial" w:hAnsi="Arial"/>
                <w:sz w:val="14"/>
                <w:szCs w:val="14"/>
                <w:b w:val="1"/>
                <w:bCs w:val="1"/>
                <w:color w:val="auto"/>
                <w:vertAlign w:val="superscript"/>
              </w:rPr>
              <w:t>5</w:t>
            </w:r>
          </w:p>
        </w:tc>
        <w:tc>
          <w:tcPr>
            <w:tcW w:w="0" w:type="dxa"/>
            <w:vAlign w:val="bottom"/>
          </w:tcPr>
          <w:p>
            <w:pPr>
              <w:spacing w:after="0"/>
              <w:rPr>
                <w:sz w:val="1"/>
                <w:szCs w:val="1"/>
                <w:color w:val="auto"/>
              </w:rPr>
            </w:pPr>
          </w:p>
        </w:tc>
      </w:tr>
      <w:tr>
        <w:trPr>
          <w:trHeight w:val="54"/>
        </w:trPr>
        <w:tc>
          <w:tcPr>
            <w:tcW w:w="1480" w:type="dxa"/>
            <w:vAlign w:val="bottom"/>
          </w:tcPr>
          <w:p>
            <w:pPr>
              <w:spacing w:after="0"/>
              <w:rPr>
                <w:sz w:val="4"/>
                <w:szCs w:val="4"/>
                <w:color w:val="auto"/>
              </w:rPr>
            </w:pPr>
          </w:p>
        </w:tc>
        <w:tc>
          <w:tcPr>
            <w:tcW w:w="7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Occupancy</w:t>
            </w:r>
          </w:p>
        </w:tc>
        <w:tc>
          <w:tcPr>
            <w:tcW w:w="120" w:type="dxa"/>
            <w:vAlign w:val="bottom"/>
            <w:vMerge w:val="restart"/>
          </w:tcPr>
          <w:p>
            <w:pPr>
              <w:spacing w:after="0"/>
              <w:rPr>
                <w:sz w:val="4"/>
                <w:szCs w:val="4"/>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vMerge w:val="restart"/>
          </w:tcPr>
          <w:p>
            <w:pPr>
              <w:spacing w:after="0"/>
              <w:rPr>
                <w:sz w:val="4"/>
                <w:szCs w:val="4"/>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Location</w:t>
            </w:r>
          </w:p>
        </w:tc>
        <w:tc>
          <w:tcPr>
            <w:tcW w:w="120" w:type="dxa"/>
            <w:vAlign w:val="bottom"/>
            <w:vMerge w:val="restart"/>
          </w:tcPr>
          <w:p>
            <w:pPr>
              <w:spacing w:after="0"/>
              <w:rPr>
                <w:sz w:val="4"/>
                <w:szCs w:val="4"/>
                <w:color w:val="auto"/>
              </w:rPr>
            </w:pPr>
          </w:p>
        </w:tc>
        <w:tc>
          <w:tcPr>
            <w:tcW w:w="660" w:type="dxa"/>
            <w:vAlign w:val="bottom"/>
            <w:vMerge w:val="restart"/>
          </w:tcPr>
          <w:p>
            <w:pPr>
              <w:jc w:val="right"/>
              <w:ind w:right="134"/>
              <w:spacing w:after="0"/>
              <w:rPr>
                <w:sz w:val="20"/>
                <w:szCs w:val="20"/>
                <w:color w:val="auto"/>
              </w:rPr>
            </w:pPr>
            <w:r>
              <w:rPr>
                <w:rFonts w:ascii="Arial" w:cs="Arial" w:eastAsia="Arial" w:hAnsi="Arial"/>
                <w:sz w:val="13"/>
                <w:szCs w:val="13"/>
                <w:b w:val="1"/>
                <w:bCs w:val="1"/>
                <w:color w:val="auto"/>
              </w:rPr>
              <w:t>Feet</w:t>
            </w:r>
          </w:p>
        </w:tc>
        <w:tc>
          <w:tcPr>
            <w:tcW w:w="12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vMerge w:val="restart"/>
          </w:tcPr>
          <w:p>
            <w:pPr>
              <w:spacing w:after="0"/>
              <w:rPr>
                <w:sz w:val="20"/>
                <w:szCs w:val="20"/>
                <w:color w:val="auto"/>
              </w:rPr>
            </w:pPr>
            <w:r>
              <w:rPr>
                <w:rFonts w:ascii="Arial" w:cs="Arial" w:eastAsia="Arial" w:hAnsi="Arial"/>
                <w:sz w:val="13"/>
                <w:szCs w:val="13"/>
                <w:b w:val="1"/>
                <w:bCs w:val="1"/>
                <w:color w:val="auto"/>
                <w:w w:val="95"/>
              </w:rPr>
              <w:t>to Date</w:t>
            </w:r>
          </w:p>
        </w:tc>
        <w:tc>
          <w:tcPr>
            <w:tcW w:w="180" w:type="dxa"/>
            <w:vAlign w:val="bottom"/>
          </w:tcPr>
          <w:p>
            <w:pPr>
              <w:jc w:val="right"/>
              <w:ind w:right="89"/>
              <w:spacing w:after="0" w:line="54" w:lineRule="exact"/>
              <w:rPr>
                <w:sz w:val="20"/>
                <w:szCs w:val="20"/>
                <w:color w:val="auto"/>
              </w:rPr>
            </w:pPr>
            <w:r>
              <w:rPr>
                <w:rFonts w:ascii="Arial" w:cs="Arial" w:eastAsia="Arial" w:hAnsi="Arial"/>
                <w:sz w:val="6"/>
                <w:szCs w:val="6"/>
                <w:b w:val="1"/>
                <w:bCs w:val="1"/>
                <w:color w:val="auto"/>
              </w:rPr>
              <w:t>2</w:t>
            </w:r>
          </w:p>
        </w:tc>
        <w:tc>
          <w:tcPr>
            <w:tcW w:w="120" w:type="dxa"/>
            <w:vAlign w:val="bottom"/>
          </w:tcPr>
          <w:p>
            <w:pPr>
              <w:spacing w:after="0"/>
              <w:rPr>
                <w:sz w:val="4"/>
                <w:szCs w:val="4"/>
                <w:color w:val="auto"/>
              </w:rPr>
            </w:pPr>
          </w:p>
        </w:tc>
        <w:tc>
          <w:tcPr>
            <w:tcW w:w="880" w:type="dxa"/>
            <w:vAlign w:val="bottom"/>
            <w:gridSpan w:val="3"/>
          </w:tcPr>
          <w:p>
            <w:pPr>
              <w:jc w:val="center"/>
              <w:ind w:right="100"/>
              <w:spacing w:after="0" w:line="54" w:lineRule="exact"/>
              <w:rPr>
                <w:sz w:val="20"/>
                <w:szCs w:val="20"/>
                <w:color w:val="auto"/>
              </w:rPr>
            </w:pPr>
            <w:r>
              <w:rPr>
                <w:rFonts w:ascii="Arial" w:cs="Arial" w:eastAsia="Arial" w:hAnsi="Arial"/>
                <w:sz w:val="6"/>
                <w:szCs w:val="6"/>
                <w:b w:val="1"/>
                <w:bCs w:val="1"/>
                <w:color w:val="auto"/>
              </w:rPr>
              <w:t>Investment</w:t>
            </w:r>
          </w:p>
        </w:tc>
        <w:tc>
          <w:tcPr>
            <w:tcW w:w="7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Financing</w:t>
            </w:r>
          </w:p>
        </w:tc>
        <w:tc>
          <w:tcPr>
            <w:tcW w:w="14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jc w:val="center"/>
              <w:ind w:right="15"/>
              <w:spacing w:after="0"/>
              <w:rPr>
                <w:sz w:val="20"/>
                <w:szCs w:val="20"/>
                <w:color w:val="auto"/>
              </w:rPr>
            </w:pPr>
            <w:r>
              <w:rPr>
                <w:rFonts w:ascii="Arial" w:cs="Arial" w:eastAsia="Arial" w:hAnsi="Arial"/>
                <w:sz w:val="13"/>
                <w:szCs w:val="13"/>
                <w:b w:val="1"/>
                <w:bCs w:val="1"/>
                <w:color w:val="auto"/>
                <w:w w:val="96"/>
              </w:rPr>
              <w:t>9/30/2026</w:t>
            </w:r>
          </w:p>
        </w:tc>
        <w:tc>
          <w:tcPr>
            <w:tcW w:w="120" w:type="dxa"/>
            <w:vAlign w:val="bottom"/>
          </w:tcPr>
          <w:p>
            <w:pPr>
              <w:spacing w:after="0"/>
              <w:rPr>
                <w:sz w:val="4"/>
                <w:szCs w:val="4"/>
                <w:color w:val="auto"/>
              </w:rPr>
            </w:pPr>
          </w:p>
        </w:tc>
        <w:tc>
          <w:tcPr>
            <w:tcW w:w="1040" w:type="dxa"/>
            <w:vAlign w:val="bottom"/>
            <w:gridSpan w:val="3"/>
          </w:tcPr>
          <w:p>
            <w:pPr>
              <w:jc w:val="center"/>
              <w:ind w:right="160"/>
              <w:spacing w:after="0" w:line="54" w:lineRule="exact"/>
              <w:rPr>
                <w:sz w:val="20"/>
                <w:szCs w:val="20"/>
                <w:color w:val="auto"/>
              </w:rPr>
            </w:pPr>
            <w:r>
              <w:rPr>
                <w:rFonts w:ascii="Arial" w:cs="Arial" w:eastAsia="Arial" w:hAnsi="Arial"/>
                <w:sz w:val="6"/>
                <w:szCs w:val="6"/>
                <w:b w:val="1"/>
                <w:bCs w:val="1"/>
                <w:color w:val="auto"/>
              </w:rPr>
              <w:t>Requirement</w:t>
            </w:r>
          </w:p>
        </w:tc>
        <w:tc>
          <w:tcPr>
            <w:tcW w:w="840" w:type="dxa"/>
            <w:vAlign w:val="bottom"/>
            <w:vMerge w:val="restart"/>
          </w:tcPr>
          <w:p>
            <w:pPr>
              <w:jc w:val="right"/>
              <w:ind w:right="94"/>
              <w:spacing w:after="0"/>
              <w:rPr>
                <w:sz w:val="20"/>
                <w:szCs w:val="20"/>
                <w:color w:val="auto"/>
              </w:rPr>
            </w:pPr>
            <w:r>
              <w:rPr>
                <w:rFonts w:ascii="Arial" w:cs="Arial" w:eastAsia="Arial" w:hAnsi="Arial"/>
                <w:sz w:val="13"/>
                <w:szCs w:val="13"/>
                <w:b w:val="1"/>
                <w:bCs w:val="1"/>
                <w:color w:val="auto"/>
              </w:rPr>
              <w:t xml:space="preserve">Leased </w:t>
            </w:r>
            <w:r>
              <w:rPr>
                <w:rFonts w:ascii="Arial" w:cs="Arial" w:eastAsia="Arial" w:hAnsi="Arial"/>
                <w:sz w:val="16"/>
                <w:szCs w:val="16"/>
                <w:b w:val="1"/>
                <w:bCs w:val="1"/>
                <w:color w:val="auto"/>
                <w:vertAlign w:val="superscript"/>
              </w:rPr>
              <w:t>3</w:t>
            </w:r>
          </w:p>
        </w:tc>
        <w:tc>
          <w:tcPr>
            <w:tcW w:w="140" w:type="dxa"/>
            <w:vAlign w:val="bottom"/>
            <w:vMerge w:val="restart"/>
          </w:tcPr>
          <w:p>
            <w:pPr>
              <w:spacing w:after="0"/>
              <w:rPr>
                <w:sz w:val="4"/>
                <w:szCs w:val="4"/>
                <w:color w:val="auto"/>
              </w:rPr>
            </w:pP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4"/>
              </w:rPr>
              <w:t>(BXP’s share)</w:t>
            </w:r>
          </w:p>
        </w:tc>
        <w:tc>
          <w:tcPr>
            <w:tcW w:w="0" w:type="dxa"/>
            <w:vAlign w:val="bottom"/>
          </w:tcPr>
          <w:p>
            <w:pPr>
              <w:spacing w:after="0"/>
              <w:rPr>
                <w:sz w:val="1"/>
                <w:szCs w:val="1"/>
                <w:color w:val="auto"/>
              </w:rPr>
            </w:pPr>
          </w:p>
        </w:tc>
      </w:tr>
      <w:tr>
        <w:trPr>
          <w:trHeight w:val="135"/>
        </w:trPr>
        <w:tc>
          <w:tcPr>
            <w:tcW w:w="1480" w:type="dxa"/>
            <w:vAlign w:val="bottom"/>
          </w:tcPr>
          <w:p>
            <w:pPr>
              <w:spacing w:after="0"/>
              <w:rPr>
                <w:sz w:val="11"/>
                <w:szCs w:val="11"/>
                <w:color w:val="auto"/>
              </w:rPr>
            </w:pPr>
          </w:p>
        </w:tc>
        <w:tc>
          <w:tcPr>
            <w:tcW w:w="70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center"/>
              <w:ind w:right="99"/>
              <w:spacing w:after="0"/>
              <w:rPr>
                <w:sz w:val="20"/>
                <w:szCs w:val="20"/>
                <w:color w:val="auto"/>
              </w:rPr>
            </w:pPr>
            <w:r>
              <w:rPr>
                <w:rFonts w:ascii="Arial" w:cs="Arial" w:eastAsia="Arial" w:hAnsi="Arial"/>
                <w:sz w:val="8"/>
                <w:szCs w:val="8"/>
                <w:b w:val="1"/>
                <w:bCs w:val="1"/>
                <w:color w:val="auto"/>
                <w:w w:val="88"/>
              </w:rPr>
              <w:t>2</w:t>
            </w:r>
          </w:p>
        </w:tc>
        <w:tc>
          <w:tcPr>
            <w:tcW w:w="120" w:type="dxa"/>
            <w:vAlign w:val="bottom"/>
          </w:tcPr>
          <w:p>
            <w:pPr>
              <w:spacing w:after="0"/>
              <w:rPr>
                <w:sz w:val="11"/>
                <w:szCs w:val="11"/>
                <w:color w:val="auto"/>
              </w:rPr>
            </w:pPr>
          </w:p>
        </w:tc>
        <w:tc>
          <w:tcPr>
            <w:tcW w:w="740" w:type="dxa"/>
            <w:vAlign w:val="bottom"/>
            <w:tcBorders>
              <w:bottom w:val="single" w:sz="8" w:color="auto"/>
            </w:tcBorders>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39"/>
              <w:spacing w:after="0"/>
              <w:rPr>
                <w:sz w:val="20"/>
                <w:szCs w:val="20"/>
                <w:color w:val="auto"/>
              </w:rPr>
            </w:pPr>
            <w:r>
              <w:rPr>
                <w:rFonts w:ascii="Arial" w:cs="Arial" w:eastAsia="Arial" w:hAnsi="Arial"/>
                <w:sz w:val="8"/>
                <w:szCs w:val="8"/>
                <w:b w:val="1"/>
                <w:bCs w:val="1"/>
                <w:color w:val="auto"/>
                <w:w w:val="88"/>
              </w:rPr>
              <w:t>2</w:t>
            </w:r>
          </w:p>
        </w:tc>
        <w:tc>
          <w:tcPr>
            <w:tcW w:w="180" w:type="dxa"/>
            <w:vAlign w:val="bottom"/>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84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1480" w:type="dxa"/>
            <w:vAlign w:val="bottom"/>
          </w:tcPr>
          <w:p>
            <w:pPr>
              <w:spacing w:after="0"/>
              <w:rPr>
                <w:sz w:val="20"/>
                <w:szCs w:val="20"/>
                <w:color w:val="auto"/>
              </w:rPr>
            </w:pPr>
            <w:r>
              <w:rPr>
                <w:rFonts w:ascii="Arial" w:cs="Arial" w:eastAsia="Arial" w:hAnsi="Arial"/>
                <w:sz w:val="13"/>
                <w:szCs w:val="13"/>
                <w:color w:val="auto"/>
              </w:rPr>
              <w:t>Reston Next Retail</w:t>
            </w:r>
          </w:p>
        </w:tc>
        <w:tc>
          <w:tcPr>
            <w:tcW w:w="820" w:type="dxa"/>
            <w:vAlign w:val="bottom"/>
            <w:gridSpan w:val="2"/>
          </w:tcPr>
          <w:p>
            <w:pPr>
              <w:jc w:val="center"/>
              <w:ind w:right="120"/>
              <w:spacing w:after="0"/>
              <w:rPr>
                <w:sz w:val="20"/>
                <w:szCs w:val="20"/>
                <w:color w:val="auto"/>
              </w:rPr>
            </w:pPr>
            <w:r>
              <w:rPr>
                <w:rFonts w:ascii="Arial" w:cs="Arial" w:eastAsia="Arial" w:hAnsi="Arial"/>
                <w:sz w:val="13"/>
                <w:szCs w:val="13"/>
                <w:color w:val="auto"/>
              </w:rPr>
              <w:t>Q2 2026</w:t>
            </w:r>
          </w:p>
        </w:tc>
        <w:tc>
          <w:tcPr>
            <w:tcW w:w="880" w:type="dxa"/>
            <w:vAlign w:val="bottom"/>
            <w:gridSpan w:val="2"/>
          </w:tcPr>
          <w:p>
            <w:pPr>
              <w:jc w:val="center"/>
              <w:ind w:right="120"/>
              <w:spacing w:after="0"/>
              <w:rPr>
                <w:sz w:val="20"/>
                <w:szCs w:val="20"/>
                <w:color w:val="auto"/>
              </w:rPr>
            </w:pPr>
            <w:r>
              <w:rPr>
                <w:rFonts w:ascii="Arial" w:cs="Arial" w:eastAsia="Arial" w:hAnsi="Arial"/>
                <w:sz w:val="13"/>
                <w:szCs w:val="13"/>
                <w:color w:val="auto"/>
              </w:rPr>
              <w:t>Q4 2026</w:t>
            </w: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Reston, VA</w:t>
            </w:r>
          </w:p>
        </w:tc>
        <w:tc>
          <w:tcPr>
            <w:tcW w:w="660" w:type="dxa"/>
            <w:vAlign w:val="bottom"/>
          </w:tcPr>
          <w:p>
            <w:pPr>
              <w:jc w:val="right"/>
              <w:ind w:right="14"/>
              <w:spacing w:after="0"/>
              <w:rPr>
                <w:sz w:val="20"/>
                <w:szCs w:val="20"/>
                <w:color w:val="auto"/>
              </w:rPr>
            </w:pPr>
            <w:r>
              <w:rPr>
                <w:rFonts w:ascii="Arial" w:cs="Arial" w:eastAsia="Arial" w:hAnsi="Arial"/>
                <w:sz w:val="13"/>
                <w:szCs w:val="13"/>
                <w:color w:val="auto"/>
              </w:rPr>
              <w:t>30,284</w:t>
            </w:r>
          </w:p>
        </w:tc>
        <w:tc>
          <w:tcPr>
            <w:tcW w:w="1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w w:val="82"/>
              </w:rPr>
              <w:t>$</w:t>
            </w:r>
          </w:p>
        </w:tc>
        <w:tc>
          <w:tcPr>
            <w:tcW w:w="620" w:type="dxa"/>
            <w:vAlign w:val="bottom"/>
            <w:gridSpan w:val="2"/>
          </w:tcPr>
          <w:p>
            <w:pPr>
              <w:jc w:val="right"/>
              <w:ind w:right="49"/>
              <w:spacing w:after="0"/>
              <w:rPr>
                <w:sz w:val="20"/>
                <w:szCs w:val="20"/>
                <w:color w:val="auto"/>
              </w:rPr>
            </w:pPr>
            <w:r>
              <w:rPr>
                <w:rFonts w:ascii="Arial" w:cs="Arial" w:eastAsia="Arial" w:hAnsi="Arial"/>
                <w:sz w:val="13"/>
                <w:szCs w:val="13"/>
                <w:color w:val="auto"/>
              </w:rPr>
              <w:t>30,918</w:t>
            </w:r>
          </w:p>
        </w:tc>
        <w:tc>
          <w:tcPr>
            <w:tcW w:w="120" w:type="dxa"/>
            <w:vAlign w:val="bottom"/>
          </w:tcPr>
          <w:p>
            <w:pPr>
              <w:spacing w:after="0"/>
              <w:rPr>
                <w:sz w:val="16"/>
                <w:szCs w:val="16"/>
                <w:color w:val="auto"/>
              </w:rPr>
            </w:pPr>
          </w:p>
        </w:tc>
        <w:tc>
          <w:tcPr>
            <w:tcW w:w="160" w:type="dxa"/>
            <w:vAlign w:val="bottom"/>
          </w:tcPr>
          <w:p>
            <w:pPr>
              <w:jc w:val="right"/>
              <w:ind w:right="3"/>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31,600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682</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69 %</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61"/>
        </w:trPr>
        <w:tc>
          <w:tcPr>
            <w:tcW w:w="1480" w:type="dxa"/>
            <w:vAlign w:val="bottom"/>
          </w:tcPr>
          <w:p>
            <w:pPr>
              <w:spacing w:after="0"/>
              <w:rPr>
                <w:sz w:val="20"/>
                <w:szCs w:val="20"/>
                <w:color w:val="auto"/>
              </w:rPr>
            </w:pPr>
            <w:r>
              <w:rPr>
                <w:rFonts w:ascii="Arial" w:cs="Arial" w:eastAsia="Arial" w:hAnsi="Arial"/>
                <w:sz w:val="13"/>
                <w:szCs w:val="13"/>
                <w:color w:val="auto"/>
              </w:rPr>
              <w:t>290 Binney Street (55%</w:t>
            </w: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rPr>
              <w:t>Q2 2026</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3"/>
                <w:szCs w:val="13"/>
                <w:color w:val="auto"/>
              </w:rPr>
              <w:t>Q2 2026</w:t>
            </w: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Cambridge,</w:t>
            </w:r>
          </w:p>
        </w:tc>
        <w:tc>
          <w:tcPr>
            <w:tcW w:w="660" w:type="dxa"/>
            <w:vAlign w:val="bottom"/>
            <w:vMerge w:val="restart"/>
          </w:tcPr>
          <w:p>
            <w:pPr>
              <w:jc w:val="right"/>
              <w:ind w:right="14"/>
              <w:spacing w:after="0"/>
              <w:rPr>
                <w:sz w:val="20"/>
                <w:szCs w:val="20"/>
                <w:color w:val="auto"/>
              </w:rPr>
            </w:pPr>
            <w:r>
              <w:rPr>
                <w:rFonts w:ascii="Arial" w:cs="Arial" w:eastAsia="Arial" w:hAnsi="Arial"/>
                <w:sz w:val="13"/>
                <w:szCs w:val="13"/>
                <w:color w:val="auto"/>
              </w:rPr>
              <w:t>572,578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restart"/>
          </w:tcPr>
          <w:p>
            <w:pPr>
              <w:jc w:val="right"/>
              <w:ind w:right="49"/>
              <w:spacing w:after="0"/>
              <w:rPr>
                <w:sz w:val="20"/>
                <w:szCs w:val="20"/>
                <w:color w:val="auto"/>
              </w:rPr>
            </w:pPr>
            <w:r>
              <w:rPr>
                <w:rFonts w:ascii="Arial" w:cs="Arial" w:eastAsia="Arial" w:hAnsi="Arial"/>
                <w:sz w:val="13"/>
                <w:szCs w:val="13"/>
                <w:color w:val="auto"/>
              </w:rPr>
              <w:t>440,398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488,000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ind w:left="38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47,602</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100 %</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13,980</w:t>
            </w:r>
          </w:p>
        </w:tc>
        <w:tc>
          <w:tcPr>
            <w:tcW w:w="0" w:type="dxa"/>
            <w:vAlign w:val="bottom"/>
          </w:tcPr>
          <w:p>
            <w:pPr>
              <w:spacing w:after="0"/>
              <w:rPr>
                <w:sz w:val="1"/>
                <w:szCs w:val="1"/>
                <w:color w:val="auto"/>
              </w:rPr>
            </w:pPr>
          </w:p>
        </w:tc>
      </w:tr>
      <w:tr>
        <w:trPr>
          <w:trHeight w:val="188"/>
        </w:trPr>
        <w:tc>
          <w:tcPr>
            <w:tcW w:w="1480" w:type="dxa"/>
            <w:vAlign w:val="bottom"/>
          </w:tcPr>
          <w:p>
            <w:pPr>
              <w:ind w:left="160"/>
              <w:spacing w:after="0" w:line="189" w:lineRule="exact"/>
              <w:rPr>
                <w:sz w:val="20"/>
                <w:szCs w:val="20"/>
                <w:color w:val="auto"/>
              </w:rPr>
            </w:pPr>
            <w:r>
              <w:rPr>
                <w:rFonts w:ascii="Arial" w:cs="Arial" w:eastAsia="Arial" w:hAnsi="Arial"/>
                <w:sz w:val="13"/>
                <w:szCs w:val="13"/>
                <w:color w:val="auto"/>
              </w:rPr>
              <w:t xml:space="preserve">ownership) </w:t>
            </w:r>
            <w:r>
              <w:rPr>
                <w:rFonts w:ascii="Arial" w:cs="Arial" w:eastAsia="Arial" w:hAnsi="Arial"/>
                <w:sz w:val="17"/>
                <w:szCs w:val="17"/>
                <w:color w:val="auto"/>
                <w:vertAlign w:val="superscript"/>
              </w:rPr>
              <w:t>10</w:t>
            </w:r>
          </w:p>
        </w:tc>
        <w:tc>
          <w:tcPr>
            <w:tcW w:w="8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MA</w:t>
            </w: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30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rPr>
              <w:t>Total Projects Fully Placed In-</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14"/>
              <w:spacing w:after="0"/>
              <w:rPr>
                <w:sz w:val="20"/>
                <w:szCs w:val="20"/>
                <w:color w:val="auto"/>
              </w:rPr>
            </w:pPr>
            <w:r>
              <w:rPr>
                <w:rFonts w:ascii="Arial" w:cs="Arial" w:eastAsia="Arial" w:hAnsi="Arial"/>
                <w:sz w:val="13"/>
                <w:szCs w:val="13"/>
                <w:color w:val="auto"/>
              </w:rPr>
              <w:t>602,862</w:t>
            </w:r>
          </w:p>
        </w:tc>
        <w:tc>
          <w:tcPr>
            <w:tcW w:w="120" w:type="dxa"/>
            <w:vAlign w:val="bottom"/>
          </w:tcPr>
          <w:p>
            <w:pPr>
              <w:spacing w:after="0"/>
              <w:rPr>
                <w:sz w:val="11"/>
                <w:szCs w:val="11"/>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w w:val="82"/>
              </w:rPr>
              <w:t>$</w:t>
            </w:r>
          </w:p>
        </w:tc>
        <w:tc>
          <w:tcPr>
            <w:tcW w:w="620" w:type="dxa"/>
            <w:vAlign w:val="bottom"/>
            <w:gridSpan w:val="2"/>
            <w:vMerge w:val="restart"/>
          </w:tcPr>
          <w:p>
            <w:pPr>
              <w:jc w:val="right"/>
              <w:ind w:right="49"/>
              <w:spacing w:after="0"/>
              <w:rPr>
                <w:sz w:val="20"/>
                <w:szCs w:val="20"/>
                <w:color w:val="auto"/>
              </w:rPr>
            </w:pPr>
            <w:r>
              <w:rPr>
                <w:rFonts w:ascii="Arial" w:cs="Arial" w:eastAsia="Arial" w:hAnsi="Arial"/>
                <w:sz w:val="13"/>
                <w:szCs w:val="13"/>
                <w:color w:val="auto"/>
              </w:rPr>
              <w:t>471,316</w:t>
            </w:r>
          </w:p>
        </w:tc>
        <w:tc>
          <w:tcPr>
            <w:tcW w:w="120" w:type="dxa"/>
            <w:vAlign w:val="bottom"/>
          </w:tcPr>
          <w:p>
            <w:pPr>
              <w:spacing w:after="0"/>
              <w:rPr>
                <w:sz w:val="11"/>
                <w:szCs w:val="11"/>
                <w:color w:val="auto"/>
              </w:rPr>
            </w:pPr>
          </w:p>
        </w:tc>
        <w:tc>
          <w:tcPr>
            <w:tcW w:w="160" w:type="dxa"/>
            <w:vAlign w:val="bottom"/>
            <w:vMerge w:val="restart"/>
          </w:tcPr>
          <w:p>
            <w:pPr>
              <w:jc w:val="right"/>
              <w:ind w:right="3"/>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519,600</w:t>
            </w:r>
          </w:p>
        </w:tc>
        <w:tc>
          <w:tcPr>
            <w:tcW w:w="12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ind w:left="38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48,284</w:t>
            </w: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98 %</w:t>
            </w:r>
          </w:p>
        </w:tc>
        <w:tc>
          <w:tcPr>
            <w:tcW w:w="14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13,942</w:t>
            </w:r>
          </w:p>
        </w:tc>
        <w:tc>
          <w:tcPr>
            <w:tcW w:w="0" w:type="dxa"/>
            <w:vAlign w:val="bottom"/>
          </w:tcPr>
          <w:p>
            <w:pPr>
              <w:spacing w:after="0"/>
              <w:rPr>
                <w:sz w:val="1"/>
                <w:szCs w:val="1"/>
                <w:color w:val="auto"/>
              </w:rPr>
            </w:pPr>
          </w:p>
        </w:tc>
      </w:tr>
      <w:tr>
        <w:trPr>
          <w:trHeight w:val="162"/>
        </w:trPr>
        <w:tc>
          <w:tcPr>
            <w:tcW w:w="1480" w:type="dxa"/>
            <w:vAlign w:val="bottom"/>
          </w:tcPr>
          <w:p>
            <w:pPr>
              <w:spacing w:after="0"/>
              <w:rPr>
                <w:sz w:val="20"/>
                <w:szCs w:val="20"/>
                <w:color w:val="auto"/>
              </w:rPr>
            </w:pPr>
            <w:r>
              <w:rPr>
                <w:rFonts w:ascii="Arial" w:cs="Arial" w:eastAsia="Arial" w:hAnsi="Arial"/>
                <w:sz w:val="13"/>
                <w:szCs w:val="13"/>
                <w:b w:val="1"/>
                <w:bCs w:val="1"/>
                <w:color w:val="auto"/>
              </w:rPr>
              <w:t>Service</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ind w:left="160" w:hanging="71"/>
        <w:spacing w:after="0" w:line="230" w:lineRule="auto"/>
        <w:tabs>
          <w:tab w:leader="none" w:pos="160" w:val="left"/>
        </w:tabs>
        <w:numPr>
          <w:ilvl w:val="0"/>
          <w:numId w:val="39"/>
        </w:numPr>
        <w:rPr>
          <w:rFonts w:ascii="Arial" w:cs="Arial" w:eastAsia="Arial" w:hAnsi="Arial"/>
          <w:sz w:val="19"/>
          <w:szCs w:val="19"/>
          <w:color w:val="auto"/>
          <w:vertAlign w:val="superscript"/>
        </w:rPr>
      </w:pPr>
      <w:r>
        <w:rPr>
          <w:rFonts w:ascii="Arial" w:cs="Arial" w:eastAsia="Arial" w:hAnsi="Arial"/>
          <w:sz w:val="13"/>
          <w:szCs w:val="13"/>
          <w:color w:val="auto"/>
        </w:rPr>
        <w:t>A project is classified as Construction in Progress when (1) construction or supply contracts have been signed, physical improvements have commenced or a lease has been signed and</w:t>
      </w:r>
    </w:p>
    <w:p>
      <w:pPr>
        <w:ind w:left="180"/>
        <w:spacing w:after="0"/>
        <w:rPr>
          <w:rFonts w:ascii="Arial" w:cs="Arial" w:eastAsia="Arial" w:hAnsi="Arial"/>
          <w:sz w:val="19"/>
          <w:szCs w:val="19"/>
          <w:color w:val="auto"/>
          <w:vertAlign w:val="superscript"/>
        </w:rPr>
      </w:pPr>
      <w:r>
        <w:rPr>
          <w:rFonts w:ascii="Arial" w:cs="Arial" w:eastAsia="Arial" w:hAnsi="Arial"/>
          <w:sz w:val="13"/>
          <w:szCs w:val="13"/>
          <w:color w:val="auto"/>
        </w:rPr>
        <w:t>(2) capitalized interest has commenced.</w:t>
      </w:r>
    </w:p>
    <w:p>
      <w:pPr>
        <w:ind w:left="160" w:hanging="71"/>
        <w:spacing w:after="0" w:line="238" w:lineRule="auto"/>
        <w:tabs>
          <w:tab w:leader="none" w:pos="160" w:val="left"/>
        </w:tabs>
        <w:numPr>
          <w:ilvl w:val="0"/>
          <w:numId w:val="40"/>
        </w:numPr>
        <w:rPr>
          <w:rFonts w:ascii="Arial" w:cs="Arial" w:eastAsia="Arial" w:hAnsi="Arial"/>
          <w:sz w:val="19"/>
          <w:szCs w:val="19"/>
          <w:color w:val="auto"/>
          <w:vertAlign w:val="superscript"/>
        </w:rPr>
      </w:pPr>
      <w:r>
        <w:rPr>
          <w:rFonts w:ascii="Arial" w:cs="Arial" w:eastAsia="Arial" w:hAnsi="Arial"/>
          <w:sz w:val="13"/>
          <w:szCs w:val="13"/>
          <w:color w:val="auto"/>
        </w:rPr>
        <w:t>Includes income (loss) and interest carry on debt and equity investment.</w:t>
      </w:r>
    </w:p>
    <w:p>
      <w:pPr>
        <w:ind w:left="160" w:hanging="71"/>
        <w:spacing w:after="0" w:line="208" w:lineRule="auto"/>
        <w:tabs>
          <w:tab w:leader="none" w:pos="160" w:val="left"/>
        </w:tabs>
        <w:numPr>
          <w:ilvl w:val="0"/>
          <w:numId w:val="41"/>
        </w:numPr>
        <w:rPr>
          <w:rFonts w:ascii="Arial" w:cs="Arial" w:eastAsia="Arial" w:hAnsi="Arial"/>
          <w:sz w:val="19"/>
          <w:szCs w:val="19"/>
          <w:color w:val="auto"/>
          <w:vertAlign w:val="superscript"/>
        </w:rPr>
      </w:pPr>
      <w:r>
        <w:rPr>
          <w:rFonts w:ascii="Arial" w:cs="Arial" w:eastAsia="Arial" w:hAnsi="Arial"/>
          <w:sz w:val="13"/>
          <w:szCs w:val="13"/>
          <w:color w:val="auto"/>
        </w:rPr>
        <w:t>Represents percentage leased as of October 23, 2026, including leases with future commencement dates.</w:t>
      </w:r>
    </w:p>
    <w:p>
      <w:pPr>
        <w:ind w:left="160" w:hanging="71"/>
        <w:spacing w:after="0" w:line="222" w:lineRule="auto"/>
        <w:tabs>
          <w:tab w:leader="none" w:pos="160" w:val="left"/>
        </w:tabs>
        <w:numPr>
          <w:ilvl w:val="0"/>
          <w:numId w:val="42"/>
        </w:numPr>
        <w:rPr>
          <w:rFonts w:ascii="Arial" w:cs="Arial" w:eastAsia="Arial" w:hAnsi="Arial"/>
          <w:sz w:val="19"/>
          <w:szCs w:val="19"/>
          <w:color w:val="auto"/>
          <w:vertAlign w:val="superscript"/>
        </w:rPr>
      </w:pPr>
      <w:r>
        <w:rPr>
          <w:rFonts w:ascii="Arial" w:cs="Arial" w:eastAsia="Arial" w:hAnsi="Arial"/>
          <w:sz w:val="13"/>
          <w:szCs w:val="13"/>
          <w:color w:val="auto"/>
        </w:rPr>
        <w:t>Represents the portion of the project that no longer qualifies for capitalization of interest in accordance with GAAP.</w:t>
      </w:r>
    </w:p>
    <w:p>
      <w:pPr>
        <w:spacing w:after="0" w:line="27" w:lineRule="exact"/>
        <w:rPr>
          <w:sz w:val="20"/>
          <w:szCs w:val="20"/>
          <w:color w:val="auto"/>
        </w:rPr>
      </w:pPr>
    </w:p>
    <w:p>
      <w:pPr>
        <w:ind w:left="180" w:right="640" w:hanging="91"/>
        <w:spacing w:after="0" w:line="220" w:lineRule="auto"/>
        <w:tabs>
          <w:tab w:leader="none" w:pos="178" w:val="left"/>
        </w:tabs>
        <w:numPr>
          <w:ilvl w:val="0"/>
          <w:numId w:val="43"/>
        </w:numPr>
        <w:rPr>
          <w:rFonts w:ascii="Arial" w:cs="Arial" w:eastAsia="Arial" w:hAnsi="Arial"/>
          <w:sz w:val="19"/>
          <w:szCs w:val="19"/>
          <w:color w:val="auto"/>
          <w:vertAlign w:val="superscript"/>
        </w:rPr>
      </w:pPr>
      <w:r>
        <w:rPr>
          <w:rFonts w:ascii="Arial" w:cs="Arial" w:eastAsia="Arial" w:hAnsi="Arial"/>
          <w:sz w:val="13"/>
          <w:szCs w:val="13"/>
          <w:color w:val="auto"/>
        </w:rPr>
        <w:t>Amounts represent Net Operating Income (Loss) for the three months ended September 30, 2026. For partially owned properties, amount represents BXP’s share based on its ownership percentage. See the Definitions and Reconciliations sections of this supplemental package starting on page 56.</w:t>
      </w:r>
    </w:p>
    <w:p>
      <w:pPr>
        <w:ind w:left="160" w:hanging="71"/>
        <w:spacing w:after="0" w:line="208" w:lineRule="auto"/>
        <w:tabs>
          <w:tab w:leader="none" w:pos="160" w:val="left"/>
        </w:tabs>
        <w:numPr>
          <w:ilvl w:val="0"/>
          <w:numId w:val="44"/>
        </w:numPr>
        <w:rPr>
          <w:rFonts w:ascii="Arial" w:cs="Arial" w:eastAsia="Arial" w:hAnsi="Arial"/>
          <w:sz w:val="19"/>
          <w:szCs w:val="19"/>
          <w:color w:val="auto"/>
          <w:vertAlign w:val="superscript"/>
        </w:rPr>
      </w:pPr>
      <w:r>
        <w:rPr>
          <w:rFonts w:ascii="Arial" w:cs="Arial" w:eastAsia="Arial" w:hAnsi="Arial"/>
          <w:sz w:val="13"/>
          <w:szCs w:val="13"/>
          <w:color w:val="auto"/>
        </w:rPr>
        <w:t>Reservoir Place consists of approximately 528,000 rentable square feet of which approximately 165,000 square feet is in-service. For additional detail, see page 23.</w:t>
      </w:r>
    </w:p>
    <w:p>
      <w:pPr>
        <w:spacing w:after="0" w:line="38" w:lineRule="exact"/>
        <w:rPr>
          <w:rFonts w:ascii="Arial" w:cs="Arial" w:eastAsia="Arial" w:hAnsi="Arial"/>
          <w:sz w:val="19"/>
          <w:szCs w:val="19"/>
          <w:color w:val="auto"/>
          <w:vertAlign w:val="superscript"/>
        </w:rPr>
      </w:pPr>
    </w:p>
    <w:p>
      <w:pPr>
        <w:ind w:left="80"/>
        <w:spacing w:after="0" w:line="215"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7</w:t>
      </w:r>
      <w:r>
        <w:rPr>
          <w:rFonts w:ascii="Arial" w:cs="Arial" w:eastAsia="Arial" w:hAnsi="Arial"/>
          <w:sz w:val="13"/>
          <w:szCs w:val="13"/>
          <w:color w:val="auto"/>
        </w:rPr>
        <w:t xml:space="preserve"> Residential projects are shown in gross square feet.</w:t>
      </w:r>
    </w:p>
    <w:p>
      <w:pPr>
        <w:spacing w:after="0" w:line="5" w:lineRule="exact"/>
        <w:rPr>
          <w:sz w:val="20"/>
          <w:szCs w:val="20"/>
          <w:color w:val="auto"/>
        </w:rPr>
      </w:pPr>
    </w:p>
    <w:p>
      <w:pPr>
        <w:ind w:left="180" w:right="160" w:hanging="91"/>
        <w:spacing w:after="0" w:line="220" w:lineRule="auto"/>
        <w:tabs>
          <w:tab w:leader="none" w:pos="178" w:val="left"/>
        </w:tabs>
        <w:numPr>
          <w:ilvl w:val="0"/>
          <w:numId w:val="45"/>
        </w:numPr>
        <w:rPr>
          <w:rFonts w:ascii="Arial" w:cs="Arial" w:eastAsia="Arial" w:hAnsi="Arial"/>
          <w:sz w:val="19"/>
          <w:szCs w:val="19"/>
          <w:color w:val="auto"/>
          <w:vertAlign w:val="superscript"/>
        </w:rPr>
      </w:pPr>
      <w:r>
        <w:rPr>
          <w:rFonts w:ascii="Arial" w:cs="Arial" w:eastAsia="Arial" w:hAnsi="Arial"/>
          <w:sz w:val="13"/>
          <w:szCs w:val="13"/>
          <w:color w:val="auto"/>
        </w:rPr>
        <w:t>Total Financing and Amount Drawn includes the Company’s share of the $225 million construction loan and $65 million of preferred equity. The Company provided the preferred equity, which accrues at a 13% internal rate of return and has been fully funded.</w:t>
      </w:r>
    </w:p>
    <w:p>
      <w:pPr>
        <w:sectPr>
          <w:pgSz w:w="11900" w:h="16838" w:orient="portrait"/>
          <w:cols w:equalWidth="0" w:num="1">
            <w:col w:w="11240"/>
          </w:cols>
          <w:pgMar w:left="320" w:top="279" w:right="339" w:bottom="1440" w:gutter="0" w:footer="0" w:header="0"/>
        </w:sectPr>
      </w:pPr>
    </w:p>
    <w:p>
      <w:pPr>
        <w:spacing w:after="0" w:line="27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40"/>
          </w:cols>
          <w:pgMar w:left="320" w:top="279" w:right="339" w:bottom="1440" w:gutter="0" w:footer="0" w:header="0"/>
          <w:type w:val="continuous"/>
        </w:sectPr>
      </w:pPr>
    </w:p>
    <w:bookmarkStart w:id="23" w:name="page24"/>
    <w:bookmarkEnd w:id="23"/>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Construction in progress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65" w:lineRule="exact"/>
        <w:rPr>
          <w:sz w:val="20"/>
          <w:szCs w:val="20"/>
          <w:color w:val="auto"/>
        </w:rPr>
      </w:pPr>
    </w:p>
    <w:p>
      <w:pPr>
        <w:ind w:left="160" w:hanging="71"/>
        <w:spacing w:after="0"/>
        <w:tabs>
          <w:tab w:leader="none" w:pos="160" w:val="left"/>
        </w:tabs>
        <w:numPr>
          <w:ilvl w:val="0"/>
          <w:numId w:val="46"/>
        </w:numPr>
        <w:rPr>
          <w:rFonts w:ascii="Arial" w:cs="Arial" w:eastAsia="Arial" w:hAnsi="Arial"/>
          <w:sz w:val="18"/>
          <w:szCs w:val="18"/>
          <w:color w:val="auto"/>
          <w:vertAlign w:val="superscript"/>
        </w:rPr>
      </w:pPr>
      <w:r>
        <w:rPr>
          <w:rFonts w:ascii="Arial" w:cs="Arial" w:eastAsia="Arial" w:hAnsi="Arial"/>
          <w:sz w:val="13"/>
          <w:szCs w:val="13"/>
          <w:color w:val="auto"/>
        </w:rPr>
        <w:t>Total percentage leased excludes Residential units.</w:t>
      </w:r>
    </w:p>
    <w:p>
      <w:pPr>
        <w:spacing w:after="0" w:line="13" w:lineRule="exact"/>
        <w:rPr>
          <w:sz w:val="20"/>
          <w:szCs w:val="20"/>
          <w:color w:val="auto"/>
        </w:rPr>
      </w:pPr>
    </w:p>
    <w:p>
      <w:pPr>
        <w:ind w:left="180" w:right="280" w:hanging="172"/>
        <w:spacing w:after="0"/>
        <w:tabs>
          <w:tab w:leader="none" w:pos="176" w:val="left"/>
        </w:tabs>
        <w:numPr>
          <w:ilvl w:val="0"/>
          <w:numId w:val="47"/>
        </w:numPr>
        <w:rPr>
          <w:rFonts w:ascii="Arial" w:cs="Arial" w:eastAsia="Arial" w:hAnsi="Arial"/>
          <w:sz w:val="19"/>
          <w:szCs w:val="19"/>
          <w:color w:val="auto"/>
          <w:vertAlign w:val="superscript"/>
        </w:rPr>
      </w:pPr>
      <w:r>
        <w:rPr>
          <w:rFonts w:ascii="Arial" w:cs="Arial" w:eastAsia="Arial" w:hAnsi="Arial"/>
          <w:sz w:val="13"/>
          <w:szCs w:val="13"/>
          <w:color w:val="auto"/>
        </w:rPr>
        <w:t>The project budget reflects the Company’s 55% share of joint venture costs related to 290 Binney Street. The Company has the sole obligation to construct an underground electrical vault for an estimated gross cost of $183.9 million. Upon completion, the Company has entered into a contract to sell the electrical vault to a third party for a fixed price of $84.1 million. The net investment of $99.8 million will be included in the Company’s outside basis in 290 Binney Street. The Company has invested $159.1 million for the vault as of September 30, 2026.</w:t>
      </w:r>
    </w:p>
    <w:p>
      <w:pPr>
        <w:spacing w:after="0" w:line="200" w:lineRule="exact"/>
        <w:rPr>
          <w:sz w:val="20"/>
          <w:szCs w:val="20"/>
          <w:color w:val="auto"/>
        </w:rPr>
      </w:pPr>
    </w:p>
    <w:p>
      <w:pPr>
        <w:spacing w:after="0" w:line="21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279" w:right="339" w:bottom="1440" w:gutter="0" w:footer="0" w:header="0"/>
        </w:sectPr>
      </w:pPr>
    </w:p>
    <w:bookmarkStart w:id="24" w:name="page25"/>
    <w:bookmarkEnd w:id="24"/>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Land parcels and purchase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OWNED LAND PARCELS AND PROPERTIES HELD FOR REDEVELOPMENT </w:t>
      </w:r>
      <w:r>
        <w:rPr>
          <w:rFonts w:ascii="Arial" w:cs="Arial" w:eastAsia="Arial" w:hAnsi="Arial"/>
          <w:sz w:val="18"/>
          <w:szCs w:val="18"/>
          <w:b w:val="1"/>
          <w:bCs w:val="1"/>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650621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506210" cy="17145"/>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Office</w:t>
            </w:r>
          </w:p>
        </w:tc>
        <w:tc>
          <w:tcPr>
            <w:tcW w:w="2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Approximate Developable Square Feet </w:t>
            </w:r>
            <w:r>
              <w:rPr>
                <w:rFonts w:ascii="Arial" w:cs="Arial" w:eastAsia="Arial" w:hAnsi="Arial"/>
                <w:sz w:val="9"/>
                <w:szCs w:val="9"/>
                <w:color w:val="auto"/>
              </w:rPr>
              <w:t>2</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70"/>
        </w:trPr>
        <w:tc>
          <w:tcPr>
            <w:tcW w:w="2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New York, NY (25% ownership)</w:t>
            </w:r>
          </w:p>
        </w:tc>
        <w:tc>
          <w:tcPr>
            <w:tcW w:w="2860" w:type="dxa"/>
            <w:vAlign w:val="bottom"/>
          </w:tcPr>
          <w:p>
            <w:pPr>
              <w:jc w:val="right"/>
              <w:spacing w:after="0"/>
              <w:rPr>
                <w:sz w:val="20"/>
                <w:szCs w:val="20"/>
                <w:color w:val="auto"/>
              </w:rPr>
            </w:pPr>
            <w:r>
              <w:rPr>
                <w:rFonts w:ascii="Arial" w:cs="Arial" w:eastAsia="Arial" w:hAnsi="Arial"/>
                <w:sz w:val="14"/>
                <w:szCs w:val="14"/>
                <w:color w:val="auto"/>
              </w:rPr>
              <w:t>2,000,000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Princeton, NJ</w:t>
            </w:r>
          </w:p>
        </w:tc>
        <w:tc>
          <w:tcPr>
            <w:tcW w:w="2860" w:type="dxa"/>
            <w:vAlign w:val="bottom"/>
          </w:tcPr>
          <w:p>
            <w:pPr>
              <w:jc w:val="right"/>
              <w:spacing w:after="0"/>
              <w:rPr>
                <w:sz w:val="20"/>
                <w:szCs w:val="20"/>
                <w:color w:val="auto"/>
              </w:rPr>
            </w:pPr>
            <w:r>
              <w:rPr>
                <w:rFonts w:ascii="Arial" w:cs="Arial" w:eastAsia="Arial" w:hAnsi="Arial"/>
                <w:sz w:val="14"/>
                <w:szCs w:val="14"/>
                <w:color w:val="auto"/>
              </w:rPr>
              <w:t>1,723,000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Reston, VA</w:t>
            </w:r>
          </w:p>
        </w:tc>
        <w:tc>
          <w:tcPr>
            <w:tcW w:w="2860" w:type="dxa"/>
            <w:vAlign w:val="bottom"/>
          </w:tcPr>
          <w:p>
            <w:pPr>
              <w:jc w:val="right"/>
              <w:spacing w:after="0"/>
              <w:rPr>
                <w:sz w:val="20"/>
                <w:szCs w:val="20"/>
                <w:color w:val="auto"/>
              </w:rPr>
            </w:pPr>
            <w:r>
              <w:rPr>
                <w:rFonts w:ascii="Arial" w:cs="Arial" w:eastAsia="Arial" w:hAnsi="Arial"/>
                <w:sz w:val="14"/>
                <w:szCs w:val="14"/>
                <w:color w:val="auto"/>
              </w:rPr>
              <w:t>1,278,000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San Jose, CA (55% ownership)</w:t>
            </w:r>
          </w:p>
        </w:tc>
        <w:tc>
          <w:tcPr>
            <w:tcW w:w="2860" w:type="dxa"/>
            <w:vAlign w:val="bottom"/>
          </w:tcPr>
          <w:p>
            <w:pPr>
              <w:jc w:val="right"/>
              <w:spacing w:after="0"/>
              <w:rPr>
                <w:sz w:val="20"/>
                <w:szCs w:val="20"/>
                <w:color w:val="auto"/>
              </w:rPr>
            </w:pPr>
            <w:r>
              <w:rPr>
                <w:rFonts w:ascii="Arial" w:cs="Arial" w:eastAsia="Arial" w:hAnsi="Arial"/>
                <w:sz w:val="14"/>
                <w:szCs w:val="14"/>
                <w:color w:val="auto"/>
              </w:rPr>
              <w:t>1,088,000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San Francisco, CA</w:t>
            </w:r>
          </w:p>
        </w:tc>
        <w:tc>
          <w:tcPr>
            <w:tcW w:w="2860" w:type="dxa"/>
            <w:vAlign w:val="bottom"/>
          </w:tcPr>
          <w:p>
            <w:pPr>
              <w:jc w:val="right"/>
              <w:spacing w:after="0"/>
              <w:rPr>
                <w:sz w:val="20"/>
                <w:szCs w:val="20"/>
                <w:color w:val="auto"/>
              </w:rPr>
            </w:pPr>
            <w:r>
              <w:rPr>
                <w:rFonts w:ascii="Arial" w:cs="Arial" w:eastAsia="Arial" w:hAnsi="Arial"/>
                <w:sz w:val="14"/>
                <w:szCs w:val="14"/>
                <w:color w:val="auto"/>
              </w:rPr>
              <w:t>850,000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 xml:space="preserve">Waltham, MA </w:t>
            </w:r>
            <w:r>
              <w:rPr>
                <w:rFonts w:ascii="Arial" w:cs="Arial" w:eastAsia="Arial" w:hAnsi="Arial"/>
                <w:sz w:val="9"/>
                <w:szCs w:val="9"/>
                <w:color w:val="auto"/>
              </w:rPr>
              <w:t>3</w:t>
            </w:r>
          </w:p>
        </w:tc>
        <w:tc>
          <w:tcPr>
            <w:tcW w:w="2860" w:type="dxa"/>
            <w:vAlign w:val="bottom"/>
          </w:tcPr>
          <w:p>
            <w:pPr>
              <w:jc w:val="right"/>
              <w:spacing w:after="0"/>
              <w:rPr>
                <w:sz w:val="20"/>
                <w:szCs w:val="20"/>
                <w:color w:val="auto"/>
              </w:rPr>
            </w:pPr>
            <w:r>
              <w:rPr>
                <w:rFonts w:ascii="Arial" w:cs="Arial" w:eastAsia="Arial" w:hAnsi="Arial"/>
                <w:sz w:val="14"/>
                <w:szCs w:val="14"/>
                <w:color w:val="auto"/>
              </w:rPr>
              <w:t>698,000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Springfield, VA</w:t>
            </w:r>
          </w:p>
        </w:tc>
        <w:tc>
          <w:tcPr>
            <w:tcW w:w="2860" w:type="dxa"/>
            <w:vAlign w:val="bottom"/>
          </w:tcPr>
          <w:p>
            <w:pPr>
              <w:jc w:val="right"/>
              <w:spacing w:after="0"/>
              <w:rPr>
                <w:sz w:val="20"/>
                <w:szCs w:val="20"/>
                <w:color w:val="auto"/>
              </w:rPr>
            </w:pPr>
            <w:r>
              <w:rPr>
                <w:rFonts w:ascii="Arial" w:cs="Arial" w:eastAsia="Arial" w:hAnsi="Arial"/>
                <w:sz w:val="14"/>
                <w:szCs w:val="14"/>
                <w:color w:val="auto"/>
              </w:rPr>
              <w:t>576,000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Lexington, MA</w:t>
            </w:r>
          </w:p>
        </w:tc>
        <w:tc>
          <w:tcPr>
            <w:tcW w:w="2860" w:type="dxa"/>
            <w:vAlign w:val="bottom"/>
          </w:tcPr>
          <w:p>
            <w:pPr>
              <w:jc w:val="right"/>
              <w:spacing w:after="0"/>
              <w:rPr>
                <w:sz w:val="20"/>
                <w:szCs w:val="20"/>
                <w:color w:val="auto"/>
              </w:rPr>
            </w:pPr>
            <w:r>
              <w:rPr>
                <w:rFonts w:ascii="Arial" w:cs="Arial" w:eastAsia="Arial" w:hAnsi="Arial"/>
                <w:sz w:val="14"/>
                <w:szCs w:val="14"/>
                <w:color w:val="auto"/>
              </w:rPr>
              <w:t>420,000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Washington, DC</w:t>
            </w:r>
          </w:p>
        </w:tc>
        <w:tc>
          <w:tcPr>
            <w:tcW w:w="2860" w:type="dxa"/>
            <w:vAlign w:val="bottom"/>
          </w:tcPr>
          <w:p>
            <w:pPr>
              <w:jc w:val="right"/>
              <w:spacing w:after="0"/>
              <w:rPr>
                <w:sz w:val="20"/>
                <w:szCs w:val="20"/>
                <w:color w:val="auto"/>
              </w:rPr>
            </w:pPr>
            <w:r>
              <w:rPr>
                <w:rFonts w:ascii="Arial" w:cs="Arial" w:eastAsia="Arial" w:hAnsi="Arial"/>
                <w:sz w:val="14"/>
                <w:szCs w:val="14"/>
                <w:color w:val="auto"/>
              </w:rPr>
              <w:t>320,000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Rockville, MD</w:t>
            </w:r>
          </w:p>
        </w:tc>
        <w:tc>
          <w:tcPr>
            <w:tcW w:w="2860" w:type="dxa"/>
            <w:vAlign w:val="bottom"/>
          </w:tcPr>
          <w:p>
            <w:pPr>
              <w:jc w:val="right"/>
              <w:spacing w:after="0"/>
              <w:rPr>
                <w:sz w:val="20"/>
                <w:szCs w:val="20"/>
                <w:color w:val="auto"/>
              </w:rPr>
            </w:pPr>
            <w:r>
              <w:rPr>
                <w:rFonts w:ascii="Arial" w:cs="Arial" w:eastAsia="Arial" w:hAnsi="Arial"/>
                <w:sz w:val="14"/>
                <w:szCs w:val="14"/>
                <w:color w:val="auto"/>
              </w:rPr>
              <w:t>150,000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Boston, MA</w:t>
            </w:r>
          </w:p>
        </w:tc>
        <w:tc>
          <w:tcPr>
            <w:tcW w:w="2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3860" w:type="dxa"/>
            <w:vAlign w:val="bottom"/>
            <w:gridSpan w:val="2"/>
          </w:tcPr>
          <w:p>
            <w:pPr>
              <w:ind w:left="320"/>
              <w:spacing w:after="0"/>
              <w:rPr>
                <w:sz w:val="20"/>
                <w:szCs w:val="20"/>
                <w:color w:val="auto"/>
              </w:rPr>
            </w:pPr>
            <w:r>
              <w:rPr>
                <w:rFonts w:ascii="Arial" w:cs="Arial" w:eastAsia="Arial" w:hAnsi="Arial"/>
                <w:sz w:val="14"/>
                <w:szCs w:val="14"/>
                <w:color w:val="auto"/>
              </w:rPr>
              <w:t>Total Office</w:t>
            </w: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9,128,000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5"/>
        </w:trPr>
        <w:tc>
          <w:tcPr>
            <w:tcW w:w="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Residential</w:t>
            </w:r>
          </w:p>
        </w:tc>
        <w:tc>
          <w:tcPr>
            <w:tcW w:w="28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xml:space="preserve">Approximate Developable Square Feet </w:t>
            </w:r>
            <w:r>
              <w:rPr>
                <w:rFonts w:ascii="Arial" w:cs="Arial" w:eastAsia="Arial" w:hAnsi="Arial"/>
                <w:sz w:val="9"/>
                <w:szCs w:val="9"/>
                <w:color w:val="auto"/>
              </w:rPr>
              <w:t>2</w:t>
            </w: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2"/>
          </w:tcPr>
          <w:p>
            <w:pPr>
              <w:ind w:left="1140"/>
              <w:spacing w:after="0"/>
              <w:rPr>
                <w:sz w:val="20"/>
                <w:szCs w:val="20"/>
                <w:color w:val="auto"/>
              </w:rPr>
            </w:pPr>
            <w:r>
              <w:rPr>
                <w:rFonts w:ascii="Arial" w:cs="Arial" w:eastAsia="Arial" w:hAnsi="Arial"/>
                <w:sz w:val="14"/>
                <w:szCs w:val="14"/>
                <w:b w:val="1"/>
                <w:bCs w:val="1"/>
                <w:color w:val="auto"/>
              </w:rPr>
              <w:t>Residential Units (Estimated)</w:t>
            </w:r>
          </w:p>
        </w:tc>
      </w:tr>
      <w:tr>
        <w:trPr>
          <w:trHeight w:val="170"/>
        </w:trPr>
        <w:tc>
          <w:tcPr>
            <w:tcW w:w="2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Reston, VA</w:t>
            </w:r>
          </w:p>
        </w:tc>
        <w:tc>
          <w:tcPr>
            <w:tcW w:w="2860" w:type="dxa"/>
            <w:vAlign w:val="bottom"/>
          </w:tcPr>
          <w:p>
            <w:pPr>
              <w:jc w:val="right"/>
              <w:spacing w:after="0"/>
              <w:rPr>
                <w:sz w:val="20"/>
                <w:szCs w:val="20"/>
                <w:color w:val="auto"/>
              </w:rPr>
            </w:pPr>
            <w:r>
              <w:rPr>
                <w:rFonts w:ascii="Arial" w:cs="Arial" w:eastAsia="Arial" w:hAnsi="Arial"/>
                <w:sz w:val="14"/>
                <w:szCs w:val="14"/>
                <w:color w:val="auto"/>
              </w:rPr>
              <w:t>1,193,000</w:t>
            </w:r>
          </w:p>
        </w:tc>
        <w:tc>
          <w:tcPr>
            <w:tcW w:w="3200" w:type="dxa"/>
            <w:vAlign w:val="bottom"/>
            <w:gridSpan w:val="3"/>
          </w:tcPr>
          <w:p>
            <w:pPr>
              <w:jc w:val="right"/>
              <w:spacing w:after="0"/>
              <w:rPr>
                <w:sz w:val="20"/>
                <w:szCs w:val="20"/>
                <w:color w:val="auto"/>
              </w:rPr>
            </w:pPr>
            <w:r>
              <w:rPr>
                <w:rFonts w:ascii="Arial" w:cs="Arial" w:eastAsia="Arial" w:hAnsi="Arial"/>
                <w:sz w:val="14"/>
                <w:szCs w:val="14"/>
                <w:color w:val="auto"/>
              </w:rPr>
              <w:t>1,052</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Rockville, MD</w:t>
            </w:r>
          </w:p>
        </w:tc>
        <w:tc>
          <w:tcPr>
            <w:tcW w:w="2860" w:type="dxa"/>
            <w:vAlign w:val="bottom"/>
          </w:tcPr>
          <w:p>
            <w:pPr>
              <w:jc w:val="right"/>
              <w:spacing w:after="0"/>
              <w:rPr>
                <w:sz w:val="20"/>
                <w:szCs w:val="20"/>
                <w:color w:val="auto"/>
              </w:rPr>
            </w:pPr>
            <w:r>
              <w:rPr>
                <w:rFonts w:ascii="Arial" w:cs="Arial" w:eastAsia="Arial" w:hAnsi="Arial"/>
                <w:sz w:val="14"/>
                <w:szCs w:val="14"/>
                <w:color w:val="auto"/>
              </w:rPr>
              <w:t>622,000</w:t>
            </w:r>
          </w:p>
        </w:tc>
        <w:tc>
          <w:tcPr>
            <w:tcW w:w="3200" w:type="dxa"/>
            <w:vAlign w:val="bottom"/>
            <w:gridSpan w:val="3"/>
          </w:tcPr>
          <w:p>
            <w:pPr>
              <w:jc w:val="right"/>
              <w:spacing w:after="0"/>
              <w:rPr>
                <w:sz w:val="20"/>
                <w:szCs w:val="20"/>
                <w:color w:val="auto"/>
              </w:rPr>
            </w:pPr>
            <w:r>
              <w:rPr>
                <w:rFonts w:ascii="Arial" w:cs="Arial" w:eastAsia="Arial" w:hAnsi="Arial"/>
                <w:sz w:val="14"/>
                <w:szCs w:val="14"/>
                <w:color w:val="auto"/>
              </w:rPr>
              <w:t>490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Weston, MA</w:t>
            </w:r>
          </w:p>
        </w:tc>
        <w:tc>
          <w:tcPr>
            <w:tcW w:w="2860" w:type="dxa"/>
            <w:vAlign w:val="bottom"/>
          </w:tcPr>
          <w:p>
            <w:pPr>
              <w:jc w:val="right"/>
              <w:spacing w:after="0"/>
              <w:rPr>
                <w:sz w:val="20"/>
                <w:szCs w:val="20"/>
                <w:color w:val="auto"/>
              </w:rPr>
            </w:pPr>
            <w:r>
              <w:rPr>
                <w:rFonts w:ascii="Arial" w:cs="Arial" w:eastAsia="Arial" w:hAnsi="Arial"/>
                <w:sz w:val="14"/>
                <w:szCs w:val="14"/>
                <w:color w:val="auto"/>
              </w:rPr>
              <w:t>600,000</w:t>
            </w:r>
          </w:p>
        </w:tc>
        <w:tc>
          <w:tcPr>
            <w:tcW w:w="3200" w:type="dxa"/>
            <w:vAlign w:val="bottom"/>
            <w:gridSpan w:val="3"/>
          </w:tcPr>
          <w:p>
            <w:pPr>
              <w:jc w:val="right"/>
              <w:spacing w:after="0"/>
              <w:rPr>
                <w:sz w:val="20"/>
                <w:szCs w:val="20"/>
                <w:color w:val="auto"/>
              </w:rPr>
            </w:pPr>
            <w:r>
              <w:rPr>
                <w:rFonts w:ascii="Arial" w:cs="Arial" w:eastAsia="Arial" w:hAnsi="Arial"/>
                <w:sz w:val="14"/>
                <w:szCs w:val="14"/>
                <w:color w:val="auto"/>
              </w:rPr>
              <w:t>380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West Los Angeles, CA</w:t>
            </w:r>
          </w:p>
        </w:tc>
        <w:tc>
          <w:tcPr>
            <w:tcW w:w="2860" w:type="dxa"/>
            <w:vAlign w:val="bottom"/>
          </w:tcPr>
          <w:p>
            <w:pPr>
              <w:jc w:val="right"/>
              <w:spacing w:after="0"/>
              <w:rPr>
                <w:sz w:val="20"/>
                <w:szCs w:val="20"/>
                <w:color w:val="auto"/>
              </w:rPr>
            </w:pPr>
            <w:r>
              <w:rPr>
                <w:rFonts w:ascii="Arial" w:cs="Arial" w:eastAsia="Arial" w:hAnsi="Arial"/>
                <w:sz w:val="14"/>
                <w:szCs w:val="14"/>
                <w:color w:val="auto"/>
              </w:rPr>
              <w:t>545,000</w:t>
            </w:r>
          </w:p>
        </w:tc>
        <w:tc>
          <w:tcPr>
            <w:tcW w:w="3200" w:type="dxa"/>
            <w:vAlign w:val="bottom"/>
            <w:gridSpan w:val="3"/>
          </w:tcPr>
          <w:p>
            <w:pPr>
              <w:jc w:val="right"/>
              <w:spacing w:after="0"/>
              <w:rPr>
                <w:sz w:val="20"/>
                <w:szCs w:val="20"/>
                <w:color w:val="auto"/>
              </w:rPr>
            </w:pPr>
            <w:r>
              <w:rPr>
                <w:rFonts w:ascii="Arial" w:cs="Arial" w:eastAsia="Arial" w:hAnsi="Arial"/>
                <w:sz w:val="14"/>
                <w:szCs w:val="14"/>
                <w:color w:val="auto"/>
              </w:rPr>
              <w:t>790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Washington, DC (50% ownership)</w:t>
            </w:r>
          </w:p>
        </w:tc>
        <w:tc>
          <w:tcPr>
            <w:tcW w:w="2860" w:type="dxa"/>
            <w:vAlign w:val="bottom"/>
          </w:tcPr>
          <w:p>
            <w:pPr>
              <w:jc w:val="right"/>
              <w:spacing w:after="0"/>
              <w:rPr>
                <w:sz w:val="20"/>
                <w:szCs w:val="20"/>
                <w:color w:val="auto"/>
              </w:rPr>
            </w:pPr>
            <w:r>
              <w:rPr>
                <w:rFonts w:ascii="Arial" w:cs="Arial" w:eastAsia="Arial" w:hAnsi="Arial"/>
                <w:sz w:val="14"/>
                <w:szCs w:val="14"/>
                <w:color w:val="auto"/>
              </w:rPr>
              <w:t>520,000</w:t>
            </w:r>
          </w:p>
        </w:tc>
        <w:tc>
          <w:tcPr>
            <w:tcW w:w="3200" w:type="dxa"/>
            <w:vAlign w:val="bottom"/>
            <w:gridSpan w:val="3"/>
          </w:tcPr>
          <w:p>
            <w:pPr>
              <w:jc w:val="right"/>
              <w:spacing w:after="0"/>
              <w:rPr>
                <w:sz w:val="20"/>
                <w:szCs w:val="20"/>
                <w:color w:val="auto"/>
              </w:rPr>
            </w:pPr>
            <w:r>
              <w:rPr>
                <w:rFonts w:ascii="Arial" w:cs="Arial" w:eastAsia="Arial" w:hAnsi="Arial"/>
                <w:sz w:val="14"/>
                <w:szCs w:val="14"/>
                <w:color w:val="auto"/>
              </w:rPr>
              <w:t>539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Waltham, MA</w:t>
            </w:r>
          </w:p>
        </w:tc>
        <w:tc>
          <w:tcPr>
            <w:tcW w:w="2860" w:type="dxa"/>
            <w:vAlign w:val="bottom"/>
          </w:tcPr>
          <w:p>
            <w:pPr>
              <w:jc w:val="right"/>
              <w:spacing w:after="0"/>
              <w:rPr>
                <w:sz w:val="20"/>
                <w:szCs w:val="20"/>
                <w:color w:val="auto"/>
              </w:rPr>
            </w:pPr>
            <w:r>
              <w:rPr>
                <w:rFonts w:ascii="Arial" w:cs="Arial" w:eastAsia="Arial" w:hAnsi="Arial"/>
                <w:sz w:val="14"/>
                <w:szCs w:val="14"/>
                <w:color w:val="auto"/>
              </w:rPr>
              <w:t>444,000</w:t>
            </w:r>
          </w:p>
        </w:tc>
        <w:tc>
          <w:tcPr>
            <w:tcW w:w="3200" w:type="dxa"/>
            <w:vAlign w:val="bottom"/>
            <w:gridSpan w:val="3"/>
          </w:tcPr>
          <w:p>
            <w:pPr>
              <w:jc w:val="right"/>
              <w:spacing w:after="0"/>
              <w:rPr>
                <w:sz w:val="20"/>
                <w:szCs w:val="20"/>
                <w:color w:val="auto"/>
              </w:rPr>
            </w:pPr>
            <w:r>
              <w:rPr>
                <w:rFonts w:ascii="Arial" w:cs="Arial" w:eastAsia="Arial" w:hAnsi="Arial"/>
                <w:sz w:val="14"/>
                <w:szCs w:val="14"/>
                <w:color w:val="auto"/>
              </w:rPr>
              <w:t>633</w:t>
            </w:r>
          </w:p>
        </w:tc>
        <w:tc>
          <w:tcPr>
            <w:tcW w:w="4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Herndon, VA (50% ownership)</w:t>
            </w:r>
          </w:p>
        </w:tc>
        <w:tc>
          <w:tcPr>
            <w:tcW w:w="2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236,000</w:t>
            </w:r>
          </w:p>
        </w:tc>
        <w:tc>
          <w:tcPr>
            <w:tcW w:w="80" w:type="dxa"/>
            <w:vAlign w:val="bottom"/>
            <w:gridSpan w:val="2"/>
          </w:tcPr>
          <w:p>
            <w:pPr>
              <w:spacing w:after="0"/>
              <w:rPr>
                <w:sz w:val="19"/>
                <w:szCs w:val="19"/>
                <w:color w:val="auto"/>
              </w:rPr>
            </w:pPr>
          </w:p>
        </w:tc>
        <w:tc>
          <w:tcPr>
            <w:tcW w:w="3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w:t>
            </w:r>
          </w:p>
        </w:tc>
        <w:tc>
          <w:tcPr>
            <w:tcW w:w="40" w:type="dxa"/>
            <w:vAlign w:val="bottom"/>
            <w:tcBorders>
              <w:bottom w:val="single" w:sz="8" w:color="auto"/>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140" w:type="dxa"/>
            <w:vAlign w:val="bottom"/>
            <w:gridSpan w:val="3"/>
          </w:tcPr>
          <w:p>
            <w:pPr>
              <w:ind w:left="320"/>
              <w:spacing w:after="0"/>
              <w:rPr>
                <w:sz w:val="20"/>
                <w:szCs w:val="20"/>
                <w:color w:val="auto"/>
              </w:rPr>
            </w:pPr>
            <w:r>
              <w:rPr>
                <w:rFonts w:ascii="Arial" w:cs="Arial" w:eastAsia="Arial" w:hAnsi="Arial"/>
                <w:sz w:val="14"/>
                <w:szCs w:val="14"/>
                <w:color w:val="auto"/>
              </w:rPr>
              <w:t>Total Residential</w:t>
            </w:r>
          </w:p>
        </w:tc>
        <w:tc>
          <w:tcPr>
            <w:tcW w:w="2860" w:type="dxa"/>
            <w:vAlign w:val="bottom"/>
          </w:tcPr>
          <w:p>
            <w:pPr>
              <w:jc w:val="right"/>
              <w:spacing w:after="0"/>
              <w:rPr>
                <w:sz w:val="20"/>
                <w:szCs w:val="20"/>
                <w:color w:val="auto"/>
              </w:rPr>
            </w:pPr>
            <w:r>
              <w:rPr>
                <w:rFonts w:ascii="Arial" w:cs="Arial" w:eastAsia="Arial" w:hAnsi="Arial"/>
                <w:sz w:val="14"/>
                <w:szCs w:val="14"/>
                <w:color w:val="auto"/>
              </w:rPr>
              <w:t>4,160,000</w:t>
            </w:r>
          </w:p>
        </w:tc>
        <w:tc>
          <w:tcPr>
            <w:tcW w:w="3200" w:type="dxa"/>
            <w:vAlign w:val="bottom"/>
            <w:gridSpan w:val="3"/>
          </w:tcPr>
          <w:p>
            <w:pPr>
              <w:jc w:val="right"/>
              <w:spacing w:after="0"/>
              <w:rPr>
                <w:sz w:val="20"/>
                <w:szCs w:val="20"/>
                <w:color w:val="auto"/>
              </w:rPr>
            </w:pPr>
            <w:r>
              <w:rPr>
                <w:rFonts w:ascii="Arial" w:cs="Arial" w:eastAsia="Arial" w:hAnsi="Arial"/>
                <w:sz w:val="14"/>
                <w:szCs w:val="14"/>
                <w:color w:val="auto"/>
              </w:rPr>
              <w:t>4,342</w:t>
            </w:r>
          </w:p>
        </w:tc>
        <w:tc>
          <w:tcPr>
            <w:tcW w:w="4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286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tcPr>
          <w:p>
            <w:pPr>
              <w:ind w:left="320"/>
              <w:spacing w:after="0"/>
              <w:rPr>
                <w:sz w:val="20"/>
                <w:szCs w:val="20"/>
                <w:color w:val="auto"/>
              </w:rPr>
            </w:pPr>
            <w:r>
              <w:rPr>
                <w:rFonts w:ascii="Arial" w:cs="Arial" w:eastAsia="Arial" w:hAnsi="Arial"/>
                <w:sz w:val="14"/>
                <w:szCs w:val="14"/>
                <w:color w:val="auto"/>
              </w:rPr>
              <w:t>Total Owned Land Parcels</w:t>
            </w: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13,288,000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84"/>
        </w:trPr>
        <w:tc>
          <w:tcPr>
            <w:tcW w:w="41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i w:val="1"/>
                <w:iCs w:val="1"/>
                <w:color w:val="auto"/>
              </w:rPr>
              <w:t>VALUE CREATION PIPELINE - LAND PURCHASE OPTIONS</w:t>
            </w:r>
          </w:p>
        </w:tc>
        <w:tc>
          <w:tcPr>
            <w:tcW w:w="2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73"/>
        </w:trPr>
        <w:tc>
          <w:tcPr>
            <w:tcW w:w="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Office</w:t>
            </w:r>
          </w:p>
        </w:tc>
        <w:tc>
          <w:tcPr>
            <w:tcW w:w="2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Approximate Developable Square Feet </w:t>
            </w:r>
            <w:r>
              <w:rPr>
                <w:rFonts w:ascii="Arial" w:cs="Arial" w:eastAsia="Arial" w:hAnsi="Arial"/>
                <w:sz w:val="18"/>
                <w:szCs w:val="18"/>
                <w:color w:val="auto"/>
                <w:vertAlign w:val="superscript"/>
              </w:rPr>
              <w:t>2</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 xml:space="preserve">Waltham, MA </w:t>
            </w:r>
            <w:r>
              <w:rPr>
                <w:rFonts w:ascii="Arial" w:cs="Arial" w:eastAsia="Arial" w:hAnsi="Arial"/>
                <w:sz w:val="18"/>
                <w:szCs w:val="18"/>
                <w:color w:val="auto"/>
                <w:vertAlign w:val="superscript"/>
              </w:rPr>
              <w:t>3</w:t>
            </w:r>
          </w:p>
        </w:tc>
        <w:tc>
          <w:tcPr>
            <w:tcW w:w="2860" w:type="dxa"/>
            <w:vAlign w:val="bottom"/>
          </w:tcPr>
          <w:p>
            <w:pPr>
              <w:jc w:val="right"/>
              <w:spacing w:after="0"/>
              <w:rPr>
                <w:sz w:val="20"/>
                <w:szCs w:val="20"/>
                <w:color w:val="auto"/>
              </w:rPr>
            </w:pPr>
            <w:r>
              <w:rPr>
                <w:rFonts w:ascii="Arial" w:cs="Arial" w:eastAsia="Arial" w:hAnsi="Arial"/>
                <w:sz w:val="14"/>
                <w:szCs w:val="14"/>
                <w:color w:val="auto"/>
              </w:rPr>
              <w:t>1,200,000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190"/>
        </w:trPr>
        <w:tc>
          <w:tcPr>
            <w:tcW w:w="20" w:type="dxa"/>
            <w:vAlign w:val="bottom"/>
          </w:tcPr>
          <w:p>
            <w:pPr>
              <w:spacing w:after="0"/>
              <w:rPr>
                <w:sz w:val="16"/>
                <w:szCs w:val="16"/>
                <w:color w:val="auto"/>
              </w:rPr>
            </w:pPr>
          </w:p>
        </w:tc>
        <w:tc>
          <w:tcPr>
            <w:tcW w:w="4140" w:type="dxa"/>
            <w:vAlign w:val="bottom"/>
            <w:gridSpan w:val="3"/>
          </w:tcPr>
          <w:p>
            <w:pPr>
              <w:spacing w:after="0"/>
              <w:rPr>
                <w:sz w:val="20"/>
                <w:szCs w:val="20"/>
                <w:color w:val="auto"/>
              </w:rPr>
            </w:pPr>
            <w:r>
              <w:rPr>
                <w:rFonts w:ascii="Arial" w:cs="Arial" w:eastAsia="Arial" w:hAnsi="Arial"/>
                <w:sz w:val="14"/>
                <w:szCs w:val="14"/>
                <w:color w:val="auto"/>
              </w:rPr>
              <w:t>Boston, MA</w:t>
            </w:r>
          </w:p>
        </w:tc>
        <w:tc>
          <w:tcPr>
            <w:tcW w:w="2860" w:type="dxa"/>
            <w:vAlign w:val="bottom"/>
          </w:tcPr>
          <w:p>
            <w:pPr>
              <w:jc w:val="right"/>
              <w:spacing w:after="0"/>
              <w:rPr>
                <w:sz w:val="20"/>
                <w:szCs w:val="20"/>
                <w:color w:val="auto"/>
              </w:rPr>
            </w:pPr>
            <w:r>
              <w:rPr>
                <w:rFonts w:ascii="Arial" w:cs="Arial" w:eastAsia="Arial" w:hAnsi="Arial"/>
                <w:sz w:val="14"/>
                <w:szCs w:val="14"/>
                <w:color w:val="auto"/>
              </w:rPr>
              <w:t>668,000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Cambridge, MA</w:t>
            </w:r>
          </w:p>
        </w:tc>
        <w:tc>
          <w:tcPr>
            <w:tcW w:w="2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573,000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3860" w:type="dxa"/>
            <w:vAlign w:val="bottom"/>
            <w:gridSpan w:val="2"/>
          </w:tcPr>
          <w:p>
            <w:pPr>
              <w:ind w:left="320"/>
              <w:spacing w:after="0"/>
              <w:rPr>
                <w:sz w:val="20"/>
                <w:szCs w:val="20"/>
                <w:color w:val="auto"/>
              </w:rPr>
            </w:pPr>
            <w:r>
              <w:rPr>
                <w:rFonts w:ascii="Arial" w:cs="Arial" w:eastAsia="Arial" w:hAnsi="Arial"/>
                <w:sz w:val="14"/>
                <w:szCs w:val="14"/>
                <w:color w:val="auto"/>
              </w:rPr>
              <w:t>Total Office</w:t>
            </w:r>
          </w:p>
        </w:tc>
        <w:tc>
          <w:tcPr>
            <w:tcW w:w="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2,441,000</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16"/>
        </w:trPr>
        <w:tc>
          <w:tcPr>
            <w:tcW w:w="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Residential</w:t>
            </w:r>
          </w:p>
        </w:tc>
        <w:tc>
          <w:tcPr>
            <w:tcW w:w="2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 xml:space="preserve">Approximate Developable Square Feet </w:t>
            </w:r>
            <w:r>
              <w:rPr>
                <w:rFonts w:ascii="Arial" w:cs="Arial" w:eastAsia="Arial" w:hAnsi="Arial"/>
                <w:sz w:val="18"/>
                <w:szCs w:val="18"/>
                <w:color w:val="auto"/>
                <w:vertAlign w:val="superscript"/>
              </w:rPr>
              <w:t>2</w:t>
            </w:r>
          </w:p>
        </w:tc>
        <w:tc>
          <w:tcPr>
            <w:tcW w:w="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69"/>
        </w:trPr>
        <w:tc>
          <w:tcPr>
            <w:tcW w:w="20" w:type="dxa"/>
            <w:vAlign w:val="bottom"/>
          </w:tcPr>
          <w:p>
            <w:pPr>
              <w:spacing w:after="0"/>
              <w:rPr>
                <w:sz w:val="14"/>
                <w:szCs w:val="14"/>
                <w:color w:val="auto"/>
              </w:rPr>
            </w:pPr>
          </w:p>
        </w:tc>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860" w:type="dxa"/>
            <w:vAlign w:val="bottom"/>
            <w:gridSpan w:val="2"/>
          </w:tcPr>
          <w:p>
            <w:pPr>
              <w:spacing w:after="0"/>
              <w:rPr>
                <w:sz w:val="20"/>
                <w:szCs w:val="20"/>
                <w:color w:val="auto"/>
              </w:rPr>
            </w:pPr>
            <w:r>
              <w:rPr>
                <w:rFonts w:ascii="Arial" w:cs="Arial" w:eastAsia="Arial" w:hAnsi="Arial"/>
                <w:sz w:val="14"/>
                <w:szCs w:val="14"/>
                <w:color w:val="auto"/>
              </w:rPr>
              <w:t>Boston, MA</w:t>
            </w: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632,000</w:t>
            </w:r>
          </w:p>
        </w:tc>
        <w:tc>
          <w:tcPr>
            <w:tcW w:w="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140" w:type="dxa"/>
            <w:vAlign w:val="bottom"/>
            <w:gridSpan w:val="3"/>
          </w:tcPr>
          <w:p>
            <w:pPr>
              <w:ind w:left="320"/>
              <w:spacing w:after="0"/>
              <w:rPr>
                <w:sz w:val="20"/>
                <w:szCs w:val="20"/>
                <w:color w:val="auto"/>
              </w:rPr>
            </w:pPr>
            <w:r>
              <w:rPr>
                <w:rFonts w:ascii="Arial" w:cs="Arial" w:eastAsia="Arial" w:hAnsi="Arial"/>
                <w:sz w:val="14"/>
                <w:szCs w:val="14"/>
                <w:color w:val="auto"/>
              </w:rPr>
              <w:t>Total Residential</w:t>
            </w:r>
          </w:p>
        </w:tc>
        <w:tc>
          <w:tcPr>
            <w:tcW w:w="2860" w:type="dxa"/>
            <w:vAlign w:val="bottom"/>
          </w:tcPr>
          <w:p>
            <w:pPr>
              <w:jc w:val="right"/>
              <w:spacing w:after="0"/>
              <w:rPr>
                <w:sz w:val="20"/>
                <w:szCs w:val="20"/>
                <w:color w:val="auto"/>
              </w:rPr>
            </w:pPr>
            <w:r>
              <w:rPr>
                <w:rFonts w:ascii="Arial" w:cs="Arial" w:eastAsia="Arial" w:hAnsi="Arial"/>
                <w:sz w:val="14"/>
                <w:szCs w:val="14"/>
                <w:color w:val="auto"/>
              </w:rPr>
              <w:t>632,000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0"/>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286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140" w:type="dxa"/>
            <w:vAlign w:val="bottom"/>
            <w:gridSpan w:val="3"/>
          </w:tcPr>
          <w:p>
            <w:pPr>
              <w:ind w:left="320"/>
              <w:spacing w:after="0"/>
              <w:rPr>
                <w:sz w:val="20"/>
                <w:szCs w:val="20"/>
                <w:color w:val="auto"/>
              </w:rPr>
            </w:pPr>
            <w:r>
              <w:rPr>
                <w:rFonts w:ascii="Arial" w:cs="Arial" w:eastAsia="Arial" w:hAnsi="Arial"/>
                <w:sz w:val="14"/>
                <w:szCs w:val="14"/>
                <w:color w:val="auto"/>
              </w:rPr>
              <w:t>Total Land Purchase Options</w:t>
            </w:r>
          </w:p>
        </w:tc>
        <w:tc>
          <w:tcPr>
            <w:tcW w:w="2860" w:type="dxa"/>
            <w:vAlign w:val="bottom"/>
          </w:tcPr>
          <w:p>
            <w:pPr>
              <w:jc w:val="right"/>
              <w:spacing w:after="0"/>
              <w:rPr>
                <w:sz w:val="20"/>
                <w:szCs w:val="20"/>
                <w:color w:val="auto"/>
              </w:rPr>
            </w:pPr>
            <w:r>
              <w:rPr>
                <w:rFonts w:ascii="Arial" w:cs="Arial" w:eastAsia="Arial" w:hAnsi="Arial"/>
                <w:sz w:val="14"/>
                <w:szCs w:val="14"/>
                <w:color w:val="auto"/>
              </w:rPr>
              <w:t>3,073,000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w:t>
      </w:r>
    </w:p>
    <w:p>
      <w:pPr>
        <w:spacing w:after="0" w:line="36" w:lineRule="exact"/>
        <w:rPr>
          <w:sz w:val="20"/>
          <w:szCs w:val="20"/>
          <w:color w:val="auto"/>
        </w:rPr>
      </w:pPr>
    </w:p>
    <w:p>
      <w:pPr>
        <w:ind w:left="80" w:right="180" w:hanging="72"/>
        <w:spacing w:after="0" w:line="374" w:lineRule="auto"/>
        <w:tabs>
          <w:tab w:leader="none" w:pos="71" w:val="left"/>
        </w:tabs>
        <w:numPr>
          <w:ilvl w:val="0"/>
          <w:numId w:val="48"/>
        </w:numPr>
        <w:rPr>
          <w:rFonts w:ascii="Arial" w:cs="Arial" w:eastAsia="Arial" w:hAnsi="Arial"/>
          <w:sz w:val="16"/>
          <w:szCs w:val="16"/>
          <w:color w:val="auto"/>
          <w:vertAlign w:val="superscript"/>
        </w:rPr>
      </w:pPr>
      <w:r>
        <w:rPr>
          <w:rFonts w:ascii="Arial" w:cs="Arial" w:eastAsia="Arial" w:hAnsi="Arial"/>
          <w:sz w:val="11"/>
          <w:szCs w:val="11"/>
          <w:color w:val="auto"/>
        </w:rPr>
        <w:t>Includes properties that are no longer considered “in-service” because the occupancy percentage is below 50% and the Company anticipates a future development / redevelopment of the property. During the nine months ended September 30, 2026, approximately 260,000 net rentable square feet were removed from the Company’s in-service properties portfolio in anticipation of future redevelopment. There can be no assurance that the Company will develop or redevelop these land parcels and properties for office, residential or other uses, if at all. Actual uses may differ from those shown depending on, among other things, the outcome of the permitting and/or entitlement processes for each land parcel/property.</w:t>
      </w:r>
    </w:p>
    <w:p>
      <w:pPr>
        <w:ind w:left="80" w:hanging="72"/>
        <w:spacing w:after="0" w:line="223" w:lineRule="auto"/>
        <w:tabs>
          <w:tab w:leader="none" w:pos="80" w:val="left"/>
        </w:tabs>
        <w:numPr>
          <w:ilvl w:val="0"/>
          <w:numId w:val="49"/>
        </w:numPr>
        <w:rPr>
          <w:rFonts w:ascii="Arial" w:cs="Arial" w:eastAsia="Arial" w:hAnsi="Arial"/>
          <w:sz w:val="19"/>
          <w:szCs w:val="19"/>
          <w:color w:val="auto"/>
          <w:vertAlign w:val="superscript"/>
        </w:rPr>
      </w:pPr>
      <w:r>
        <w:rPr>
          <w:rFonts w:ascii="Arial" w:cs="Arial" w:eastAsia="Arial" w:hAnsi="Arial"/>
          <w:sz w:val="13"/>
          <w:szCs w:val="13"/>
          <w:color w:val="auto"/>
        </w:rPr>
        <w:t>Represents 100% of consolidated and unconsolidated projects.</w:t>
      </w:r>
    </w:p>
    <w:p>
      <w:pPr>
        <w:ind w:left="80" w:hanging="72"/>
        <w:spacing w:after="0" w:line="237" w:lineRule="auto"/>
        <w:tabs>
          <w:tab w:leader="none" w:pos="80" w:val="left"/>
        </w:tabs>
        <w:numPr>
          <w:ilvl w:val="0"/>
          <w:numId w:val="50"/>
        </w:numPr>
        <w:rPr>
          <w:rFonts w:ascii="Arial" w:cs="Arial" w:eastAsia="Arial" w:hAnsi="Arial"/>
          <w:sz w:val="19"/>
          <w:szCs w:val="19"/>
          <w:color w:val="auto"/>
          <w:vertAlign w:val="superscript"/>
        </w:rPr>
      </w:pPr>
      <w:r>
        <w:rPr>
          <w:rFonts w:ascii="Arial" w:cs="Arial" w:eastAsia="Arial" w:hAnsi="Arial"/>
          <w:sz w:val="13"/>
          <w:szCs w:val="13"/>
          <w:color w:val="auto"/>
        </w:rPr>
        <w:t>The Company expects to be a 50% partner in the future development of these sites.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17</w:t>
      </w:r>
    </w:p>
    <w:p>
      <w:pPr>
        <w:sectPr>
          <w:pgSz w:w="11900" w:h="16838" w:orient="portrait"/>
          <w:cols w:equalWidth="0" w:num="1">
            <w:col w:w="11240"/>
          </w:cols>
          <w:pgMar w:left="320" w:top="279" w:right="339" w:bottom="1440" w:gutter="0" w:footer="0" w:header="0"/>
          <w:type w:val="continuous"/>
        </w:sectPr>
      </w:pPr>
    </w:p>
    <w:bookmarkStart w:id="25" w:name="page26"/>
    <w:bookmarkEnd w:id="25"/>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Leasing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2026</w:t>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OCCUPANCY ACTIVITY - NET (INCREASE)/DECREASE IN AVAILABLE SPACE (SF)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0"/>
          <w:szCs w:val="20"/>
          <w:color w:val="auto"/>
        </w:rPr>
      </w:pPr>
    </w:p>
    <w:p>
      <w:pPr>
        <w:ind w:left="1020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6031230</wp:posOffset>
            </wp:positionH>
            <wp:positionV relativeFrom="paragraph">
              <wp:posOffset>23495</wp:posOffset>
            </wp:positionV>
            <wp:extent cx="11055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Vacant space available at the beginning of the period</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w:t>
      </w:r>
    </w:p>
    <w:p>
      <w:pPr>
        <w:spacing w:after="0" w:line="53"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Property dispositions/properties taken out of service </w:t>
      </w:r>
      <w:r>
        <w:rPr>
          <w:rFonts w:ascii="Arial" w:cs="Arial" w:eastAsia="Arial" w:hAnsi="Arial"/>
          <w:sz w:val="18"/>
          <w:szCs w:val="18"/>
          <w:color w:val="auto"/>
          <w:vertAlign w:val="superscript"/>
        </w:rPr>
        <w:t>1</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w:t>
      </w:r>
    </w:p>
    <w:p>
      <w:pPr>
        <w:spacing w:after="0" w:line="41" w:lineRule="exact"/>
        <w:rPr>
          <w:sz w:val="20"/>
          <w:szCs w:val="20"/>
          <w:color w:val="auto"/>
        </w:rPr>
      </w:pPr>
    </w:p>
    <w:p>
      <w:pPr>
        <w:ind w:left="220"/>
        <w:spacing w:after="0"/>
        <w:rPr>
          <w:sz w:val="20"/>
          <w:szCs w:val="20"/>
          <w:color w:val="auto"/>
        </w:rPr>
      </w:pPr>
      <w:r>
        <w:rPr>
          <w:rFonts w:ascii="Arial" w:cs="Arial" w:eastAsia="Arial" w:hAnsi="Arial"/>
          <w:sz w:val="14"/>
          <w:szCs w:val="14"/>
          <w:color w:val="auto"/>
        </w:rPr>
        <w:t>Leases expiring or terminated during the period</w:t>
      </w:r>
    </w:p>
    <w:p>
      <w:pPr>
        <w:spacing w:after="0" w:line="69"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Total space available for lease</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1st generation leases </w:t>
      </w:r>
      <w:r>
        <w:rPr>
          <w:rFonts w:ascii="Arial" w:cs="Arial" w:eastAsia="Arial" w:hAnsi="Arial"/>
          <w:sz w:val="18"/>
          <w:szCs w:val="18"/>
          <w:color w:val="auto"/>
          <w:vertAlign w:val="superscript"/>
        </w:rPr>
        <w:t>2</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2nd generation leases with new clients </w:t>
      </w:r>
      <w:r>
        <w:rPr>
          <w:rFonts w:ascii="Arial" w:cs="Arial" w:eastAsia="Arial" w:hAnsi="Arial"/>
          <w:sz w:val="18"/>
          <w:szCs w:val="18"/>
          <w:color w:val="auto"/>
          <w:vertAlign w:val="superscript"/>
        </w:rPr>
        <w:t>3</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2nd generation lease renewals</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4"/>
          <w:szCs w:val="14"/>
          <w:color w:val="auto"/>
        </w:rPr>
        <w:t>Total leases commenced during the period</w:t>
      </w:r>
    </w:p>
    <w:p>
      <w:pPr>
        <w:spacing w:after="0" w:line="258" w:lineRule="exact"/>
        <w:rPr>
          <w:sz w:val="20"/>
          <w:szCs w:val="20"/>
          <w:color w:val="auto"/>
        </w:rPr>
      </w:pPr>
    </w:p>
    <w:p>
      <w:pPr>
        <w:ind w:left="20"/>
        <w:spacing w:after="0"/>
        <w:rPr>
          <w:sz w:val="20"/>
          <w:szCs w:val="20"/>
          <w:color w:val="auto"/>
        </w:rPr>
      </w:pPr>
      <w:r>
        <w:rPr>
          <w:rFonts w:ascii="Arial" w:cs="Arial" w:eastAsia="Arial" w:hAnsi="Arial"/>
          <w:sz w:val="14"/>
          <w:szCs w:val="14"/>
          <w:color w:val="auto"/>
        </w:rPr>
        <w:t>Vacant space available for lease at the end of the period</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(increase)/decrease in available space</w:t>
      </w:r>
    </w:p>
    <w:p>
      <w:pPr>
        <w:spacing w:after="0" w:line="23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LEASING ACTIVITY - EXECUTED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1st generation leases </w:t>
      </w:r>
      <w:r>
        <w:rPr>
          <w:rFonts w:ascii="Arial" w:cs="Arial" w:eastAsia="Arial" w:hAnsi="Arial"/>
          <w:sz w:val="18"/>
          <w:szCs w:val="18"/>
          <w:color w:val="auto"/>
          <w:vertAlign w:val="superscript"/>
        </w:rPr>
        <w:t>2</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2nd generation leases with new clients </w:t>
      </w:r>
      <w:r>
        <w:rPr>
          <w:rFonts w:ascii="Arial" w:cs="Arial" w:eastAsia="Arial" w:hAnsi="Arial"/>
          <w:sz w:val="18"/>
          <w:szCs w:val="18"/>
          <w:color w:val="auto"/>
          <w:vertAlign w:val="superscript"/>
        </w:rPr>
        <w:t>3</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2nd generation leases renewals</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Leases executed during the period</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2nd generation leasing information: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Weighted average lease term (months)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Weighted average free rent period (days)</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Total transaction costs per square foot </w:t>
      </w:r>
      <w:r>
        <w:rPr>
          <w:rFonts w:ascii="Arial" w:cs="Arial" w:eastAsia="Arial" w:hAnsi="Arial"/>
          <w:sz w:val="18"/>
          <w:szCs w:val="18"/>
          <w:color w:val="auto"/>
          <w:vertAlign w:val="superscript"/>
        </w:rPr>
        <w:t>4</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Lease Costs per year of term</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Starting weighted average gross rent</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Increase (decrease) in gross rents </w:t>
      </w:r>
      <w:r>
        <w:rPr>
          <w:rFonts w:ascii="Arial" w:cs="Arial" w:eastAsia="Arial" w:hAnsi="Arial"/>
          <w:sz w:val="18"/>
          <w:szCs w:val="18"/>
          <w:color w:val="auto"/>
          <w:vertAlign w:val="superscript"/>
        </w:rPr>
        <w:t>5</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Increase (decrease) in net rents </w:t>
      </w:r>
      <w:r>
        <w:rPr>
          <w:rFonts w:ascii="Arial" w:cs="Arial" w:eastAsia="Arial" w:hAnsi="Arial"/>
          <w:sz w:val="18"/>
          <w:szCs w:val="18"/>
          <w:color w:val="auto"/>
          <w:vertAlign w:val="superscript"/>
        </w:rPr>
        <w:t>6</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5,387,452</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56,961</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color w:val="auto"/>
        </w:rPr>
        <w:t>1,020,446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23495</wp:posOffset>
            </wp:positionV>
            <wp:extent cx="11055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6,350,937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23495</wp:posOffset>
            </wp:positionV>
            <wp:extent cx="11055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117,079</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735,236</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662,086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23495</wp:posOffset>
            </wp:positionV>
            <wp:extent cx="11055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1,514,401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23495</wp:posOffset>
            </wp:positionV>
            <wp:extent cx="11055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05535" cy="8255"/>
                    </a:xfrm>
                    <a:prstGeom prst="rect">
                      <a:avLst/>
                    </a:prstGeom>
                    <a:noFill/>
                  </pic:spPr>
                </pic:pic>
              </a:graphicData>
            </a:graphic>
          </wp:anchor>
        </w:drawing>
      </w:r>
    </w:p>
    <w:p>
      <w:pPr>
        <w:spacing w:after="0" w:line="238"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4,836,536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23495</wp:posOffset>
            </wp:positionV>
            <wp:extent cx="11055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49"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550,916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-584835</wp:posOffset>
            </wp:positionH>
            <wp:positionV relativeFrom="paragraph">
              <wp:posOffset>23495</wp:posOffset>
            </wp:positionV>
            <wp:extent cx="11055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105535" cy="8255"/>
                    </a:xfrm>
                    <a:prstGeom prst="rect">
                      <a:avLst/>
                    </a:prstGeom>
                    <a:noFill/>
                  </pic:spPr>
                </pic:pic>
              </a:graphicData>
            </a:graphic>
          </wp:anchor>
        </w:drawing>
        <w:drawing>
          <wp:anchor simplePos="0" relativeHeight="251657728" behindDoc="1" locked="0" layoutInCell="0" allowOverlap="1">
            <wp:simplePos x="0" y="0"/>
            <wp:positionH relativeFrom="column">
              <wp:posOffset>-584835</wp:posOffset>
            </wp:positionH>
            <wp:positionV relativeFrom="paragraph">
              <wp:posOffset>49530</wp:posOffset>
            </wp:positionV>
            <wp:extent cx="11055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05535" cy="889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93,065</w:t>
      </w:r>
    </w:p>
    <w:p>
      <w:pPr>
        <w:spacing w:after="0" w:line="55"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717,517</w:t>
      </w:r>
    </w:p>
    <w:p>
      <w:pPr>
        <w:spacing w:after="0" w:line="55"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397,761</w:t>
      </w:r>
    </w:p>
    <w:p>
      <w:pPr>
        <w:spacing w:after="0" w:line="55"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1,208,343</w:t>
      </w:r>
    </w:p>
    <w:p>
      <w:pPr>
        <w:spacing w:after="0" w:line="200" w:lineRule="exact"/>
        <w:rPr>
          <w:sz w:val="20"/>
          <w:szCs w:val="20"/>
          <w:color w:val="auto"/>
        </w:rPr>
      </w:pPr>
    </w:p>
    <w:p>
      <w:pPr>
        <w:spacing w:after="0" w:line="23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114</w:t>
      </w:r>
    </w:p>
    <w:p>
      <w:pPr>
        <w:spacing w:after="0" w:line="55"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356</w:t>
      </w:r>
    </w:p>
    <w:p>
      <w:pPr>
        <w:spacing w:after="0" w:line="55"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$154.60</w:t>
      </w:r>
    </w:p>
    <w:p>
      <w:pPr>
        <w:spacing w:after="0" w:line="55"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$16.27</w:t>
      </w:r>
    </w:p>
    <w:p>
      <w:pPr>
        <w:spacing w:after="0" w:line="55" w:lineRule="exact"/>
        <w:rPr>
          <w:sz w:val="20"/>
          <w:szCs w:val="20"/>
          <w:color w:val="auto"/>
        </w:rPr>
      </w:pPr>
    </w:p>
    <w:p>
      <w:pPr>
        <w:jc w:val="right"/>
        <w:ind w:right="180"/>
        <w:spacing w:after="0"/>
        <w:rPr>
          <w:sz w:val="20"/>
          <w:szCs w:val="20"/>
          <w:color w:val="auto"/>
        </w:rPr>
      </w:pPr>
      <w:r>
        <w:rPr>
          <w:rFonts w:ascii="Arial" w:cs="Arial" w:eastAsia="Arial" w:hAnsi="Arial"/>
          <w:sz w:val="14"/>
          <w:szCs w:val="14"/>
          <w:color w:val="auto"/>
        </w:rPr>
        <w:t>$84.29</w:t>
      </w:r>
    </w:p>
    <w:p>
      <w:pPr>
        <w:spacing w:after="0" w:line="5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6.55 %</w:t>
      </w:r>
    </w:p>
    <w:p>
      <w:pPr>
        <w:spacing w:after="0" w:line="55"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9.33 %</w:t>
      </w:r>
    </w:p>
    <w:p>
      <w:pPr>
        <w:spacing w:after="0" w:line="251" w:lineRule="exact"/>
        <w:rPr>
          <w:sz w:val="20"/>
          <w:szCs w:val="20"/>
          <w:color w:val="auto"/>
        </w:rPr>
      </w:pPr>
    </w:p>
    <w:p>
      <w:pPr>
        <w:sectPr>
          <w:pgSz w:w="11900" w:h="16838" w:orient="portrait"/>
          <w:cols w:equalWidth="0" w:num="2">
            <w:col w:w="9700" w:space="720"/>
            <w:col w:w="820"/>
          </w:cols>
          <w:pgMar w:left="320" w:top="279"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4120" w:type="dxa"/>
            <w:vAlign w:val="bottom"/>
            <w:tcBorders>
              <w:bottom w:val="single" w:sz="8" w:color="auto"/>
            </w:tcBorders>
            <w:gridSpan w:val="5"/>
          </w:tcPr>
          <w:p>
            <w:pPr>
              <w:ind w:left="1360"/>
              <w:spacing w:after="0"/>
              <w:rPr>
                <w:sz w:val="20"/>
                <w:szCs w:val="20"/>
                <w:color w:val="auto"/>
              </w:rPr>
            </w:pPr>
            <w:r>
              <w:rPr>
                <w:rFonts w:ascii="Arial" w:cs="Arial" w:eastAsia="Arial" w:hAnsi="Arial"/>
                <w:sz w:val="13"/>
                <w:szCs w:val="13"/>
                <w:b w:val="1"/>
                <w:bCs w:val="1"/>
                <w:color w:val="auto"/>
              </w:rPr>
              <w:t>All leases executed in the quarter (SF)</w:t>
            </w:r>
          </w:p>
        </w:tc>
        <w:tc>
          <w:tcPr>
            <w:tcW w:w="10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40" w:type="dxa"/>
            <w:vAlign w:val="bottom"/>
            <w:tcBorders>
              <w:bottom w:val="single" w:sz="8" w:color="auto"/>
            </w:tcBorders>
            <w:gridSpan w:val="3"/>
          </w:tcPr>
          <w:p>
            <w:pPr>
              <w:jc w:val="right"/>
              <w:ind w:right="469"/>
              <w:spacing w:after="0"/>
              <w:rPr>
                <w:sz w:val="20"/>
                <w:szCs w:val="20"/>
                <w:color w:val="auto"/>
              </w:rPr>
            </w:pPr>
            <w:r>
              <w:rPr>
                <w:rFonts w:ascii="Arial" w:cs="Arial" w:eastAsia="Arial" w:hAnsi="Arial"/>
                <w:sz w:val="13"/>
                <w:szCs w:val="13"/>
                <w:b w:val="1"/>
                <w:bCs w:val="1"/>
                <w:color w:val="auto"/>
              </w:rPr>
              <w:t>Incr (decr) in 2nd generation cash rents</w:t>
            </w:r>
          </w:p>
        </w:tc>
      </w:tr>
      <w:tr>
        <w:trPr>
          <w:trHeight w:val="198"/>
        </w:trPr>
        <w:tc>
          <w:tcPr>
            <w:tcW w:w="2220" w:type="dxa"/>
            <w:vAlign w:val="bottom"/>
          </w:tcPr>
          <w:p>
            <w:pPr>
              <w:spacing w:after="0"/>
              <w:rPr>
                <w:sz w:val="17"/>
                <w:szCs w:val="17"/>
                <w:color w:val="auto"/>
              </w:rPr>
            </w:pPr>
          </w:p>
        </w:tc>
        <w:tc>
          <w:tcPr>
            <w:tcW w:w="162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1st generation</w:t>
            </w:r>
          </w:p>
        </w:tc>
        <w:tc>
          <w:tcPr>
            <w:tcW w:w="140" w:type="dxa"/>
            <w:vAlign w:val="bottom"/>
          </w:tcPr>
          <w:p>
            <w:pPr>
              <w:spacing w:after="0"/>
              <w:rPr>
                <w:sz w:val="17"/>
                <w:szCs w:val="17"/>
                <w:color w:val="auto"/>
              </w:rPr>
            </w:pPr>
          </w:p>
        </w:tc>
        <w:tc>
          <w:tcPr>
            <w:tcW w:w="1620" w:type="dxa"/>
            <w:vAlign w:val="bottom"/>
            <w:tcBorders>
              <w:bottom w:val="single" w:sz="8" w:color="auto"/>
            </w:tcBorders>
          </w:tcPr>
          <w:p>
            <w:pPr>
              <w:jc w:val="right"/>
              <w:ind w:right="249"/>
              <w:spacing w:after="0"/>
              <w:rPr>
                <w:sz w:val="20"/>
                <w:szCs w:val="20"/>
                <w:color w:val="auto"/>
              </w:rPr>
            </w:pPr>
            <w:r>
              <w:rPr>
                <w:rFonts w:ascii="Arial" w:cs="Arial" w:eastAsia="Arial" w:hAnsi="Arial"/>
                <w:sz w:val="13"/>
                <w:szCs w:val="13"/>
                <w:b w:val="1"/>
                <w:bCs w:val="1"/>
                <w:color w:val="auto"/>
              </w:rPr>
              <w:t>2nd generation</w:t>
            </w:r>
          </w:p>
        </w:tc>
        <w:tc>
          <w:tcPr>
            <w:tcW w:w="1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7"/>
                <w:szCs w:val="17"/>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xml:space="preserve">gross </w:t>
            </w:r>
            <w:r>
              <w:rPr>
                <w:rFonts w:ascii="Arial" w:cs="Arial" w:eastAsia="Arial" w:hAnsi="Arial"/>
                <w:sz w:val="17"/>
                <w:szCs w:val="17"/>
                <w:b w:val="1"/>
                <w:bCs w:val="1"/>
                <w:color w:val="auto"/>
                <w:vertAlign w:val="superscript"/>
              </w:rPr>
              <w:t>5,7</w:t>
            </w:r>
          </w:p>
        </w:tc>
        <w:tc>
          <w:tcPr>
            <w:tcW w:w="140" w:type="dxa"/>
            <w:vAlign w:val="bottom"/>
          </w:tcPr>
          <w:p>
            <w:pPr>
              <w:spacing w:after="0"/>
              <w:rPr>
                <w:sz w:val="17"/>
                <w:szCs w:val="17"/>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xml:space="preserve">net </w:t>
            </w:r>
            <w:r>
              <w:rPr>
                <w:rFonts w:ascii="Arial" w:cs="Arial" w:eastAsia="Arial" w:hAnsi="Arial"/>
                <w:sz w:val="17"/>
                <w:szCs w:val="17"/>
                <w:b w:val="1"/>
                <w:bCs w:val="1"/>
                <w:color w:val="auto"/>
                <w:vertAlign w:val="superscript"/>
              </w:rPr>
              <w:t>6,7</w:t>
            </w:r>
          </w:p>
        </w:tc>
      </w:tr>
      <w:tr>
        <w:trPr>
          <w:trHeight w:val="201"/>
        </w:trPr>
        <w:tc>
          <w:tcPr>
            <w:tcW w:w="2220" w:type="dxa"/>
            <w:vAlign w:val="bottom"/>
          </w:tcPr>
          <w:p>
            <w:pPr>
              <w:spacing w:after="0"/>
              <w:rPr>
                <w:sz w:val="20"/>
                <w:szCs w:val="20"/>
                <w:color w:val="auto"/>
              </w:rPr>
            </w:pPr>
            <w:r>
              <w:rPr>
                <w:rFonts w:ascii="Arial" w:cs="Arial" w:eastAsia="Arial" w:hAnsi="Arial"/>
                <w:sz w:val="14"/>
                <w:szCs w:val="14"/>
                <w:color w:val="auto"/>
              </w:rPr>
              <w:t>Boston</w:t>
            </w: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223,300</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223,300</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(1.17)%</w:t>
            </w:r>
          </w:p>
        </w:tc>
        <w:tc>
          <w:tcPr>
            <w:tcW w:w="14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(1.54)%</w:t>
            </w:r>
          </w:p>
        </w:tc>
      </w:t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Los Angeles</w:t>
            </w: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24,546</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24,546</w:t>
            </w:r>
          </w:p>
        </w:tc>
        <w:tc>
          <w:tcPr>
            <w:tcW w:w="200" w:type="dxa"/>
            <w:vAlign w:val="bottom"/>
          </w:tcPr>
          <w:p>
            <w:pPr>
              <w:spacing w:after="0"/>
              <w:rPr>
                <w:sz w:val="18"/>
                <w:szCs w:val="18"/>
                <w:color w:val="auto"/>
              </w:rPr>
            </w:pPr>
          </w:p>
        </w:tc>
        <w:tc>
          <w:tcPr>
            <w:tcW w:w="1880" w:type="dxa"/>
            <w:vAlign w:val="bottom"/>
            <w:gridSpan w:val="2"/>
          </w:tcPr>
          <w:p>
            <w:pPr>
              <w:jc w:val="right"/>
              <w:ind w:right="140"/>
              <w:spacing w:after="0"/>
              <w:rPr>
                <w:sz w:val="20"/>
                <w:szCs w:val="20"/>
                <w:color w:val="auto"/>
              </w:rPr>
            </w:pPr>
            <w:r>
              <w:rPr>
                <w:rFonts w:ascii="Arial" w:cs="Arial" w:eastAsia="Arial" w:hAnsi="Arial"/>
                <w:sz w:val="14"/>
                <w:szCs w:val="14"/>
                <w:color w:val="auto"/>
              </w:rPr>
              <w:t>— %</w:t>
            </w:r>
          </w:p>
        </w:tc>
        <w:tc>
          <w:tcPr>
            <w:tcW w:w="176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New York</w:t>
            </w:r>
          </w:p>
        </w:tc>
        <w:tc>
          <w:tcPr>
            <w:tcW w:w="1620" w:type="dxa"/>
            <w:vAlign w:val="bottom"/>
          </w:tcPr>
          <w:p>
            <w:pPr>
              <w:jc w:val="right"/>
              <w:spacing w:after="0"/>
              <w:rPr>
                <w:sz w:val="20"/>
                <w:szCs w:val="20"/>
                <w:color w:val="auto"/>
              </w:rPr>
            </w:pPr>
            <w:r>
              <w:rPr>
                <w:rFonts w:ascii="Arial" w:cs="Arial" w:eastAsia="Arial" w:hAnsi="Arial"/>
                <w:sz w:val="14"/>
                <w:szCs w:val="14"/>
                <w:color w:val="auto"/>
              </w:rPr>
              <w:t>77,962</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245,873</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323,835</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10.71 %</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18.11 %</w:t>
            </w:r>
          </w:p>
        </w:tc>
      </w:t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San Francisco</w:t>
            </w: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133,766</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133,766</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(8.31)%</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(11.19)%</w:t>
            </w:r>
          </w:p>
        </w:tc>
      </w:tr>
      <w:tr>
        <w:trPr>
          <w:trHeight w:val="216"/>
        </w:trPr>
        <w:tc>
          <w:tcPr>
            <w:tcW w:w="2220" w:type="dxa"/>
            <w:vAlign w:val="bottom"/>
          </w:tcPr>
          <w:p>
            <w:pPr>
              <w:spacing w:after="0"/>
              <w:rPr>
                <w:sz w:val="20"/>
                <w:szCs w:val="20"/>
                <w:color w:val="auto"/>
              </w:rPr>
            </w:pPr>
            <w:r>
              <w:rPr>
                <w:rFonts w:ascii="Arial" w:cs="Arial" w:eastAsia="Arial" w:hAnsi="Arial"/>
                <w:sz w:val="14"/>
                <w:szCs w:val="14"/>
                <w:color w:val="auto"/>
              </w:rPr>
              <w:t>Seattle</w:t>
            </w:r>
          </w:p>
        </w:tc>
        <w:tc>
          <w:tcPr>
            <w:tcW w:w="1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142,910</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9"/>
              <w:spacing w:after="0"/>
              <w:rPr>
                <w:sz w:val="20"/>
                <w:szCs w:val="20"/>
                <w:color w:val="auto"/>
              </w:rPr>
            </w:pPr>
            <w:r>
              <w:rPr>
                <w:rFonts w:ascii="Arial" w:cs="Arial" w:eastAsia="Arial" w:hAnsi="Arial"/>
                <w:sz w:val="14"/>
                <w:szCs w:val="14"/>
                <w:color w:val="auto"/>
              </w:rPr>
              <w:t>142,910</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2.74 %</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3.85 %</w:t>
            </w:r>
          </w:p>
        </w:tc>
      </w:tr>
      <w:tr>
        <w:trPr>
          <w:trHeight w:val="220"/>
        </w:trPr>
        <w:tc>
          <w:tcPr>
            <w:tcW w:w="2220" w:type="dxa"/>
            <w:vAlign w:val="bottom"/>
          </w:tcPr>
          <w:p>
            <w:pPr>
              <w:spacing w:after="0"/>
              <w:rPr>
                <w:sz w:val="20"/>
                <w:szCs w:val="20"/>
                <w:color w:val="auto"/>
              </w:rPr>
            </w:pPr>
            <w:r>
              <w:rPr>
                <w:rFonts w:ascii="Arial" w:cs="Arial" w:eastAsia="Arial" w:hAnsi="Arial"/>
                <w:sz w:val="14"/>
                <w:szCs w:val="14"/>
                <w:color w:val="auto"/>
              </w:rPr>
              <w:t>Washington, DC</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15,103</w:t>
            </w:r>
          </w:p>
        </w:tc>
        <w:tc>
          <w:tcPr>
            <w:tcW w:w="14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344,883</w:t>
            </w:r>
          </w:p>
        </w:tc>
        <w:tc>
          <w:tcPr>
            <w:tcW w:w="1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359,986</w:t>
            </w:r>
          </w:p>
        </w:tc>
        <w:tc>
          <w:tcPr>
            <w:tcW w:w="2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13.89 %</w:t>
            </w:r>
          </w:p>
        </w:tc>
        <w:tc>
          <w:tcPr>
            <w:tcW w:w="14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19.06 %</w:t>
            </w:r>
          </w:p>
        </w:tc>
      </w:tr>
      <w:tr>
        <w:trPr>
          <w:trHeight w:val="213"/>
        </w:trPr>
        <w:tc>
          <w:tcPr>
            <w:tcW w:w="2220" w:type="dxa"/>
            <w:vAlign w:val="bottom"/>
          </w:tcPr>
          <w:p>
            <w:pPr>
              <w:spacing w:after="0"/>
              <w:rPr>
                <w:sz w:val="20"/>
                <w:szCs w:val="20"/>
                <w:color w:val="auto"/>
              </w:rPr>
            </w:pPr>
            <w:r>
              <w:rPr>
                <w:rFonts w:ascii="Arial" w:cs="Arial" w:eastAsia="Arial" w:hAnsi="Arial"/>
                <w:sz w:val="14"/>
                <w:szCs w:val="14"/>
                <w:color w:val="auto"/>
              </w:rPr>
              <w:t>Total / Weighted Average</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93,065</w:t>
            </w:r>
          </w:p>
        </w:tc>
        <w:tc>
          <w:tcPr>
            <w:tcW w:w="14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1,115,278</w:t>
            </w:r>
          </w:p>
        </w:tc>
        <w:tc>
          <w:tcPr>
            <w:tcW w:w="1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1,208,343</w:t>
            </w:r>
          </w:p>
        </w:tc>
        <w:tc>
          <w:tcPr>
            <w:tcW w:w="1940" w:type="dxa"/>
            <w:vAlign w:val="bottom"/>
            <w:gridSpan w:val="2"/>
          </w:tcPr>
          <w:p>
            <w:pPr>
              <w:jc w:val="right"/>
              <w:spacing w:after="0"/>
              <w:rPr>
                <w:sz w:val="20"/>
                <w:szCs w:val="20"/>
                <w:color w:val="auto"/>
              </w:rPr>
            </w:pPr>
            <w:r>
              <w:rPr>
                <w:rFonts w:ascii="Arial" w:cs="Arial" w:eastAsia="Arial" w:hAnsi="Arial"/>
                <w:sz w:val="14"/>
                <w:szCs w:val="14"/>
                <w:color w:val="auto"/>
              </w:rPr>
              <w:t>6.55 %</w:t>
            </w:r>
          </w:p>
        </w:tc>
        <w:tc>
          <w:tcPr>
            <w:tcW w:w="1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4"/>
                <w:szCs w:val="14"/>
                <w:color w:val="auto"/>
              </w:rPr>
              <w:t>9.33 %</w:t>
            </w:r>
          </w:p>
        </w:tc>
      </w:tr>
      <w:tr>
        <w:trPr>
          <w:trHeight w:val="20"/>
        </w:trPr>
        <w:tc>
          <w:tcPr>
            <w:tcW w:w="2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51"/>
        </w:numPr>
        <w:rPr>
          <w:rFonts w:ascii="Arial" w:cs="Arial" w:eastAsia="Arial" w:hAnsi="Arial"/>
          <w:sz w:val="19"/>
          <w:szCs w:val="19"/>
          <w:color w:val="auto"/>
          <w:vertAlign w:val="superscript"/>
        </w:rPr>
      </w:pPr>
      <w:r>
        <w:rPr>
          <w:rFonts w:ascii="Arial" w:cs="Arial" w:eastAsia="Arial" w:hAnsi="Arial"/>
          <w:sz w:val="14"/>
          <w:szCs w:val="14"/>
          <w:color w:val="auto"/>
        </w:rPr>
        <w:t>Total square feet of properties taken out of service vacant space in Q3 2026 consists of 14,764 at Sumner Square and 42,197 at 1330 Connecticut Avenue.</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1st generation leases are defined as leases for development and redevelopment space that has not previously been leased.</w:t>
      </w:r>
    </w:p>
    <w:p>
      <w:pPr>
        <w:spacing w:after="0" w:line="38"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2nd generation leases are defined as leases for in-service space that has previously been leased.</w:t>
      </w:r>
    </w:p>
    <w:p>
      <w:pPr>
        <w:spacing w:after="0" w:line="11"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4 </w:t>
      </w:r>
      <w:r>
        <w:rPr>
          <w:rFonts w:ascii="Arial" w:cs="Arial" w:eastAsia="Arial" w:hAnsi="Arial"/>
          <w:sz w:val="14"/>
          <w:szCs w:val="14"/>
          <w:color w:val="auto"/>
        </w:rPr>
        <w:t>Total transaction costs include tenant improvements and leasing commissions, but exclude free rent concessions.</w:t>
      </w:r>
    </w:p>
    <w:p>
      <w:pPr>
        <w:spacing w:after="0" w:line="41" w:lineRule="exact"/>
        <w:rPr>
          <w:sz w:val="20"/>
          <w:szCs w:val="20"/>
          <w:color w:val="auto"/>
        </w:rPr>
      </w:pPr>
    </w:p>
    <w:p>
      <w:pPr>
        <w:ind w:left="80" w:right="20" w:hanging="72"/>
        <w:spacing w:after="0" w:line="234" w:lineRule="auto"/>
        <w:tabs>
          <w:tab w:leader="none" w:pos="91"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Represents the increase/(decrease) in gross rent (base rent plus expense reimbursements) on the new vs. expired leases on the 923,369 square feet of 2nd generation leases that had been occupied within the prior 24 months from the execution of the new lease; excludes leases that management considers temporary because the client is not expected to occupy the space on a long-term basis.</w:t>
      </w:r>
    </w:p>
    <w:p>
      <w:pPr>
        <w:spacing w:after="0" w:line="27" w:lineRule="exact"/>
        <w:rPr>
          <w:sz w:val="20"/>
          <w:szCs w:val="20"/>
          <w:color w:val="auto"/>
        </w:rPr>
      </w:pPr>
    </w:p>
    <w:p>
      <w:pPr>
        <w:ind w:left="80" w:right="120" w:hanging="72"/>
        <w:spacing w:after="0" w:line="234" w:lineRule="auto"/>
        <w:tabs>
          <w:tab w:leader="none" w:pos="91" w:val="left"/>
        </w:tabs>
        <w:numPr>
          <w:ilvl w:val="0"/>
          <w:numId w:val="53"/>
        </w:numPr>
        <w:rPr>
          <w:rFonts w:ascii="Arial" w:cs="Arial" w:eastAsia="Arial" w:hAnsi="Arial"/>
          <w:sz w:val="19"/>
          <w:szCs w:val="19"/>
          <w:color w:val="auto"/>
          <w:vertAlign w:val="superscript"/>
        </w:rPr>
      </w:pPr>
      <w:r>
        <w:rPr>
          <w:rFonts w:ascii="Arial" w:cs="Arial" w:eastAsia="Arial" w:hAnsi="Arial"/>
          <w:sz w:val="14"/>
          <w:szCs w:val="14"/>
          <w:color w:val="auto"/>
        </w:rPr>
        <w:t>Represents the increase/(decrease) in net rent (gross rent less operating expenses) on the new vs. expired leases on the 923,369 square feet of 2nd generation leases that had been occupied within the prior 24 months from the execution of the new lease; excludes leases that management considers temporary because the client is not expected to occupy the space on a long-term basis.</w:t>
      </w:r>
    </w:p>
    <w:p>
      <w:pPr>
        <w:ind w:left="100" w:hanging="92"/>
        <w:spacing w:after="0" w:line="238" w:lineRule="auto"/>
        <w:tabs>
          <w:tab w:leader="none" w:pos="100" w:val="left"/>
        </w:tabs>
        <w:numPr>
          <w:ilvl w:val="0"/>
          <w:numId w:val="54"/>
        </w:numPr>
        <w:rPr>
          <w:rFonts w:ascii="Arial" w:cs="Arial" w:eastAsia="Arial" w:hAnsi="Arial"/>
          <w:sz w:val="19"/>
          <w:szCs w:val="19"/>
          <w:color w:val="auto"/>
          <w:vertAlign w:val="superscript"/>
        </w:rPr>
      </w:pPr>
      <w:r>
        <w:rPr>
          <w:rFonts w:ascii="Arial" w:cs="Arial" w:eastAsia="Arial" w:hAnsi="Arial"/>
          <w:sz w:val="14"/>
          <w:szCs w:val="14"/>
          <w:color w:val="auto"/>
        </w:rPr>
        <w:t>The calculation for the increase/(decrease) of gross rent and net rent are based on current quarter expenses.</w:t>
      </w:r>
    </w:p>
    <w:p>
      <w:pPr>
        <w:sectPr>
          <w:pgSz w:w="11900" w:h="16838" w:orient="portrait"/>
          <w:cols w:equalWidth="0" w:num="1">
            <w:col w:w="11240"/>
          </w:cols>
          <w:pgMar w:left="320" w:top="279" w:right="339" w:bottom="1440" w:gutter="0" w:footer="0" w:header="0"/>
          <w:type w:val="continuous"/>
        </w:sectPr>
      </w:pPr>
    </w:p>
    <w:p>
      <w:pPr>
        <w:spacing w:after="0" w:line="21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240"/>
          </w:cols>
          <w:pgMar w:left="320" w:top="279" w:right="339" w:bottom="1440" w:gutter="0" w:footer="0" w:header="0"/>
          <w:type w:val="continuous"/>
        </w:sectPr>
      </w:pPr>
    </w:p>
    <w:bookmarkStart w:id="26" w:name="page27"/>
    <w:bookmarkEnd w:id="26"/>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Portfolio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Rentable square footage of in-service properties by location and unit type </w:t>
      </w:r>
      <w:r>
        <w:rPr>
          <w:rFonts w:ascii="Arial" w:cs="Arial" w:eastAsia="Arial" w:hAnsi="Arial"/>
          <w:sz w:val="9"/>
          <w:szCs w:val="9"/>
          <w:b w:val="1"/>
          <w:bCs w:val="1"/>
          <w:i w:val="1"/>
          <w:iCs w:val="1"/>
          <w:color w:val="auto"/>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3"/>
          </w:tcPr>
          <w:p>
            <w:pPr>
              <w:ind w:left="180"/>
              <w:spacing w:after="0"/>
              <w:rPr>
                <w:sz w:val="20"/>
                <w:szCs w:val="20"/>
                <w:color w:val="auto"/>
              </w:rPr>
            </w:pPr>
            <w:r>
              <w:rPr>
                <w:rFonts w:ascii="Arial" w:cs="Arial" w:eastAsia="Arial" w:hAnsi="Arial"/>
                <w:sz w:val="14"/>
                <w:szCs w:val="14"/>
                <w:b w:val="1"/>
                <w:bCs w:val="1"/>
                <w:color w:val="auto"/>
              </w:rPr>
              <w:t>Office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3"/>
          </w:tcPr>
          <w:p>
            <w:pPr>
              <w:ind w:left="160"/>
              <w:spacing w:after="0"/>
              <w:rPr>
                <w:sz w:val="20"/>
                <w:szCs w:val="20"/>
                <w:color w:val="auto"/>
              </w:rPr>
            </w:pPr>
            <w:r>
              <w:rPr>
                <w:rFonts w:ascii="Arial" w:cs="Arial" w:eastAsia="Arial" w:hAnsi="Arial"/>
                <w:sz w:val="14"/>
                <w:szCs w:val="14"/>
                <w:b w:val="1"/>
                <w:bCs w:val="1"/>
                <w:color w:val="auto"/>
              </w:rPr>
              <w:t>Retail</w:t>
            </w:r>
          </w:p>
        </w:tc>
        <w:tc>
          <w:tcPr>
            <w:tcW w:w="120" w:type="dxa"/>
            <w:vAlign w:val="bottom"/>
          </w:tcPr>
          <w:p>
            <w:pPr>
              <w:spacing w:after="0"/>
              <w:rPr>
                <w:sz w:val="17"/>
                <w:szCs w:val="17"/>
                <w:color w:val="auto"/>
              </w:rPr>
            </w:pPr>
          </w:p>
        </w:tc>
        <w:tc>
          <w:tcPr>
            <w:tcW w:w="1300" w:type="dxa"/>
            <w:vAlign w:val="bottom"/>
            <w:gridSpan w:val="5"/>
          </w:tcPr>
          <w:p>
            <w:pPr>
              <w:ind w:left="100"/>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Pr>
          <w:p>
            <w:pPr>
              <w:spacing w:after="0"/>
              <w:rPr>
                <w:sz w:val="17"/>
                <w:szCs w:val="17"/>
                <w:color w:val="auto"/>
              </w:rPr>
            </w:pPr>
          </w:p>
        </w:tc>
        <w:tc>
          <w:tcPr>
            <w:tcW w:w="12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rPr>
              <w:t>Hotel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Boston</w:t>
            </w:r>
          </w:p>
        </w:tc>
        <w:tc>
          <w:tcPr>
            <w:tcW w:w="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14,564,632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1,076,529</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320,444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330,000</w:t>
            </w:r>
          </w:p>
        </w:tc>
        <w:tc>
          <w:tcPr>
            <w:tcW w:w="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16,291,605</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Los Angeles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1,921,358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123,247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3"/>
          </w:tcPr>
          <w:p>
            <w:pPr>
              <w:jc w:val="right"/>
              <w:ind w:right="38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2,044,605</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New York</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12,540,522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482,418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3"/>
          </w:tcPr>
          <w:p>
            <w:pPr>
              <w:jc w:val="right"/>
              <w:ind w:right="38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13,022,940</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San Francisco</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6,050,899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333,307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8"/>
              <w:spacing w:after="0"/>
              <w:rPr>
                <w:sz w:val="20"/>
                <w:szCs w:val="20"/>
                <w:color w:val="auto"/>
              </w:rPr>
            </w:pPr>
            <w:r>
              <w:rPr>
                <w:rFonts w:ascii="Arial" w:cs="Arial" w:eastAsia="Arial" w:hAnsi="Arial"/>
                <w:sz w:val="14"/>
                <w:szCs w:val="14"/>
                <w:color w:val="auto"/>
              </w:rPr>
              <w:t>318,171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6,702,377</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Seattle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1,498,851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13,171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3"/>
          </w:tcPr>
          <w:p>
            <w:pPr>
              <w:jc w:val="right"/>
              <w:ind w:right="380"/>
              <w:spacing w:after="0"/>
              <w:rPr>
                <w:sz w:val="20"/>
                <w:szCs w:val="20"/>
                <w:color w:val="auto"/>
              </w:rPr>
            </w:pPr>
            <w:r>
              <w:rPr>
                <w:rFonts w:ascii="Arial" w:cs="Arial" w:eastAsia="Arial" w:hAnsi="Arial"/>
                <w:sz w:val="14"/>
                <w:szCs w:val="14"/>
                <w:color w:val="auto"/>
                <w:w w:val="99"/>
              </w:rPr>
              <w:t>—</w:t>
            </w:r>
          </w:p>
        </w:tc>
        <w:tc>
          <w:tcPr>
            <w:tcW w:w="180" w:type="dxa"/>
            <w:vAlign w:val="bottom"/>
          </w:tcPr>
          <w:p>
            <w:pPr>
              <w:spacing w:after="0"/>
              <w:rPr>
                <w:sz w:val="18"/>
                <w:szCs w:val="18"/>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1,512,022</w:t>
            </w: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rPr>
                <w:sz w:val="20"/>
                <w:szCs w:val="20"/>
                <w:color w:val="auto"/>
              </w:rPr>
            </w:pPr>
            <w:r>
              <w:rPr>
                <w:rFonts w:ascii="Arial" w:cs="Arial" w:eastAsia="Arial" w:hAnsi="Arial"/>
                <w:sz w:val="14"/>
                <w:szCs w:val="14"/>
                <w:color w:val="auto"/>
              </w:rPr>
              <w:t>Washington, DC</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6,559,325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523,312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3"/>
          </w:tcPr>
          <w:p>
            <w:pPr>
              <w:jc w:val="right"/>
              <w:ind w:right="108"/>
              <w:spacing w:after="0"/>
              <w:rPr>
                <w:sz w:val="20"/>
                <w:szCs w:val="20"/>
                <w:color w:val="auto"/>
              </w:rPr>
            </w:pPr>
            <w:r>
              <w:rPr>
                <w:rFonts w:ascii="Arial" w:cs="Arial" w:eastAsia="Arial" w:hAnsi="Arial"/>
                <w:sz w:val="14"/>
                <w:szCs w:val="14"/>
                <w:color w:val="auto"/>
              </w:rPr>
              <w:t>417,036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5"/>
          </w:tcPr>
          <w:p>
            <w:pPr>
              <w:jc w:val="right"/>
              <w:ind w:right="3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7,499,673</w:t>
            </w:r>
          </w:p>
        </w:tc>
        <w:tc>
          <w:tcPr>
            <w:tcW w:w="0" w:type="dxa"/>
            <w:vAlign w:val="bottom"/>
          </w:tcPr>
          <w:p>
            <w:pPr>
              <w:spacing w:after="0"/>
              <w:rPr>
                <w:sz w:val="1"/>
                <w:szCs w:val="1"/>
                <w:color w:val="auto"/>
              </w:rPr>
            </w:pPr>
          </w:p>
        </w:tc>
      </w:tr>
      <w:tr>
        <w:trPr>
          <w:trHeight w:val="214"/>
        </w:trPr>
        <w:tc>
          <w:tcPr>
            <w:tcW w:w="4320" w:type="dxa"/>
            <w:vAlign w:val="bottom"/>
          </w:tcPr>
          <w:p>
            <w:pPr>
              <w:ind w:left="220"/>
              <w:spacing w:after="0"/>
              <w:rPr>
                <w:sz w:val="20"/>
                <w:szCs w:val="20"/>
                <w:color w:val="auto"/>
              </w:rPr>
            </w:pPr>
            <w:r>
              <w:rPr>
                <w:rFonts w:ascii="Arial" w:cs="Arial" w:eastAsia="Arial" w:hAnsi="Arial"/>
                <w:sz w:val="14"/>
                <w:szCs w:val="14"/>
                <w:color w:val="auto"/>
              </w:rPr>
              <w:t>Total</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43,135,587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2,551,984</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1,055,651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330,000</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47,073,222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6"/>
        </w:trPr>
        <w:tc>
          <w:tcPr>
            <w:tcW w:w="4320" w:type="dxa"/>
            <w:vAlign w:val="bottom"/>
          </w:tcPr>
          <w:p>
            <w:pPr>
              <w:ind w:left="220"/>
              <w:spacing w:after="0"/>
              <w:rPr>
                <w:sz w:val="20"/>
                <w:szCs w:val="20"/>
                <w:color w:val="auto"/>
              </w:rPr>
            </w:pPr>
            <w:r>
              <w:rPr>
                <w:rFonts w:ascii="Arial" w:cs="Arial" w:eastAsia="Arial" w:hAnsi="Arial"/>
                <w:sz w:val="14"/>
                <w:szCs w:val="14"/>
                <w:color w:val="auto"/>
              </w:rPr>
              <w:t>% of Total</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91.64 %</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5.42 %</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2.24 %</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0.70 %</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666"/>
        </w:trPr>
        <w:tc>
          <w:tcPr>
            <w:tcW w:w="7180" w:type="dxa"/>
            <w:vAlign w:val="bottom"/>
            <w:tcBorders>
              <w:bottom w:val="single" w:sz="8" w:color="auto"/>
            </w:tcBorders>
            <w:gridSpan w:val="11"/>
          </w:tcPr>
          <w:p>
            <w:pPr>
              <w:spacing w:after="0"/>
              <w:rPr>
                <w:sz w:val="20"/>
                <w:szCs w:val="20"/>
                <w:color w:val="auto"/>
              </w:rPr>
            </w:pPr>
            <w:r>
              <w:rPr>
                <w:rFonts w:ascii="Arial" w:cs="Arial" w:eastAsia="Arial" w:hAnsi="Arial"/>
                <w:sz w:val="14"/>
                <w:szCs w:val="14"/>
                <w:b w:val="1"/>
                <w:bCs w:val="1"/>
                <w:i w:val="1"/>
                <w:iCs w:val="1"/>
                <w:color w:val="auto"/>
              </w:rPr>
              <w:t xml:space="preserve">Rentable square footage of in-service properties, excluding hotel and residential properties </w:t>
            </w:r>
            <w:r>
              <w:rPr>
                <w:rFonts w:ascii="Arial" w:cs="Arial" w:eastAsia="Arial" w:hAnsi="Arial"/>
                <w:sz w:val="18"/>
                <w:szCs w:val="18"/>
                <w:b w:val="1"/>
                <w:bCs w:val="1"/>
                <w:i w:val="1"/>
                <w:iCs w:val="1"/>
                <w:color w:val="auto"/>
                <w:vertAlign w:val="superscript"/>
              </w:rPr>
              <w:t>1, 3</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4"/>
                <w:szCs w:val="14"/>
                <w:color w:val="auto"/>
              </w:rPr>
              <w:t xml:space="preserve">Rentable square feet of in-service properties </w:t>
            </w:r>
            <w:r>
              <w:rPr>
                <w:rFonts w:ascii="Arial" w:cs="Arial" w:eastAsia="Arial" w:hAnsi="Arial"/>
                <w:sz w:val="18"/>
                <w:szCs w:val="18"/>
                <w:color w:val="auto"/>
                <w:vertAlign w:val="superscript"/>
              </w:rPr>
              <w:t>2</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47,073,222</w:t>
            </w:r>
          </w:p>
        </w:tc>
        <w:tc>
          <w:tcPr>
            <w:tcW w:w="0" w:type="dxa"/>
            <w:vAlign w:val="bottom"/>
          </w:tcPr>
          <w:p>
            <w:pPr>
              <w:spacing w:after="0"/>
              <w:rPr>
                <w:sz w:val="1"/>
                <w:szCs w:val="1"/>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color w:val="auto"/>
              </w:rPr>
              <w:t>Less:</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320" w:type="dxa"/>
            <w:vAlign w:val="bottom"/>
          </w:tcPr>
          <w:p>
            <w:pPr>
              <w:ind w:left="240"/>
              <w:spacing w:after="0"/>
              <w:rPr>
                <w:sz w:val="20"/>
                <w:szCs w:val="20"/>
                <w:color w:val="auto"/>
              </w:rPr>
            </w:pPr>
            <w:r>
              <w:rPr>
                <w:rFonts w:ascii="Arial" w:cs="Arial" w:eastAsia="Arial" w:hAnsi="Arial"/>
                <w:sz w:val="14"/>
                <w:szCs w:val="14"/>
                <w:color w:val="auto"/>
              </w:rPr>
              <w:t xml:space="preserve">Rentable square feet from residential and hotel properties </w:t>
            </w:r>
            <w:r>
              <w:rPr>
                <w:rFonts w:ascii="Arial" w:cs="Arial" w:eastAsia="Arial" w:hAnsi="Arial"/>
                <w:sz w:val="18"/>
                <w:szCs w:val="18"/>
                <w:color w:val="auto"/>
                <w:vertAlign w:val="superscript"/>
              </w:rPr>
              <w:t>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1,402,736</w:t>
            </w:r>
          </w:p>
        </w:tc>
        <w:tc>
          <w:tcPr>
            <w:tcW w:w="0" w:type="dxa"/>
            <w:vAlign w:val="bottom"/>
          </w:tcPr>
          <w:p>
            <w:pPr>
              <w:spacing w:after="0"/>
              <w:rPr>
                <w:sz w:val="1"/>
                <w:szCs w:val="1"/>
                <w:color w:val="auto"/>
              </w:rPr>
            </w:pPr>
          </w:p>
        </w:tc>
      </w:tr>
      <w:tr>
        <w:trPr>
          <w:trHeight w:val="216"/>
        </w:trPr>
        <w:tc>
          <w:tcPr>
            <w:tcW w:w="8600" w:type="dxa"/>
            <w:vAlign w:val="bottom"/>
            <w:gridSpan w:val="17"/>
          </w:tcPr>
          <w:p>
            <w:pPr>
              <w:ind w:left="240"/>
              <w:spacing w:after="0"/>
              <w:rPr>
                <w:sz w:val="20"/>
                <w:szCs w:val="20"/>
                <w:color w:val="auto"/>
              </w:rPr>
            </w:pPr>
            <w:r>
              <w:rPr>
                <w:rFonts w:ascii="Arial" w:cs="Arial" w:eastAsia="Arial" w:hAnsi="Arial"/>
                <w:sz w:val="14"/>
                <w:szCs w:val="14"/>
                <w:color w:val="auto"/>
              </w:rPr>
              <w:t xml:space="preserve">Partners’ share of rentable square feet from unconsolidated joint venture properties, excluding residential properties </w:t>
            </w:r>
            <w:r>
              <w:rPr>
                <w:rFonts w:ascii="Arial" w:cs="Arial" w:eastAsia="Arial" w:hAnsi="Arial"/>
                <w:sz w:val="18"/>
                <w:szCs w:val="18"/>
                <w:color w:val="auto"/>
                <w:vertAlign w:val="superscript"/>
              </w:rPr>
              <w:t>4</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2,885,328</w:t>
            </w:r>
          </w:p>
        </w:tc>
        <w:tc>
          <w:tcPr>
            <w:tcW w:w="0" w:type="dxa"/>
            <w:vAlign w:val="bottom"/>
          </w:tcPr>
          <w:p>
            <w:pPr>
              <w:spacing w:after="0"/>
              <w:rPr>
                <w:sz w:val="1"/>
                <w:szCs w:val="1"/>
                <w:color w:val="auto"/>
              </w:rPr>
            </w:pPr>
          </w:p>
        </w:tc>
      </w:tr>
      <w:tr>
        <w:trPr>
          <w:trHeight w:val="201"/>
        </w:trPr>
        <w:tc>
          <w:tcPr>
            <w:tcW w:w="5760" w:type="dxa"/>
            <w:vAlign w:val="bottom"/>
            <w:gridSpan w:val="6"/>
          </w:tcPr>
          <w:p>
            <w:pPr>
              <w:ind w:left="240"/>
              <w:spacing w:after="0" w:line="201" w:lineRule="exact"/>
              <w:rPr>
                <w:sz w:val="20"/>
                <w:szCs w:val="20"/>
                <w:color w:val="auto"/>
              </w:rPr>
            </w:pPr>
            <w:r>
              <w:rPr>
                <w:rFonts w:ascii="Arial" w:cs="Arial" w:eastAsia="Arial" w:hAnsi="Arial"/>
                <w:sz w:val="14"/>
                <w:szCs w:val="14"/>
                <w:color w:val="auto"/>
              </w:rPr>
              <w:t xml:space="preserve">Partners’ share of rentable square feet from consolidated joint venture properties </w:t>
            </w:r>
            <w:r>
              <w:rPr>
                <w:rFonts w:ascii="Arial" w:cs="Arial" w:eastAsia="Arial" w:hAnsi="Arial"/>
                <w:sz w:val="18"/>
                <w:szCs w:val="18"/>
                <w:color w:val="auto"/>
                <w:vertAlign w:val="superscript"/>
              </w:rPr>
              <w:t>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3,376,105</w:t>
            </w:r>
          </w:p>
        </w:tc>
        <w:tc>
          <w:tcPr>
            <w:tcW w:w="0" w:type="dxa"/>
            <w:vAlign w:val="bottom"/>
          </w:tcPr>
          <w:p>
            <w:pPr>
              <w:spacing w:after="0"/>
              <w:rPr>
                <w:sz w:val="1"/>
                <w:szCs w:val="1"/>
                <w:color w:val="auto"/>
              </w:rPr>
            </w:pPr>
          </w:p>
        </w:tc>
      </w:tr>
      <w:tr>
        <w:trPr>
          <w:trHeight w:val="210"/>
        </w:trPr>
        <w:tc>
          <w:tcPr>
            <w:tcW w:w="5760" w:type="dxa"/>
            <w:vAlign w:val="bottom"/>
            <w:gridSpan w:val="6"/>
          </w:tcPr>
          <w:p>
            <w:pPr>
              <w:ind w:left="20"/>
              <w:spacing w:after="0"/>
              <w:rPr>
                <w:sz w:val="20"/>
                <w:szCs w:val="20"/>
                <w:color w:val="auto"/>
              </w:rPr>
            </w:pPr>
            <w:r>
              <w:rPr>
                <w:rFonts w:ascii="Arial" w:cs="Arial" w:eastAsia="Arial" w:hAnsi="Arial"/>
                <w:sz w:val="14"/>
                <w:szCs w:val="14"/>
                <w:color w:val="auto"/>
              </w:rPr>
              <w:t xml:space="preserve">BXP’s Share of rentable square feet, excluding residential and hotel properties </w:t>
            </w:r>
            <w:r>
              <w:rPr>
                <w:rFonts w:ascii="Arial" w:cs="Arial" w:eastAsia="Arial" w:hAnsi="Arial"/>
                <w:sz w:val="18"/>
                <w:szCs w:val="18"/>
                <w:color w:val="auto"/>
                <w:vertAlign w:val="superscript"/>
              </w:rPr>
              <w:t>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39,409,053</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xml:space="preserve">Rental revenue of in-service properties by unit type </w:t>
            </w:r>
            <w:r>
              <w:rPr>
                <w:rFonts w:ascii="Arial" w:cs="Arial" w:eastAsia="Arial" w:hAnsi="Arial"/>
                <w:sz w:val="18"/>
                <w:szCs w:val="18"/>
                <w:b w:val="1"/>
                <w:bCs w:val="1"/>
                <w:i w:val="1"/>
                <w:iCs w:val="1"/>
                <w:color w:val="auto"/>
                <w:vertAlign w:val="superscript"/>
              </w:rPr>
              <w:t>1, 3</w:t>
            </w: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5"/>
        </w:trPr>
        <w:tc>
          <w:tcPr>
            <w:tcW w:w="432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Office</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Residential</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rPr>
              <w:t xml:space="preserve">Hotel </w:t>
            </w:r>
            <w:r>
              <w:rPr>
                <w:rFonts w:ascii="Arial" w:cs="Arial" w:eastAsia="Arial" w:hAnsi="Arial"/>
                <w:sz w:val="18"/>
                <w:szCs w:val="18"/>
                <w:b w:val="1"/>
                <w:bCs w:val="1"/>
                <w:color w:val="auto"/>
                <w:vertAlign w:val="superscript"/>
              </w:rPr>
              <w:t>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4320" w:type="dxa"/>
            <w:vAlign w:val="bottom"/>
          </w:tcPr>
          <w:p>
            <w:pPr>
              <w:ind w:left="20"/>
              <w:spacing w:after="0"/>
              <w:rPr>
                <w:sz w:val="20"/>
                <w:szCs w:val="20"/>
                <w:color w:val="auto"/>
              </w:rPr>
            </w:pPr>
            <w:r>
              <w:rPr>
                <w:rFonts w:ascii="Arial" w:cs="Arial" w:eastAsia="Arial" w:hAnsi="Arial"/>
                <w:sz w:val="14"/>
                <w:szCs w:val="14"/>
                <w:color w:val="auto"/>
              </w:rPr>
              <w:t>Consolidated</w:t>
            </w: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816,908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63,705</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88"/>
              <w:spacing w:after="0"/>
              <w:rPr>
                <w:sz w:val="20"/>
                <w:szCs w:val="20"/>
                <w:color w:val="auto"/>
              </w:rPr>
            </w:pPr>
            <w:r>
              <w:rPr>
                <w:rFonts w:ascii="Arial" w:cs="Arial" w:eastAsia="Arial" w:hAnsi="Arial"/>
                <w:sz w:val="14"/>
                <w:szCs w:val="14"/>
                <w:color w:val="auto"/>
              </w:rPr>
              <w:t>3,904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13,130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897,647</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Less: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320" w:type="dxa"/>
            <w:vAlign w:val="bottom"/>
          </w:tcPr>
          <w:p>
            <w:pPr>
              <w:ind w:left="180"/>
              <w:spacing w:after="0"/>
              <w:rPr>
                <w:sz w:val="20"/>
                <w:szCs w:val="20"/>
                <w:color w:val="auto"/>
              </w:rPr>
            </w:pPr>
            <w:r>
              <w:rPr>
                <w:rFonts w:ascii="Arial" w:cs="Arial" w:eastAsia="Arial" w:hAnsi="Arial"/>
                <w:sz w:val="14"/>
                <w:szCs w:val="14"/>
                <w:color w:val="auto"/>
              </w:rPr>
              <w:t xml:space="preserve">Partners’ share from consolidated joint ventures </w:t>
            </w:r>
            <w:r>
              <w:rPr>
                <w:rFonts w:ascii="Arial" w:cs="Arial" w:eastAsia="Arial" w:hAnsi="Arial"/>
                <w:sz w:val="18"/>
                <w:szCs w:val="18"/>
                <w:color w:val="auto"/>
                <w:vertAlign w:val="superscript"/>
              </w:rPr>
              <w:t>7</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94,127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9,645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20" w:type="dxa"/>
            <w:vAlign w:val="bottom"/>
            <w:gridSpan w:val="5"/>
          </w:tcPr>
          <w:p>
            <w:pPr>
              <w:jc w:val="right"/>
              <w:ind w:right="3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103,772</w:t>
            </w:r>
          </w:p>
        </w:tc>
        <w:tc>
          <w:tcPr>
            <w:tcW w:w="0" w:type="dxa"/>
            <w:vAlign w:val="bottom"/>
          </w:tcPr>
          <w:p>
            <w:pPr>
              <w:spacing w:after="0"/>
              <w:rPr>
                <w:sz w:val="1"/>
                <w:szCs w:val="1"/>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color w:val="auto"/>
              </w:rPr>
              <w:t>Add:</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180"/>
              <w:spacing w:after="0"/>
              <w:rPr>
                <w:sz w:val="20"/>
                <w:szCs w:val="20"/>
                <w:color w:val="auto"/>
              </w:rPr>
            </w:pPr>
            <w:r>
              <w:rPr>
                <w:rFonts w:ascii="Arial" w:cs="Arial" w:eastAsia="Arial" w:hAnsi="Arial"/>
                <w:sz w:val="14"/>
                <w:szCs w:val="14"/>
                <w:color w:val="auto"/>
              </w:rPr>
              <w:t xml:space="preserve">BXP’s share from unconsolidated joint ventures </w:t>
            </w:r>
            <w:r>
              <w:rPr>
                <w:rFonts w:ascii="Arial" w:cs="Arial" w:eastAsia="Arial" w:hAnsi="Arial"/>
                <w:sz w:val="18"/>
                <w:szCs w:val="18"/>
                <w:color w:val="auto"/>
                <w:vertAlign w:val="superscript"/>
              </w:rPr>
              <w:t>8</w:t>
            </w:r>
          </w:p>
        </w:tc>
        <w:tc>
          <w:tcPr>
            <w:tcW w:w="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39,414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3,140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3,857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46,411</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Arial" w:cs="Arial" w:eastAsia="Arial" w:hAnsi="Arial"/>
                <w:sz w:val="14"/>
                <w:szCs w:val="14"/>
                <w:color w:val="auto"/>
              </w:rPr>
              <w:t xml:space="preserve">BXP’s Share of Rental revenue </w:t>
            </w:r>
            <w:r>
              <w:rPr>
                <w:rFonts w:ascii="Arial" w:cs="Arial" w:eastAsia="Arial" w:hAnsi="Arial"/>
                <w:sz w:val="18"/>
                <w:szCs w:val="18"/>
                <w:color w:val="auto"/>
                <w:vertAlign w:val="superscript"/>
              </w:rPr>
              <w:t>1</w:t>
            </w:r>
          </w:p>
        </w:tc>
        <w:tc>
          <w:tcPr>
            <w:tcW w:w="2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8"/>
              <w:spacing w:after="0"/>
              <w:rPr>
                <w:sz w:val="20"/>
                <w:szCs w:val="20"/>
                <w:color w:val="auto"/>
              </w:rPr>
            </w:pPr>
            <w:r>
              <w:rPr>
                <w:rFonts w:ascii="Arial" w:cs="Arial" w:eastAsia="Arial" w:hAnsi="Arial"/>
                <w:sz w:val="14"/>
                <w:szCs w:val="14"/>
                <w:color w:val="auto"/>
              </w:rPr>
              <w:t>762,195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57,200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88"/>
              <w:spacing w:after="0"/>
              <w:rPr>
                <w:sz w:val="20"/>
                <w:szCs w:val="20"/>
                <w:color w:val="auto"/>
              </w:rPr>
            </w:pPr>
            <w:r>
              <w:rPr>
                <w:rFonts w:ascii="Arial" w:cs="Arial" w:eastAsia="Arial" w:hAnsi="Arial"/>
                <w:sz w:val="14"/>
                <w:szCs w:val="14"/>
                <w:color w:val="auto"/>
              </w:rPr>
              <w:t>7,761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13,130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840,286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320" w:type="dxa"/>
            <w:vAlign w:val="bottom"/>
          </w:tcPr>
          <w:p>
            <w:pPr>
              <w:ind w:left="220"/>
              <w:spacing w:after="0"/>
              <w:rPr>
                <w:sz w:val="20"/>
                <w:szCs w:val="20"/>
                <w:color w:val="auto"/>
              </w:rPr>
            </w:pPr>
            <w:r>
              <w:rPr>
                <w:rFonts w:ascii="Arial" w:cs="Arial" w:eastAsia="Arial" w:hAnsi="Arial"/>
                <w:sz w:val="14"/>
                <w:szCs w:val="14"/>
                <w:color w:val="auto"/>
              </w:rPr>
              <w:t>% of Total</w:t>
            </w: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90.71 %</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6.81 %</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0.92 %</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1.56 %</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603"/>
        </w:trPr>
        <w:tc>
          <w:tcPr>
            <w:tcW w:w="7180" w:type="dxa"/>
            <w:vAlign w:val="bottom"/>
            <w:gridSpan w:val="11"/>
          </w:tcPr>
          <w:p>
            <w:pPr>
              <w:spacing w:after="0"/>
              <w:rPr>
                <w:sz w:val="20"/>
                <w:szCs w:val="20"/>
                <w:color w:val="auto"/>
              </w:rPr>
            </w:pPr>
            <w:r>
              <w:rPr>
                <w:rFonts w:ascii="Arial" w:cs="Arial" w:eastAsia="Arial" w:hAnsi="Arial"/>
                <w:sz w:val="14"/>
                <w:szCs w:val="14"/>
                <w:b w:val="1"/>
                <w:bCs w:val="1"/>
                <w:i w:val="1"/>
                <w:iCs w:val="1"/>
                <w:color w:val="auto"/>
              </w:rPr>
              <w:t xml:space="preserve">Percentage of BXP’s Share of net operating income (NOI) (excluding termination income) by location </w:t>
            </w:r>
            <w:r>
              <w:rPr>
                <w:rFonts w:ascii="Arial" w:cs="Arial" w:eastAsia="Arial" w:hAnsi="Arial"/>
                <w:sz w:val="9"/>
                <w:szCs w:val="9"/>
                <w:b w:val="1"/>
                <w:bCs w:val="1"/>
                <w:i w:val="1"/>
                <w:iCs w:val="1"/>
                <w:color w:val="auto"/>
              </w:rPr>
              <w:t>1, 9</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4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gridSpan w:val="5"/>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gridSpan w:val="5"/>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5"/>
          </w:tcPr>
          <w:p>
            <w:pPr>
              <w:ind w:left="160"/>
              <w:spacing w:after="0"/>
              <w:rPr>
                <w:sz w:val="20"/>
                <w:szCs w:val="20"/>
                <w:color w:val="auto"/>
              </w:rPr>
            </w:pPr>
            <w:r>
              <w:rPr>
                <w:rFonts w:ascii="Arial" w:cs="Arial" w:eastAsia="Arial" w:hAnsi="Arial"/>
                <w:sz w:val="14"/>
                <w:szCs w:val="14"/>
                <w:b w:val="1"/>
                <w:bCs w:val="1"/>
                <w:color w:val="auto"/>
              </w:rPr>
              <w:t>CBD</w:t>
            </w:r>
          </w:p>
        </w:tc>
        <w:tc>
          <w:tcPr>
            <w:tcW w:w="180" w:type="dxa"/>
            <w:vAlign w:val="bottom"/>
          </w:tcPr>
          <w:p>
            <w:pPr>
              <w:spacing w:after="0"/>
              <w:rPr>
                <w:sz w:val="18"/>
                <w:szCs w:val="18"/>
                <w:color w:val="auto"/>
              </w:rPr>
            </w:pPr>
          </w:p>
        </w:tc>
        <w:tc>
          <w:tcPr>
            <w:tcW w:w="1220" w:type="dxa"/>
            <w:vAlign w:val="bottom"/>
            <w:gridSpan w:val="5"/>
          </w:tcPr>
          <w:p>
            <w:pPr>
              <w:ind w:left="60"/>
              <w:spacing w:after="0"/>
              <w:rPr>
                <w:sz w:val="20"/>
                <w:szCs w:val="20"/>
                <w:color w:val="auto"/>
              </w:rPr>
            </w:pPr>
            <w:r>
              <w:rPr>
                <w:rFonts w:ascii="Arial" w:cs="Arial" w:eastAsia="Arial" w:hAnsi="Arial"/>
                <w:sz w:val="14"/>
                <w:szCs w:val="14"/>
                <w:b w:val="1"/>
                <w:bCs w:val="1"/>
                <w:color w:val="auto"/>
              </w:rPr>
              <w:t>Suburban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320" w:type="dxa"/>
            <w:vAlign w:val="bottom"/>
          </w:tcPr>
          <w:p>
            <w:pPr>
              <w:ind w:left="20"/>
              <w:spacing w:after="0"/>
              <w:rPr>
                <w:sz w:val="20"/>
                <w:szCs w:val="20"/>
                <w:color w:val="auto"/>
              </w:rPr>
            </w:pPr>
            <w:r>
              <w:rPr>
                <w:rFonts w:ascii="Arial" w:cs="Arial" w:eastAsia="Arial" w:hAnsi="Arial"/>
                <w:sz w:val="14"/>
                <w:szCs w:val="14"/>
                <w:color w:val="auto"/>
              </w:rPr>
              <w:t>Boston</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35.71 %</w:t>
            </w:r>
          </w:p>
        </w:tc>
        <w:tc>
          <w:tcPr>
            <w:tcW w:w="2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4.93 %</w:t>
            </w:r>
          </w:p>
        </w:tc>
        <w:tc>
          <w:tcPr>
            <w:tcW w:w="2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40.64 %</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Los Angeles</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3.29 %</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5"/>
          </w:tcPr>
          <w:p>
            <w:pPr>
              <w:jc w:val="right"/>
              <w:ind w:right="500"/>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3.29 %</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New York</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22.99 %</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1.70 %</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24.69 %</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San Francisco</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14.72 %</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0.58 %</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15.30 %</w:t>
            </w:r>
          </w:p>
        </w:tc>
        <w:tc>
          <w:tcPr>
            <w:tcW w:w="0" w:type="dxa"/>
            <w:vAlign w:val="bottom"/>
          </w:tcPr>
          <w:p>
            <w:pPr>
              <w:spacing w:after="0"/>
              <w:rPr>
                <w:sz w:val="1"/>
                <w:szCs w:val="1"/>
                <w:color w:val="auto"/>
              </w:rPr>
            </w:pPr>
          </w:p>
        </w:tc>
      </w:tr>
      <w:tr>
        <w:trPr>
          <w:trHeight w:val="216"/>
        </w:trPr>
        <w:tc>
          <w:tcPr>
            <w:tcW w:w="4320" w:type="dxa"/>
            <w:vAlign w:val="bottom"/>
          </w:tcPr>
          <w:p>
            <w:pPr>
              <w:ind w:left="20"/>
              <w:spacing w:after="0"/>
              <w:rPr>
                <w:sz w:val="20"/>
                <w:szCs w:val="20"/>
                <w:color w:val="auto"/>
              </w:rPr>
            </w:pPr>
            <w:r>
              <w:rPr>
                <w:rFonts w:ascii="Arial" w:cs="Arial" w:eastAsia="Arial" w:hAnsi="Arial"/>
                <w:sz w:val="14"/>
                <w:szCs w:val="14"/>
                <w:color w:val="auto"/>
              </w:rPr>
              <w:t>Seattle</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2.01 %</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5"/>
          </w:tcPr>
          <w:p>
            <w:pPr>
              <w:jc w:val="right"/>
              <w:ind w:right="500"/>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2.01 %</w:t>
            </w: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rPr>
                <w:sz w:val="20"/>
                <w:szCs w:val="20"/>
                <w:color w:val="auto"/>
              </w:rPr>
            </w:pPr>
            <w:r>
              <w:rPr>
                <w:rFonts w:ascii="Arial" w:cs="Arial" w:eastAsia="Arial" w:hAnsi="Arial"/>
                <w:sz w:val="14"/>
                <w:szCs w:val="14"/>
                <w:color w:val="auto"/>
              </w:rPr>
              <w:t>Washington, DC</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14.09 %</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(0.02)%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14.07 %</w:t>
            </w:r>
          </w:p>
        </w:tc>
        <w:tc>
          <w:tcPr>
            <w:tcW w:w="0" w:type="dxa"/>
            <w:vAlign w:val="bottom"/>
          </w:tcPr>
          <w:p>
            <w:pPr>
              <w:spacing w:after="0"/>
              <w:rPr>
                <w:sz w:val="1"/>
                <w:szCs w:val="1"/>
                <w:color w:val="auto"/>
              </w:rPr>
            </w:pPr>
          </w:p>
        </w:tc>
      </w:tr>
      <w:tr>
        <w:trPr>
          <w:trHeight w:val="213"/>
        </w:trPr>
        <w:tc>
          <w:tcPr>
            <w:tcW w:w="4320" w:type="dxa"/>
            <w:vAlign w:val="bottom"/>
          </w:tcPr>
          <w:p>
            <w:pPr>
              <w:ind w:left="220"/>
              <w:spacing w:after="0"/>
              <w:rPr>
                <w:sz w:val="20"/>
                <w:szCs w:val="20"/>
                <w:color w:val="auto"/>
              </w:rPr>
            </w:pPr>
            <w:r>
              <w:rPr>
                <w:rFonts w:ascii="Arial" w:cs="Arial" w:eastAsia="Arial" w:hAnsi="Arial"/>
                <w:sz w:val="14"/>
                <w:szCs w:val="14"/>
                <w:color w:val="auto"/>
              </w:rPr>
              <w:t>Total</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92.81 %</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7.19 %</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100.00 %</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55"/>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56.</w:t>
      </w:r>
    </w:p>
    <w:p>
      <w:pPr>
        <w:spacing w:after="0" w:line="26" w:lineRule="exact"/>
        <w:rPr>
          <w:rFonts w:ascii="Arial" w:cs="Arial" w:eastAsia="Arial" w:hAnsi="Arial"/>
          <w:sz w:val="19"/>
          <w:szCs w:val="19"/>
          <w:color w:val="auto"/>
          <w:vertAlign w:val="superscript"/>
        </w:rPr>
      </w:pP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100% of the rentable square footage of the Company’s In-Service Properties.</w:t>
      </w: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For additional detail relating to the Company’s In-Service Properties, see pages 21-24.</w:t>
      </w:r>
    </w:p>
    <w:p>
      <w:pPr>
        <w:spacing w:after="0" w:line="38" w:lineRule="exact"/>
        <w:rPr>
          <w:rFonts w:ascii="Arial" w:cs="Arial" w:eastAsia="Arial" w:hAnsi="Arial"/>
          <w:sz w:val="19"/>
          <w:szCs w:val="19"/>
          <w:color w:val="auto"/>
          <w:vertAlign w:val="superscript"/>
        </w:rPr>
      </w:pPr>
    </w:p>
    <w:p>
      <w:pPr>
        <w:ind w:right="220"/>
        <w:spacing w:after="0" w:line="272"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the partners’ share of the rentable square feet from unconsolidated joint venture properties (calculated based upon the partners’ percentage ownership interest). </w:t>
      </w:r>
      <w:r>
        <w:rPr>
          <w:rFonts w:ascii="Arial" w:cs="Arial" w:eastAsia="Arial" w:hAnsi="Arial"/>
          <w:sz w:val="9"/>
          <w:szCs w:val="9"/>
          <w:color w:val="auto"/>
        </w:rPr>
        <w:t xml:space="preserve">5 </w:t>
      </w:r>
      <w:r>
        <w:rPr>
          <w:rFonts w:ascii="Arial" w:cs="Arial" w:eastAsia="Arial" w:hAnsi="Arial"/>
          <w:sz w:val="14"/>
          <w:szCs w:val="14"/>
          <w:color w:val="auto"/>
        </w:rPr>
        <w:t>Represents the partners’ share of the rentable square feet from consolidated joint venture properties (calculated based upon the partners’ percentage ownership interests).</w:t>
      </w:r>
    </w:p>
    <w:p>
      <w:pPr>
        <w:spacing w:after="0" w:line="1"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Excludes approximately $89 of revenue from retail clients that is included in Retail.</w:t>
      </w:r>
    </w:p>
    <w:p>
      <w:pPr>
        <w:spacing w:after="0" w:line="11"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7 </w:t>
      </w:r>
      <w:r>
        <w:rPr>
          <w:rFonts w:ascii="Arial" w:cs="Arial" w:eastAsia="Arial" w:hAnsi="Arial"/>
          <w:sz w:val="14"/>
          <w:szCs w:val="14"/>
          <w:color w:val="auto"/>
        </w:rPr>
        <w:t>See page 63 for additional information.</w:t>
      </w:r>
    </w:p>
    <w:p>
      <w:pPr>
        <w:spacing w:after="0" w:line="38"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8</w:t>
      </w:r>
      <w:r>
        <w:rPr>
          <w:rFonts w:ascii="Arial" w:cs="Arial" w:eastAsia="Arial" w:hAnsi="Arial"/>
          <w:sz w:val="14"/>
          <w:szCs w:val="14"/>
          <w:color w:val="auto"/>
        </w:rPr>
        <w:t xml:space="preserve"> See page 65 for additional information.</w:t>
      </w:r>
    </w:p>
    <w:p>
      <w:pPr>
        <w:spacing w:after="0" w:line="11" w:lineRule="exact"/>
        <w:rPr>
          <w:rFonts w:ascii="Arial" w:cs="Arial" w:eastAsia="Arial" w:hAnsi="Arial"/>
          <w:sz w:val="19"/>
          <w:szCs w:val="19"/>
          <w:color w:val="auto"/>
          <w:vertAlign w:val="superscript"/>
        </w:rPr>
      </w:pPr>
    </w:p>
    <w:p>
      <w:pPr>
        <w:ind w:left="80" w:right="240" w:hanging="81"/>
        <w:spacing w:after="0" w:line="229"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9</w:t>
      </w:r>
      <w:r>
        <w:rPr>
          <w:rFonts w:ascii="Arial" w:cs="Arial" w:eastAsia="Arial" w:hAnsi="Arial"/>
          <w:sz w:val="14"/>
          <w:szCs w:val="14"/>
          <w:color w:val="auto"/>
        </w:rPr>
        <w:t xml:space="preserve"> BXP’s Share of NOI (excluding termination income) is a non-GAAP financial measure. For a quantitative reconciliation of net income (loss) attributable to BXP, Inc. to BXP’s Share of NOI (excluding termination income), see page 9.</w:t>
      </w:r>
    </w:p>
    <w:p>
      <w:pPr>
        <w:sectPr>
          <w:pgSz w:w="11900" w:h="16838" w:orient="portrait"/>
          <w:cols w:equalWidth="0" w:num="1">
            <w:col w:w="11240"/>
          </w:cols>
          <w:pgMar w:left="320" w:top="279" w:right="339" w:bottom="1440" w:gutter="0" w:footer="0" w:header="0"/>
        </w:sectPr>
      </w:pPr>
    </w:p>
    <w:p>
      <w:pPr>
        <w:spacing w:after="0" w:line="20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19</w:t>
      </w:r>
    </w:p>
    <w:p>
      <w:pPr>
        <w:sectPr>
          <w:pgSz w:w="11900" w:h="16838" w:orient="portrait"/>
          <w:cols w:equalWidth="0" w:num="1">
            <w:col w:w="11240"/>
          </w:cols>
          <w:pgMar w:left="320" w:top="279" w:right="339" w:bottom="1440" w:gutter="0" w:footer="0" w:header="0"/>
          <w:type w:val="continuous"/>
        </w:sectPr>
      </w:pPr>
    </w:p>
    <w:bookmarkStart w:id="27" w:name="page28"/>
    <w:bookmarkEnd w:id="27"/>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Residential and hotel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 except rental rates)</w:t>
      </w: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gridSpan w:val="6"/>
          </w:tcPr>
          <w:p>
            <w:pPr>
              <w:jc w:val="right"/>
              <w:ind w:right="980"/>
              <w:spacing w:after="0"/>
              <w:rPr>
                <w:sz w:val="20"/>
                <w:szCs w:val="20"/>
                <w:color w:val="auto"/>
              </w:rPr>
            </w:pPr>
            <w:r>
              <w:rPr>
                <w:rFonts w:ascii="Arial" w:cs="Arial" w:eastAsia="Arial" w:hAnsi="Arial"/>
                <w:sz w:val="14"/>
                <w:szCs w:val="14"/>
                <w:b w:val="1"/>
                <w:bCs w:val="1"/>
                <w:color w:val="auto"/>
              </w:rPr>
              <w:t xml:space="preserve">Residential </w:t>
            </w:r>
            <w:r>
              <w:rPr>
                <w:rFonts w:ascii="Arial" w:cs="Arial" w:eastAsia="Arial" w:hAnsi="Arial"/>
                <w:sz w:val="18"/>
                <w:szCs w:val="18"/>
                <w:b w:val="1"/>
                <w:bCs w:val="1"/>
                <w:color w:val="auto"/>
                <w:vertAlign w:val="superscript"/>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Hotel</w:t>
            </w:r>
          </w:p>
        </w:tc>
        <w:tc>
          <w:tcPr>
            <w:tcW w:w="10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8"/>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30-Sep-26</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30-Jun-26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30-Sep-26</w:t>
            </w:r>
          </w:p>
        </w:tc>
        <w:tc>
          <w:tcPr>
            <w:tcW w:w="260" w:type="dxa"/>
            <w:vAlign w:val="bottom"/>
            <w:gridSpan w:val="2"/>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30-Jun-26</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4"/>
                <w:szCs w:val="14"/>
                <w:color w:val="auto"/>
              </w:rPr>
              <w:t xml:space="preserve">Rental Revenue </w:t>
            </w:r>
            <w:r>
              <w:rPr>
                <w:rFonts w:ascii="Arial" w:cs="Arial" w:eastAsia="Arial" w:hAnsi="Arial"/>
                <w:sz w:val="18"/>
                <w:szCs w:val="18"/>
                <w:color w:val="auto"/>
                <w:vertAlign w:val="superscript"/>
              </w:rPr>
              <w:t>2</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3,883</w:t>
            </w:r>
          </w:p>
        </w:tc>
        <w:tc>
          <w:tcPr>
            <w:tcW w:w="260" w:type="dxa"/>
            <w:vAlign w:val="bottom"/>
          </w:tcPr>
          <w:p>
            <w:pPr>
              <w:spacing w:after="0"/>
              <w:rPr>
                <w:sz w:val="19"/>
                <w:szCs w:val="19"/>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3,683</w:t>
            </w: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13,219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14,901</w:t>
            </w:r>
          </w:p>
        </w:tc>
        <w:tc>
          <w:tcPr>
            <w:tcW w:w="0" w:type="dxa"/>
            <w:vAlign w:val="bottom"/>
          </w:tcPr>
          <w:p>
            <w:pPr>
              <w:spacing w:after="0"/>
              <w:rPr>
                <w:sz w:val="1"/>
                <w:szCs w:val="1"/>
                <w:color w:val="auto"/>
              </w:rPr>
            </w:pPr>
          </w:p>
        </w:tc>
      </w:tr>
      <w:tr>
        <w:trPr>
          <w:trHeight w:val="192"/>
        </w:trPr>
        <w:tc>
          <w:tcPr>
            <w:tcW w:w="5120" w:type="dxa"/>
            <w:vAlign w:val="bottom"/>
          </w:tcPr>
          <w:p>
            <w:pPr>
              <w:ind w:left="20"/>
              <w:spacing w:after="0"/>
              <w:rPr>
                <w:sz w:val="20"/>
                <w:szCs w:val="20"/>
                <w:color w:val="auto"/>
              </w:rPr>
            </w:pPr>
            <w:r>
              <w:rPr>
                <w:rFonts w:ascii="Arial" w:cs="Arial" w:eastAsia="Arial" w:hAnsi="Arial"/>
                <w:sz w:val="14"/>
                <w:szCs w:val="14"/>
                <w:color w:val="auto"/>
              </w:rPr>
              <w:t>Less: Operating expenses and real estate taxes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2,043</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2,006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9,925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9,369</w:t>
            </w:r>
          </w:p>
        </w:tc>
        <w:tc>
          <w:tcPr>
            <w:tcW w:w="0" w:type="dxa"/>
            <w:vAlign w:val="bottom"/>
          </w:tcPr>
          <w:p>
            <w:pPr>
              <w:spacing w:after="0"/>
              <w:rPr>
                <w:sz w:val="1"/>
                <w:szCs w:val="1"/>
                <w:color w:val="auto"/>
              </w:rPr>
            </w:pPr>
          </w:p>
        </w:tc>
      </w:tr>
      <w:tr>
        <w:trPr>
          <w:trHeight w:val="234"/>
        </w:trPr>
        <w:tc>
          <w:tcPr>
            <w:tcW w:w="5120" w:type="dxa"/>
            <w:vAlign w:val="bottom"/>
          </w:tcPr>
          <w:p>
            <w:pPr>
              <w:ind w:left="220"/>
              <w:spacing w:after="0"/>
              <w:rPr>
                <w:sz w:val="20"/>
                <w:szCs w:val="20"/>
                <w:color w:val="auto"/>
              </w:rPr>
            </w:pPr>
            <w:r>
              <w:rPr>
                <w:rFonts w:ascii="Arial" w:cs="Arial" w:eastAsia="Arial" w:hAnsi="Arial"/>
                <w:sz w:val="14"/>
                <w:szCs w:val="14"/>
                <w:color w:val="auto"/>
              </w:rPr>
              <w:t xml:space="preserve">Net Operating Income (NOI) </w:t>
            </w:r>
            <w:r>
              <w:rPr>
                <w:rFonts w:ascii="Arial" w:cs="Arial" w:eastAsia="Arial" w:hAnsi="Arial"/>
                <w:sz w:val="18"/>
                <w:szCs w:val="18"/>
                <w:color w:val="auto"/>
                <w:vertAlign w:val="superscript"/>
              </w:rPr>
              <w:t>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1,840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1,677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3,294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5,532</w:t>
            </w:r>
          </w:p>
        </w:tc>
        <w:tc>
          <w:tcPr>
            <w:tcW w:w="0" w:type="dxa"/>
            <w:vAlign w:val="bottom"/>
          </w:tcPr>
          <w:p>
            <w:pPr>
              <w:spacing w:after="0"/>
              <w:rPr>
                <w:sz w:val="1"/>
                <w:szCs w:val="1"/>
                <w:color w:val="auto"/>
              </w:rPr>
            </w:pPr>
          </w:p>
        </w:tc>
      </w:tr>
      <w:tr>
        <w:trPr>
          <w:trHeight w:val="194"/>
        </w:trPr>
        <w:tc>
          <w:tcPr>
            <w:tcW w:w="5120" w:type="dxa"/>
            <w:vAlign w:val="bottom"/>
          </w:tcPr>
          <w:p>
            <w:pPr>
              <w:ind w:left="20"/>
              <w:spacing w:after="0"/>
              <w:rPr>
                <w:sz w:val="20"/>
                <w:szCs w:val="20"/>
                <w:color w:val="auto"/>
              </w:rPr>
            </w:pPr>
            <w:r>
              <w:rPr>
                <w:rFonts w:ascii="Arial" w:cs="Arial" w:eastAsia="Arial" w:hAnsi="Arial"/>
                <w:sz w:val="14"/>
                <w:szCs w:val="14"/>
                <w:color w:val="auto"/>
              </w:rPr>
              <w:t>Add: BXP’s share of NOI from unconsolidated joint ventures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2,375</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2,362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N/A</w:t>
            </w:r>
          </w:p>
        </w:tc>
        <w:tc>
          <w:tcPr>
            <w:tcW w:w="26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4"/>
        </w:trPr>
        <w:tc>
          <w:tcPr>
            <w:tcW w:w="5120" w:type="dxa"/>
            <w:vAlign w:val="bottom"/>
          </w:tcPr>
          <w:p>
            <w:pPr>
              <w:ind w:left="220"/>
              <w:spacing w:after="0"/>
              <w:rPr>
                <w:sz w:val="20"/>
                <w:szCs w:val="20"/>
                <w:color w:val="auto"/>
              </w:rPr>
            </w:pPr>
            <w:r>
              <w:rPr>
                <w:rFonts w:ascii="Arial" w:cs="Arial" w:eastAsia="Arial" w:hAnsi="Arial"/>
                <w:sz w:val="14"/>
                <w:szCs w:val="14"/>
                <w:color w:val="auto"/>
              </w:rPr>
              <w:t xml:space="preserve">BXP’s Share of NOI </w:t>
            </w:r>
            <w:r>
              <w:rPr>
                <w:rFonts w:ascii="Arial" w:cs="Arial" w:eastAsia="Arial" w:hAnsi="Arial"/>
                <w:sz w:val="18"/>
                <w:szCs w:val="18"/>
                <w:color w:val="auto"/>
                <w:vertAlign w:val="superscript"/>
              </w:rPr>
              <w:t>2</w:t>
            </w:r>
          </w:p>
        </w:tc>
        <w:tc>
          <w:tcPr>
            <w:tcW w:w="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4,215</w:t>
            </w:r>
          </w:p>
        </w:tc>
        <w:tc>
          <w:tcPr>
            <w:tcW w:w="26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4,039</w:t>
            </w:r>
          </w:p>
        </w:tc>
        <w:tc>
          <w:tcPr>
            <w:tcW w:w="26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3,294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5,532</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20"/>
              <w:spacing w:after="0"/>
              <w:rPr>
                <w:sz w:val="20"/>
                <w:szCs w:val="20"/>
                <w:color w:val="auto"/>
              </w:rPr>
            </w:pPr>
            <w:r>
              <w:rPr>
                <w:rFonts w:ascii="Arial" w:cs="Arial" w:eastAsia="Arial" w:hAnsi="Arial"/>
                <w:sz w:val="14"/>
                <w:szCs w:val="14"/>
                <w:color w:val="auto"/>
              </w:rPr>
              <w:t xml:space="preserve">Rental Revenue </w:t>
            </w:r>
            <w:r>
              <w:rPr>
                <w:rFonts w:ascii="Arial" w:cs="Arial" w:eastAsia="Arial" w:hAnsi="Arial"/>
                <w:sz w:val="18"/>
                <w:szCs w:val="18"/>
                <w:color w:val="auto"/>
                <w:vertAlign w:val="superscript"/>
              </w:rPr>
              <w:t>2</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3"/>
        </w:trPr>
        <w:tc>
          <w:tcPr>
            <w:tcW w:w="5120" w:type="dxa"/>
            <w:vAlign w:val="bottom"/>
            <w:vMerge w:val="continue"/>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3,883</w:t>
            </w:r>
          </w:p>
        </w:tc>
        <w:tc>
          <w:tcPr>
            <w:tcW w:w="26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3,683</w:t>
            </w: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13,219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14,901</w:t>
            </w:r>
          </w:p>
        </w:tc>
        <w:tc>
          <w:tcPr>
            <w:tcW w:w="0" w:type="dxa"/>
            <w:vAlign w:val="bottom"/>
          </w:tcPr>
          <w:p>
            <w:pPr>
              <w:spacing w:after="0"/>
              <w:rPr>
                <w:sz w:val="1"/>
                <w:szCs w:val="1"/>
                <w:color w:val="auto"/>
              </w:rPr>
            </w:pPr>
          </w:p>
        </w:tc>
      </w:tr>
      <w:tr>
        <w:trPr>
          <w:trHeight w:val="190"/>
        </w:trPr>
        <w:tc>
          <w:tcPr>
            <w:tcW w:w="5120" w:type="dxa"/>
            <w:vAlign w:val="bottom"/>
          </w:tcPr>
          <w:p>
            <w:pPr>
              <w:ind w:left="20"/>
              <w:spacing w:after="0"/>
              <w:rPr>
                <w:sz w:val="20"/>
                <w:szCs w:val="20"/>
                <w:color w:val="auto"/>
              </w:rPr>
            </w:pPr>
            <w:r>
              <w:rPr>
                <w:rFonts w:ascii="Arial" w:cs="Arial" w:eastAsia="Arial" w:hAnsi="Arial"/>
                <w:sz w:val="14"/>
                <w:szCs w:val="14"/>
                <w:color w:val="auto"/>
              </w:rPr>
              <w:t>Less: Straight line rent and fair value lease revenue</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0"/>
        </w:trPr>
        <w:tc>
          <w:tcPr>
            <w:tcW w:w="5120" w:type="dxa"/>
            <w:vAlign w:val="bottom"/>
          </w:tcPr>
          <w:p>
            <w:pPr>
              <w:ind w:left="20"/>
              <w:spacing w:after="0"/>
              <w:rPr>
                <w:sz w:val="20"/>
                <w:szCs w:val="20"/>
                <w:color w:val="auto"/>
              </w:rPr>
            </w:pPr>
            <w:r>
              <w:rPr>
                <w:rFonts w:ascii="Arial" w:cs="Arial" w:eastAsia="Arial" w:hAnsi="Arial"/>
                <w:sz w:val="14"/>
                <w:szCs w:val="14"/>
                <w:color w:val="auto"/>
              </w:rPr>
              <w:t>Add: Lease transaction costs that qualify as rent inducements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4"/>
          </w:tcPr>
          <w:p>
            <w:pPr>
              <w:jc w:val="right"/>
              <w:ind w:right="3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5120" w:type="dxa"/>
            <w:vAlign w:val="bottom"/>
          </w:tcPr>
          <w:p>
            <w:pPr>
              <w:ind w:left="220"/>
              <w:spacing w:after="0"/>
              <w:rPr>
                <w:sz w:val="20"/>
                <w:szCs w:val="20"/>
                <w:color w:val="auto"/>
              </w:rPr>
            </w:pPr>
            <w:r>
              <w:rPr>
                <w:rFonts w:ascii="Arial" w:cs="Arial" w:eastAsia="Arial" w:hAnsi="Arial"/>
                <w:sz w:val="14"/>
                <w:szCs w:val="14"/>
                <w:color w:val="auto"/>
              </w:rPr>
              <w:t>Subtotal</w:t>
            </w: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3,883</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3,683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13,226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14,903</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Arial" w:cs="Arial" w:eastAsia="Arial" w:hAnsi="Arial"/>
                <w:sz w:val="14"/>
                <w:szCs w:val="14"/>
                <w:color w:val="auto"/>
              </w:rPr>
              <w:t>Less: Operating expenses and real estate taxes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2,043</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2,006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9,925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9,369</w:t>
            </w:r>
          </w:p>
        </w:tc>
        <w:tc>
          <w:tcPr>
            <w:tcW w:w="0" w:type="dxa"/>
            <w:vAlign w:val="bottom"/>
          </w:tcPr>
          <w:p>
            <w:pPr>
              <w:spacing w:after="0"/>
              <w:rPr>
                <w:sz w:val="1"/>
                <w:szCs w:val="1"/>
                <w:color w:val="auto"/>
              </w:rPr>
            </w:pPr>
          </w:p>
        </w:tc>
      </w:tr>
      <w:tr>
        <w:trPr>
          <w:trHeight w:val="234"/>
        </w:trPr>
        <w:tc>
          <w:tcPr>
            <w:tcW w:w="5120" w:type="dxa"/>
            <w:vAlign w:val="bottom"/>
          </w:tcPr>
          <w:p>
            <w:pPr>
              <w:ind w:left="220"/>
              <w:spacing w:after="0"/>
              <w:rPr>
                <w:sz w:val="20"/>
                <w:szCs w:val="20"/>
                <w:color w:val="auto"/>
              </w:rPr>
            </w:pPr>
            <w:r>
              <w:rPr>
                <w:rFonts w:ascii="Arial" w:cs="Arial" w:eastAsia="Arial" w:hAnsi="Arial"/>
                <w:sz w:val="14"/>
                <w:szCs w:val="14"/>
                <w:color w:val="auto"/>
              </w:rPr>
              <w:t xml:space="preserve">NOI - cash basis </w:t>
            </w:r>
            <w:r>
              <w:rPr>
                <w:rFonts w:ascii="Arial" w:cs="Arial" w:eastAsia="Arial" w:hAnsi="Arial"/>
                <w:sz w:val="18"/>
                <w:szCs w:val="18"/>
                <w:color w:val="auto"/>
                <w:vertAlign w:val="superscript"/>
              </w:rPr>
              <w:t>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1,840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1,677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3,301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5,534</w:t>
            </w:r>
          </w:p>
        </w:tc>
        <w:tc>
          <w:tcPr>
            <w:tcW w:w="0" w:type="dxa"/>
            <w:vAlign w:val="bottom"/>
          </w:tcPr>
          <w:p>
            <w:pPr>
              <w:spacing w:after="0"/>
              <w:rPr>
                <w:sz w:val="1"/>
                <w:szCs w:val="1"/>
                <w:color w:val="auto"/>
              </w:rPr>
            </w:pPr>
          </w:p>
        </w:tc>
      </w:tr>
      <w:tr>
        <w:trPr>
          <w:trHeight w:val="194"/>
        </w:trPr>
        <w:tc>
          <w:tcPr>
            <w:tcW w:w="5120" w:type="dxa"/>
            <w:vAlign w:val="bottom"/>
          </w:tcPr>
          <w:p>
            <w:pPr>
              <w:ind w:left="20"/>
              <w:spacing w:after="0"/>
              <w:rPr>
                <w:sz w:val="20"/>
                <w:szCs w:val="20"/>
                <w:color w:val="auto"/>
              </w:rPr>
            </w:pPr>
            <w:r>
              <w:rPr>
                <w:rFonts w:ascii="Arial" w:cs="Arial" w:eastAsia="Arial" w:hAnsi="Arial"/>
                <w:sz w:val="14"/>
                <w:szCs w:val="14"/>
                <w:color w:val="auto"/>
              </w:rPr>
              <w:t>Add: BXP’s share of NOI-cash from unconsolidated joint ventures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2,375</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2,362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N/A</w:t>
            </w:r>
          </w:p>
        </w:tc>
        <w:tc>
          <w:tcPr>
            <w:tcW w:w="260" w:type="dxa"/>
            <w:vAlign w:val="bottom"/>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13"/>
        </w:trPr>
        <w:tc>
          <w:tcPr>
            <w:tcW w:w="5120" w:type="dxa"/>
            <w:vAlign w:val="bottom"/>
          </w:tcPr>
          <w:p>
            <w:pPr>
              <w:ind w:left="220"/>
              <w:spacing w:after="0"/>
              <w:rPr>
                <w:sz w:val="20"/>
                <w:szCs w:val="20"/>
                <w:color w:val="auto"/>
              </w:rPr>
            </w:pPr>
            <w:r>
              <w:rPr>
                <w:rFonts w:ascii="Arial" w:cs="Arial" w:eastAsia="Arial" w:hAnsi="Arial"/>
                <w:sz w:val="14"/>
                <w:szCs w:val="14"/>
                <w:color w:val="auto"/>
              </w:rPr>
              <w:t xml:space="preserve">BXP’s Share of NOI - cash basis </w:t>
            </w:r>
            <w:r>
              <w:rPr>
                <w:rFonts w:ascii="Arial" w:cs="Arial" w:eastAsia="Arial" w:hAnsi="Arial"/>
                <w:sz w:val="18"/>
                <w:szCs w:val="18"/>
                <w:color w:val="auto"/>
                <w:vertAlign w:val="superscript"/>
              </w:rPr>
              <w:t>2</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4,215</w:t>
            </w:r>
          </w:p>
        </w:tc>
        <w:tc>
          <w:tcPr>
            <w:tcW w:w="26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4,039</w:t>
            </w:r>
          </w:p>
        </w:tc>
        <w:tc>
          <w:tcPr>
            <w:tcW w:w="4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3,301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5,534</w:t>
            </w:r>
          </w:p>
        </w:tc>
        <w:tc>
          <w:tcPr>
            <w:tcW w:w="0" w:type="dxa"/>
            <w:vAlign w:val="bottom"/>
          </w:tcPr>
          <w:p>
            <w:pPr>
              <w:spacing w:after="0"/>
              <w:rPr>
                <w:sz w:val="1"/>
                <w:szCs w:val="1"/>
                <w:color w:val="auto"/>
              </w:rPr>
            </w:pPr>
          </w:p>
        </w:tc>
      </w:tr>
      <w:tr>
        <w:trPr>
          <w:trHeight w:val="21"/>
        </w:trPr>
        <w:tc>
          <w:tcPr>
            <w:tcW w:w="5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xml:space="preserve">RESIDENTIAL RENTAL RATES AND OCCUPANCY </w:t>
            </w:r>
            <w:r>
              <w:rPr>
                <w:rFonts w:ascii="Arial" w:cs="Arial" w:eastAsia="Arial" w:hAnsi="Arial"/>
                <w:sz w:val="18"/>
                <w:szCs w:val="18"/>
                <w:b w:val="1"/>
                <w:bCs w:val="1"/>
                <w:i w:val="1"/>
                <w:iCs w:val="1"/>
                <w:color w:val="auto"/>
                <w:vertAlign w:val="superscript"/>
              </w:rPr>
              <w:t>2, 3</w:t>
            </w:r>
            <w:r>
              <w:rPr>
                <w:rFonts w:ascii="Arial" w:cs="Arial" w:eastAsia="Arial" w:hAnsi="Arial"/>
                <w:sz w:val="14"/>
                <w:szCs w:val="14"/>
                <w:b w:val="1"/>
                <w:bCs w:val="1"/>
                <w:i w:val="1"/>
                <w:iCs w:val="1"/>
                <w:color w:val="auto"/>
              </w:rPr>
              <w:t xml:space="preserve"> - Year-over-Year</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0"/>
        </w:trPr>
        <w:tc>
          <w:tcPr>
            <w:tcW w:w="51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76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Residential Units</w:t>
            </w:r>
          </w:p>
        </w:tc>
        <w:tc>
          <w:tcPr>
            <w:tcW w:w="1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30-Sep-26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rPr>
              <w:t>30-Sep-25</w:t>
            </w:r>
          </w:p>
        </w:tc>
        <w:tc>
          <w:tcPr>
            <w:tcW w:w="12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02"/>
        </w:trPr>
        <w:tc>
          <w:tcPr>
            <w:tcW w:w="5120" w:type="dxa"/>
            <w:vAlign w:val="bottom"/>
          </w:tcPr>
          <w:p>
            <w:pPr>
              <w:ind w:left="20"/>
              <w:spacing w:after="0"/>
              <w:rPr>
                <w:sz w:val="20"/>
                <w:szCs w:val="20"/>
                <w:color w:val="auto"/>
              </w:rPr>
            </w:pPr>
            <w:r>
              <w:rPr>
                <w:rFonts w:ascii="Arial" w:cs="Arial" w:eastAsia="Arial" w:hAnsi="Arial"/>
                <w:sz w:val="14"/>
                <w:szCs w:val="14"/>
                <w:color w:val="auto"/>
              </w:rPr>
              <w:t>Boston</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ind w:right="308"/>
              <w:spacing w:after="0"/>
              <w:rPr>
                <w:sz w:val="20"/>
                <w:szCs w:val="20"/>
                <w:color w:val="auto"/>
              </w:rPr>
            </w:pPr>
            <w:r>
              <w:rPr>
                <w:rFonts w:ascii="Arial" w:cs="Arial" w:eastAsia="Arial" w:hAnsi="Arial"/>
                <w:sz w:val="14"/>
                <w:szCs w:val="14"/>
                <w:color w:val="auto"/>
              </w:rPr>
              <w:t>440</w:t>
            </w: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60"/>
              <w:spacing w:after="0"/>
              <w:rPr>
                <w:sz w:val="20"/>
                <w:szCs w:val="20"/>
                <w:color w:val="auto"/>
              </w:rPr>
            </w:pPr>
            <w:r>
              <w:rPr>
                <w:rFonts w:ascii="Arial" w:cs="Arial" w:eastAsia="Arial" w:hAnsi="Arial"/>
                <w:sz w:val="14"/>
                <w:szCs w:val="14"/>
                <w:color w:val="auto"/>
              </w:rPr>
              <w:t>Average Monthly Rental Rate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4,592</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4,480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2.50 %</w:t>
            </w:r>
          </w:p>
        </w:tc>
        <w:tc>
          <w:tcPr>
            <w:tcW w:w="0" w:type="dxa"/>
            <w:vAlign w:val="bottom"/>
          </w:tcPr>
          <w:p>
            <w:pPr>
              <w:spacing w:after="0"/>
              <w:rPr>
                <w:sz w:val="1"/>
                <w:szCs w:val="1"/>
                <w:color w:val="auto"/>
              </w:rPr>
            </w:pPr>
          </w:p>
        </w:tc>
      </w:tr>
      <w:tr>
        <w:trPr>
          <w:trHeight w:val="216"/>
        </w:trPr>
        <w:tc>
          <w:tcPr>
            <w:tcW w:w="5120" w:type="dxa"/>
            <w:vAlign w:val="bottom"/>
          </w:tcPr>
          <w:p>
            <w:pPr>
              <w:ind w:left="260"/>
              <w:spacing w:after="0"/>
              <w:rPr>
                <w:sz w:val="20"/>
                <w:szCs w:val="20"/>
                <w:color w:val="auto"/>
              </w:rPr>
            </w:pPr>
            <w:r>
              <w:rPr>
                <w:rFonts w:ascii="Arial" w:cs="Arial" w:eastAsia="Arial" w:hAnsi="Arial"/>
                <w:sz w:val="14"/>
                <w:szCs w:val="14"/>
                <w:color w:val="auto"/>
              </w:rPr>
              <w:t>Average Rental Rate Per Occupied Square Foot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6.27</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6.12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2.45 %</w:t>
            </w:r>
          </w:p>
        </w:tc>
        <w:tc>
          <w:tcPr>
            <w:tcW w:w="0" w:type="dxa"/>
            <w:vAlign w:val="bottom"/>
          </w:tcPr>
          <w:p>
            <w:pPr>
              <w:spacing w:after="0"/>
              <w:rPr>
                <w:sz w:val="1"/>
                <w:szCs w:val="1"/>
                <w:color w:val="auto"/>
              </w:rPr>
            </w:pPr>
          </w:p>
        </w:tc>
      </w:tr>
      <w:tr>
        <w:trPr>
          <w:trHeight w:val="216"/>
        </w:trPr>
        <w:tc>
          <w:tcPr>
            <w:tcW w:w="5120" w:type="dxa"/>
            <w:vAlign w:val="bottom"/>
          </w:tcPr>
          <w:p>
            <w:pPr>
              <w:ind w:left="260"/>
              <w:spacing w:after="0"/>
              <w:rPr>
                <w:sz w:val="20"/>
                <w:szCs w:val="20"/>
                <w:color w:val="auto"/>
              </w:rPr>
            </w:pPr>
            <w:r>
              <w:rPr>
                <w:rFonts w:ascii="Arial" w:cs="Arial" w:eastAsia="Arial" w:hAnsi="Arial"/>
                <w:sz w:val="14"/>
                <w:szCs w:val="14"/>
                <w:color w:val="auto"/>
              </w:rPr>
              <w:t>Average Physical Occupancy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95.61 %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93.71 %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2.03 %</w:t>
            </w:r>
          </w:p>
        </w:tc>
        <w:tc>
          <w:tcPr>
            <w:tcW w:w="0" w:type="dxa"/>
            <w:vAlign w:val="bottom"/>
          </w:tcPr>
          <w:p>
            <w:pPr>
              <w:spacing w:after="0"/>
              <w:rPr>
                <w:sz w:val="1"/>
                <w:szCs w:val="1"/>
                <w:color w:val="auto"/>
              </w:rPr>
            </w:pPr>
          </w:p>
        </w:tc>
      </w:tr>
      <w:tr>
        <w:trPr>
          <w:trHeight w:val="216"/>
        </w:trPr>
        <w:tc>
          <w:tcPr>
            <w:tcW w:w="5120" w:type="dxa"/>
            <w:vAlign w:val="bottom"/>
          </w:tcPr>
          <w:p>
            <w:pPr>
              <w:ind w:left="260"/>
              <w:spacing w:after="0"/>
              <w:rPr>
                <w:sz w:val="20"/>
                <w:szCs w:val="20"/>
                <w:color w:val="auto"/>
              </w:rPr>
            </w:pPr>
            <w:r>
              <w:rPr>
                <w:rFonts w:ascii="Arial" w:cs="Arial" w:eastAsia="Arial" w:hAnsi="Arial"/>
                <w:sz w:val="14"/>
                <w:szCs w:val="14"/>
                <w:color w:val="auto"/>
              </w:rPr>
              <w:t>Average Economic Occupancy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96.13 %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93.73 %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2.56 %</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4"/>
                <w:szCs w:val="14"/>
                <w:color w:val="auto"/>
              </w:rPr>
              <w:t>San Francisco</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08"/>
              <w:spacing w:after="0"/>
              <w:rPr>
                <w:sz w:val="20"/>
                <w:szCs w:val="20"/>
                <w:color w:val="auto"/>
              </w:rPr>
            </w:pPr>
            <w:r>
              <w:rPr>
                <w:rFonts w:ascii="Arial" w:cs="Arial" w:eastAsia="Arial" w:hAnsi="Arial"/>
                <w:sz w:val="14"/>
                <w:szCs w:val="14"/>
                <w:color w:val="auto"/>
              </w:rPr>
              <w:t>402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60"/>
              <w:spacing w:after="0"/>
              <w:rPr>
                <w:sz w:val="20"/>
                <w:szCs w:val="20"/>
                <w:color w:val="auto"/>
              </w:rPr>
            </w:pPr>
            <w:r>
              <w:rPr>
                <w:rFonts w:ascii="Arial" w:cs="Arial" w:eastAsia="Arial" w:hAnsi="Arial"/>
                <w:sz w:val="14"/>
                <w:szCs w:val="14"/>
                <w:color w:val="auto"/>
              </w:rPr>
              <w:t>Average Monthly Rental Rate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3,366</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3,004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12.05 %</w:t>
            </w:r>
          </w:p>
        </w:tc>
        <w:tc>
          <w:tcPr>
            <w:tcW w:w="0" w:type="dxa"/>
            <w:vAlign w:val="bottom"/>
          </w:tcPr>
          <w:p>
            <w:pPr>
              <w:spacing w:after="0"/>
              <w:rPr>
                <w:sz w:val="1"/>
                <w:szCs w:val="1"/>
                <w:color w:val="auto"/>
              </w:rPr>
            </w:pPr>
          </w:p>
        </w:tc>
      </w:tr>
      <w:tr>
        <w:trPr>
          <w:trHeight w:val="216"/>
        </w:trPr>
        <w:tc>
          <w:tcPr>
            <w:tcW w:w="5120" w:type="dxa"/>
            <w:vAlign w:val="bottom"/>
          </w:tcPr>
          <w:p>
            <w:pPr>
              <w:ind w:left="260"/>
              <w:spacing w:after="0"/>
              <w:rPr>
                <w:sz w:val="20"/>
                <w:szCs w:val="20"/>
                <w:color w:val="auto"/>
              </w:rPr>
            </w:pPr>
            <w:r>
              <w:rPr>
                <w:rFonts w:ascii="Arial" w:cs="Arial" w:eastAsia="Arial" w:hAnsi="Arial"/>
                <w:sz w:val="14"/>
                <w:szCs w:val="14"/>
                <w:color w:val="auto"/>
              </w:rPr>
              <w:t>Average Rental Rate Per Occupied Square Foot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4.23</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11.32 %</w:t>
            </w:r>
          </w:p>
        </w:tc>
        <w:tc>
          <w:tcPr>
            <w:tcW w:w="0" w:type="dxa"/>
            <w:vAlign w:val="bottom"/>
          </w:tcPr>
          <w:p>
            <w:pPr>
              <w:spacing w:after="0"/>
              <w:rPr>
                <w:sz w:val="1"/>
                <w:szCs w:val="1"/>
                <w:color w:val="auto"/>
              </w:rPr>
            </w:pPr>
          </w:p>
        </w:tc>
      </w:tr>
      <w:tr>
        <w:trPr>
          <w:trHeight w:val="216"/>
        </w:trPr>
        <w:tc>
          <w:tcPr>
            <w:tcW w:w="5120" w:type="dxa"/>
            <w:vAlign w:val="bottom"/>
          </w:tcPr>
          <w:p>
            <w:pPr>
              <w:ind w:left="260"/>
              <w:spacing w:after="0"/>
              <w:rPr>
                <w:sz w:val="20"/>
                <w:szCs w:val="20"/>
                <w:color w:val="auto"/>
              </w:rPr>
            </w:pPr>
            <w:r>
              <w:rPr>
                <w:rFonts w:ascii="Arial" w:cs="Arial" w:eastAsia="Arial" w:hAnsi="Arial"/>
                <w:sz w:val="14"/>
                <w:szCs w:val="14"/>
                <w:color w:val="auto"/>
              </w:rPr>
              <w:t>Average Physical Occupancy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93.53 %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90.88 %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2.92 %</w:t>
            </w:r>
          </w:p>
        </w:tc>
        <w:tc>
          <w:tcPr>
            <w:tcW w:w="0" w:type="dxa"/>
            <w:vAlign w:val="bottom"/>
          </w:tcPr>
          <w:p>
            <w:pPr>
              <w:spacing w:after="0"/>
              <w:rPr>
                <w:sz w:val="1"/>
                <w:szCs w:val="1"/>
                <w:color w:val="auto"/>
              </w:rPr>
            </w:pPr>
          </w:p>
        </w:tc>
      </w:tr>
      <w:tr>
        <w:trPr>
          <w:trHeight w:val="216"/>
        </w:trPr>
        <w:tc>
          <w:tcPr>
            <w:tcW w:w="5120" w:type="dxa"/>
            <w:vAlign w:val="bottom"/>
          </w:tcPr>
          <w:p>
            <w:pPr>
              <w:ind w:left="260"/>
              <w:spacing w:after="0"/>
              <w:rPr>
                <w:sz w:val="20"/>
                <w:szCs w:val="20"/>
                <w:color w:val="auto"/>
              </w:rPr>
            </w:pPr>
            <w:r>
              <w:rPr>
                <w:rFonts w:ascii="Arial" w:cs="Arial" w:eastAsia="Arial" w:hAnsi="Arial"/>
                <w:sz w:val="14"/>
                <w:szCs w:val="14"/>
                <w:color w:val="auto"/>
              </w:rPr>
              <w:t>Average Economic Occupancy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94.20 %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89.02 %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5.82 %</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4"/>
                <w:szCs w:val="14"/>
                <w:color w:val="auto"/>
              </w:rPr>
              <w:t>Washington, DC</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center"/>
              <w:ind w:right="308"/>
              <w:spacing w:after="0"/>
              <w:rPr>
                <w:sz w:val="20"/>
                <w:szCs w:val="20"/>
                <w:color w:val="auto"/>
              </w:rPr>
            </w:pPr>
            <w:r>
              <w:rPr>
                <w:rFonts w:ascii="Arial" w:cs="Arial" w:eastAsia="Arial" w:hAnsi="Arial"/>
                <w:sz w:val="14"/>
                <w:szCs w:val="14"/>
                <w:color w:val="auto"/>
              </w:rPr>
              <w:t>508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60"/>
              <w:spacing w:after="0"/>
              <w:rPr>
                <w:sz w:val="20"/>
                <w:szCs w:val="20"/>
                <w:color w:val="auto"/>
              </w:rPr>
            </w:pPr>
            <w:r>
              <w:rPr>
                <w:rFonts w:ascii="Arial" w:cs="Arial" w:eastAsia="Arial" w:hAnsi="Arial"/>
                <w:sz w:val="14"/>
                <w:szCs w:val="14"/>
                <w:color w:val="auto"/>
              </w:rPr>
              <w:t>Average Monthly Rental Rate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3,115</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2,639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18.04 %</w:t>
            </w:r>
          </w:p>
        </w:tc>
        <w:tc>
          <w:tcPr>
            <w:tcW w:w="0" w:type="dxa"/>
            <w:vAlign w:val="bottom"/>
          </w:tcPr>
          <w:p>
            <w:pPr>
              <w:spacing w:after="0"/>
              <w:rPr>
                <w:sz w:val="1"/>
                <w:szCs w:val="1"/>
                <w:color w:val="auto"/>
              </w:rPr>
            </w:pPr>
          </w:p>
        </w:tc>
      </w:tr>
      <w:tr>
        <w:trPr>
          <w:trHeight w:val="216"/>
        </w:trPr>
        <w:tc>
          <w:tcPr>
            <w:tcW w:w="5120" w:type="dxa"/>
            <w:vAlign w:val="bottom"/>
          </w:tcPr>
          <w:p>
            <w:pPr>
              <w:ind w:left="260"/>
              <w:spacing w:after="0"/>
              <w:rPr>
                <w:sz w:val="20"/>
                <w:szCs w:val="20"/>
                <w:color w:val="auto"/>
              </w:rPr>
            </w:pPr>
            <w:r>
              <w:rPr>
                <w:rFonts w:ascii="Arial" w:cs="Arial" w:eastAsia="Arial" w:hAnsi="Arial"/>
                <w:sz w:val="14"/>
                <w:szCs w:val="14"/>
                <w:color w:val="auto"/>
              </w:rPr>
              <w:t>Average Rental Rate Per Occupied Square Foot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3.80</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15.15 %</w:t>
            </w:r>
          </w:p>
        </w:tc>
        <w:tc>
          <w:tcPr>
            <w:tcW w:w="0" w:type="dxa"/>
            <w:vAlign w:val="bottom"/>
          </w:tcPr>
          <w:p>
            <w:pPr>
              <w:spacing w:after="0"/>
              <w:rPr>
                <w:sz w:val="1"/>
                <w:szCs w:val="1"/>
                <w:color w:val="auto"/>
              </w:rPr>
            </w:pPr>
          </w:p>
        </w:tc>
      </w:tr>
      <w:tr>
        <w:trPr>
          <w:trHeight w:val="216"/>
        </w:trPr>
        <w:tc>
          <w:tcPr>
            <w:tcW w:w="5120" w:type="dxa"/>
            <w:vAlign w:val="bottom"/>
          </w:tcPr>
          <w:p>
            <w:pPr>
              <w:ind w:left="260"/>
              <w:spacing w:after="0"/>
              <w:rPr>
                <w:sz w:val="20"/>
                <w:szCs w:val="20"/>
                <w:color w:val="auto"/>
              </w:rPr>
            </w:pPr>
            <w:r>
              <w:rPr>
                <w:rFonts w:ascii="Arial" w:cs="Arial" w:eastAsia="Arial" w:hAnsi="Arial"/>
                <w:sz w:val="14"/>
                <w:szCs w:val="14"/>
                <w:color w:val="auto"/>
              </w:rPr>
              <w:t>Average Physical Occupancy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93.70 %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87.80 %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6.72 %</w:t>
            </w:r>
          </w:p>
        </w:tc>
        <w:tc>
          <w:tcPr>
            <w:tcW w:w="0" w:type="dxa"/>
            <w:vAlign w:val="bottom"/>
          </w:tcPr>
          <w:p>
            <w:pPr>
              <w:spacing w:after="0"/>
              <w:rPr>
                <w:sz w:val="1"/>
                <w:szCs w:val="1"/>
                <w:color w:val="auto"/>
              </w:rPr>
            </w:pPr>
          </w:p>
        </w:tc>
      </w:tr>
      <w:tr>
        <w:trPr>
          <w:trHeight w:val="220"/>
        </w:trPr>
        <w:tc>
          <w:tcPr>
            <w:tcW w:w="5120" w:type="dxa"/>
            <w:vAlign w:val="bottom"/>
          </w:tcPr>
          <w:p>
            <w:pPr>
              <w:ind w:left="260"/>
              <w:spacing w:after="0"/>
              <w:rPr>
                <w:sz w:val="20"/>
                <w:szCs w:val="20"/>
                <w:color w:val="auto"/>
              </w:rPr>
            </w:pPr>
            <w:r>
              <w:rPr>
                <w:rFonts w:ascii="Arial" w:cs="Arial" w:eastAsia="Arial" w:hAnsi="Arial"/>
                <w:sz w:val="14"/>
                <w:szCs w:val="14"/>
                <w:color w:val="auto"/>
              </w:rPr>
              <w:t>Average Economic Occupancy</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93.34 %</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82.45 %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13.21 %</w:t>
            </w:r>
          </w:p>
        </w:tc>
        <w:tc>
          <w:tcPr>
            <w:tcW w:w="0" w:type="dxa"/>
            <w:vAlign w:val="bottom"/>
          </w:tcPr>
          <w:p>
            <w:pPr>
              <w:spacing w:after="0"/>
              <w:rPr>
                <w:sz w:val="1"/>
                <w:szCs w:val="1"/>
                <w:color w:val="auto"/>
              </w:rPr>
            </w:pPr>
          </w:p>
        </w:tc>
      </w:tr>
      <w:tr>
        <w:trPr>
          <w:trHeight w:val="213"/>
        </w:trPr>
        <w:tc>
          <w:tcPr>
            <w:tcW w:w="5120" w:type="dxa"/>
            <w:vAlign w:val="bottom"/>
          </w:tcPr>
          <w:p>
            <w:pPr>
              <w:ind w:left="20"/>
              <w:spacing w:after="0"/>
              <w:rPr>
                <w:sz w:val="20"/>
                <w:szCs w:val="20"/>
                <w:color w:val="auto"/>
              </w:rPr>
            </w:pPr>
            <w:r>
              <w:rPr>
                <w:rFonts w:ascii="Arial" w:cs="Arial" w:eastAsia="Arial" w:hAnsi="Arial"/>
                <w:sz w:val="14"/>
                <w:szCs w:val="14"/>
                <w:color w:val="auto"/>
              </w:rPr>
              <w:t>Total residential units</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08"/>
              <w:spacing w:after="0"/>
              <w:rPr>
                <w:sz w:val="20"/>
                <w:szCs w:val="20"/>
                <w:color w:val="auto"/>
              </w:rPr>
            </w:pPr>
            <w:r>
              <w:rPr>
                <w:rFonts w:ascii="Arial" w:cs="Arial" w:eastAsia="Arial" w:hAnsi="Arial"/>
                <w:sz w:val="14"/>
                <w:szCs w:val="14"/>
                <w:color w:val="auto"/>
              </w:rPr>
              <w:t>1,350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1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xml:space="preserve">HOTEL RENTAL RATES AND OCCUPANCY </w:t>
            </w:r>
            <w:r>
              <w:rPr>
                <w:rFonts w:ascii="Arial" w:cs="Arial" w:eastAsia="Arial" w:hAnsi="Arial"/>
                <w:sz w:val="18"/>
                <w:szCs w:val="18"/>
                <w:b w:val="1"/>
                <w:bCs w:val="1"/>
                <w:i w:val="1"/>
                <w:iCs w:val="1"/>
                <w:color w:val="auto"/>
                <w:vertAlign w:val="superscript"/>
              </w:rPr>
              <w:t>3</w:t>
            </w:r>
            <w:r>
              <w:rPr>
                <w:rFonts w:ascii="Arial" w:cs="Arial" w:eastAsia="Arial" w:hAnsi="Arial"/>
                <w:sz w:val="14"/>
                <w:szCs w:val="14"/>
                <w:b w:val="1"/>
                <w:bCs w:val="1"/>
                <w:i w:val="1"/>
                <w:iCs w:val="1"/>
                <w:color w:val="auto"/>
              </w:rPr>
              <w:t xml:space="preserve"> - Year-over-Year</w:t>
            </w: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1"/>
        </w:trPr>
        <w:tc>
          <w:tcPr>
            <w:tcW w:w="51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5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708"/>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gridSpan w:val="3"/>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120" w:type="dxa"/>
            <w:vAlign w:val="bottom"/>
          </w:tcPr>
          <w:p>
            <w:pPr>
              <w:spacing w:after="0"/>
              <w:rPr>
                <w:sz w:val="18"/>
                <w:szCs w:val="18"/>
                <w:color w:val="auto"/>
              </w:rPr>
            </w:pPr>
          </w:p>
        </w:tc>
        <w:tc>
          <w:tcPr>
            <w:tcW w:w="176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Hotel Rooms</w:t>
            </w:r>
          </w:p>
        </w:tc>
        <w:tc>
          <w:tcPr>
            <w:tcW w:w="1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30-Sep-26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rPr>
              <w:t>30-Sep-25</w:t>
            </w:r>
          </w:p>
        </w:tc>
        <w:tc>
          <w:tcPr>
            <w:tcW w:w="12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03"/>
        </w:trPr>
        <w:tc>
          <w:tcPr>
            <w:tcW w:w="5120" w:type="dxa"/>
            <w:vAlign w:val="bottom"/>
          </w:tcPr>
          <w:p>
            <w:pPr>
              <w:ind w:left="20"/>
              <w:spacing w:after="0"/>
              <w:rPr>
                <w:sz w:val="20"/>
                <w:szCs w:val="20"/>
                <w:color w:val="auto"/>
              </w:rPr>
            </w:pPr>
            <w:r>
              <w:rPr>
                <w:rFonts w:ascii="Arial" w:cs="Arial" w:eastAsia="Arial" w:hAnsi="Arial"/>
                <w:sz w:val="14"/>
                <w:szCs w:val="14"/>
                <w:color w:val="auto"/>
              </w:rPr>
              <w:t>Boston Marriott Cambridge</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437</w:t>
            </w:r>
          </w:p>
        </w:tc>
        <w:tc>
          <w:tcPr>
            <w:tcW w:w="2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5120" w:type="dxa"/>
            <w:vAlign w:val="bottom"/>
          </w:tcPr>
          <w:p>
            <w:pPr>
              <w:ind w:left="240"/>
              <w:spacing w:after="0"/>
              <w:rPr>
                <w:sz w:val="20"/>
                <w:szCs w:val="20"/>
                <w:color w:val="auto"/>
              </w:rPr>
            </w:pPr>
            <w:r>
              <w:rPr>
                <w:rFonts w:ascii="Arial" w:cs="Arial" w:eastAsia="Arial" w:hAnsi="Arial"/>
                <w:sz w:val="14"/>
                <w:szCs w:val="14"/>
                <w:color w:val="auto"/>
              </w:rPr>
              <w:t>Average Occupancy</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85.40 %</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82.80 %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3.14 %</w:t>
            </w:r>
          </w:p>
        </w:tc>
        <w:tc>
          <w:tcPr>
            <w:tcW w:w="0" w:type="dxa"/>
            <w:vAlign w:val="bottom"/>
          </w:tcPr>
          <w:p>
            <w:pPr>
              <w:spacing w:after="0"/>
              <w:rPr>
                <w:sz w:val="1"/>
                <w:szCs w:val="1"/>
                <w:color w:val="auto"/>
              </w:rPr>
            </w:pPr>
          </w:p>
        </w:tc>
      </w:tr>
      <w:tr>
        <w:trPr>
          <w:trHeight w:val="283"/>
        </w:trPr>
        <w:tc>
          <w:tcPr>
            <w:tcW w:w="5120" w:type="dxa"/>
            <w:vAlign w:val="bottom"/>
          </w:tcPr>
          <w:p>
            <w:pPr>
              <w:ind w:left="240"/>
              <w:spacing w:after="0"/>
              <w:rPr>
                <w:sz w:val="20"/>
                <w:szCs w:val="20"/>
                <w:color w:val="auto"/>
              </w:rPr>
            </w:pPr>
            <w:r>
              <w:rPr>
                <w:rFonts w:ascii="Arial" w:cs="Arial" w:eastAsia="Arial" w:hAnsi="Arial"/>
                <w:sz w:val="14"/>
                <w:szCs w:val="14"/>
                <w:color w:val="auto"/>
              </w:rPr>
              <w:t>Average Daily Rate</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331.21</w:t>
            </w:r>
          </w:p>
        </w:tc>
        <w:tc>
          <w:tcPr>
            <w:tcW w:w="18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328.68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0.77 %</w:t>
            </w:r>
          </w:p>
        </w:tc>
        <w:tc>
          <w:tcPr>
            <w:tcW w:w="0" w:type="dxa"/>
            <w:vAlign w:val="bottom"/>
          </w:tcPr>
          <w:p>
            <w:pPr>
              <w:spacing w:after="0"/>
              <w:rPr>
                <w:sz w:val="1"/>
                <w:szCs w:val="1"/>
                <w:color w:val="auto"/>
              </w:rPr>
            </w:pPr>
          </w:p>
        </w:tc>
      </w:tr>
      <w:tr>
        <w:trPr>
          <w:trHeight w:val="284"/>
        </w:trPr>
        <w:tc>
          <w:tcPr>
            <w:tcW w:w="5120" w:type="dxa"/>
            <w:vAlign w:val="bottom"/>
          </w:tcPr>
          <w:p>
            <w:pPr>
              <w:ind w:left="240"/>
              <w:spacing w:after="0"/>
              <w:rPr>
                <w:sz w:val="20"/>
                <w:szCs w:val="20"/>
                <w:color w:val="auto"/>
              </w:rPr>
            </w:pPr>
            <w:r>
              <w:rPr>
                <w:rFonts w:ascii="Arial" w:cs="Arial" w:eastAsia="Arial" w:hAnsi="Arial"/>
                <w:sz w:val="14"/>
                <w:szCs w:val="14"/>
                <w:color w:val="auto"/>
              </w:rPr>
              <w:t>Revenue Per Available Room</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282.97</w:t>
            </w:r>
          </w:p>
        </w:tc>
        <w:tc>
          <w:tcPr>
            <w:tcW w:w="180" w:type="dxa"/>
            <w:vAlign w:val="bottom"/>
          </w:tcPr>
          <w:p>
            <w:pPr>
              <w:spacing w:after="0"/>
              <w:rPr>
                <w:sz w:val="24"/>
                <w:szCs w:val="24"/>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272.00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4.03 %</w:t>
            </w:r>
          </w:p>
        </w:tc>
        <w:tc>
          <w:tcPr>
            <w:tcW w:w="0" w:type="dxa"/>
            <w:vAlign w:val="bottom"/>
          </w:tcPr>
          <w:p>
            <w:pPr>
              <w:spacing w:after="0"/>
              <w:rPr>
                <w:sz w:val="1"/>
                <w:szCs w:val="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56"/>
        </w:numPr>
        <w:rPr>
          <w:rFonts w:ascii="Arial" w:cs="Arial" w:eastAsia="Arial" w:hAnsi="Arial"/>
          <w:sz w:val="19"/>
          <w:szCs w:val="19"/>
          <w:color w:val="auto"/>
          <w:vertAlign w:val="superscript"/>
        </w:rPr>
      </w:pPr>
      <w:r>
        <w:rPr>
          <w:rFonts w:ascii="Arial" w:cs="Arial" w:eastAsia="Arial" w:hAnsi="Arial"/>
          <w:sz w:val="14"/>
          <w:szCs w:val="14"/>
          <w:color w:val="auto"/>
        </w:rPr>
        <w:t>Includes retail space.</w:t>
      </w:r>
    </w:p>
    <w:p>
      <w:pPr>
        <w:ind w:left="80" w:hanging="72"/>
        <w:spacing w:after="0" w:line="222" w:lineRule="auto"/>
        <w:tabs>
          <w:tab w:leader="none" w:pos="80" w:val="left"/>
        </w:tabs>
        <w:numPr>
          <w:ilvl w:val="0"/>
          <w:numId w:val="57"/>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56.</w:t>
      </w:r>
    </w:p>
    <w:p>
      <w:pPr>
        <w:spacing w:after="0" w:line="32" w:lineRule="exact"/>
        <w:rPr>
          <w:sz w:val="20"/>
          <w:szCs w:val="20"/>
          <w:color w:val="auto"/>
        </w:rPr>
      </w:pPr>
    </w:p>
    <w:p>
      <w:pPr>
        <w:ind w:left="80" w:right="80" w:hanging="72"/>
        <w:spacing w:after="0" w:line="226" w:lineRule="auto"/>
        <w:tabs>
          <w:tab w:leader="none" w:pos="78" w:val="left"/>
        </w:tabs>
        <w:numPr>
          <w:ilvl w:val="0"/>
          <w:numId w:val="58"/>
        </w:numPr>
        <w:rPr>
          <w:rFonts w:ascii="Arial" w:cs="Arial" w:eastAsia="Arial" w:hAnsi="Arial"/>
          <w:sz w:val="18"/>
          <w:szCs w:val="18"/>
          <w:color w:val="auto"/>
          <w:vertAlign w:val="superscript"/>
        </w:rPr>
      </w:pPr>
      <w:r>
        <w:rPr>
          <w:rFonts w:ascii="Arial" w:cs="Arial" w:eastAsia="Arial" w:hAnsi="Arial"/>
          <w:sz w:val="14"/>
          <w:szCs w:val="14"/>
          <w:color w:val="auto"/>
        </w:rPr>
        <w:t>Excludes retail space. For comparative purposes, rental rates and occupancy information does not include The Lofts at Atlantic Wharf, Proto Kendall Square, and Signature at Reston, which were sold prior to September 30, 2026. For additional detail related to The Lofts at Atlantic Wharf sale, see page 14.</w:t>
      </w:r>
    </w:p>
    <w:p>
      <w:pPr>
        <w:sectPr>
          <w:pgSz w:w="11900" w:h="16838" w:orient="portrait"/>
          <w:cols w:equalWidth="0" w:num="1">
            <w:col w:w="11240"/>
          </w:cols>
          <w:pgMar w:left="320" w:top="279" w:right="339" w:bottom="1440" w:gutter="0" w:footer="0" w:header="0"/>
        </w:sectPr>
      </w:pPr>
    </w:p>
    <w:p>
      <w:pPr>
        <w:spacing w:after="0" w:line="20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20</w:t>
      </w:r>
    </w:p>
    <w:p>
      <w:pPr>
        <w:sectPr>
          <w:pgSz w:w="11900" w:h="16838" w:orient="portrait"/>
          <w:cols w:equalWidth="0" w:num="1">
            <w:col w:w="11240"/>
          </w:cols>
          <w:pgMar w:left="320" w:top="279" w:right="339" w:bottom="1440" w:gutter="0" w:footer="0" w:header="0"/>
          <w:type w:val="continuous"/>
        </w:sectPr>
      </w:pPr>
    </w:p>
    <w:bookmarkStart w:id="28" w:name="page29"/>
    <w:bookmarkEnd w:id="28"/>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-61595</wp:posOffset>
            </wp:positionV>
            <wp:extent cx="257175"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In-service property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20" w:type="dxa"/>
            <w:vAlign w:val="bottom"/>
            <w:gridSpan w:val="2"/>
          </w:tcPr>
          <w:p>
            <w:pPr>
              <w:ind w:left="120"/>
              <w:spacing w:after="0"/>
              <w:rPr>
                <w:sz w:val="20"/>
                <w:szCs w:val="20"/>
                <w:color w:val="auto"/>
              </w:rPr>
            </w:pPr>
            <w:r>
              <w:rPr>
                <w:rFonts w:ascii="Arial" w:cs="Arial" w:eastAsia="Arial" w:hAnsi="Arial"/>
                <w:sz w:val="13"/>
                <w:szCs w:val="13"/>
                <w:color w:val="auto"/>
              </w:rPr>
              <w:t>as of September 30, 2026</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5"/>
              </w:rPr>
              <w:t>Number of</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ind w:left="20"/>
              <w:spacing w:after="0"/>
              <w:rPr>
                <w:sz w:val="20"/>
                <w:szCs w:val="20"/>
                <w:color w:val="auto"/>
              </w:rPr>
            </w:pPr>
            <w:r>
              <w:rPr>
                <w:rFonts w:ascii="Arial" w:cs="Arial" w:eastAsia="Arial" w:hAnsi="Arial"/>
                <w:sz w:val="13"/>
                <w:szCs w:val="13"/>
                <w:b w:val="1"/>
                <w:bCs w:val="1"/>
                <w:color w:val="auto"/>
                <w:w w:val="97"/>
              </w:rPr>
              <w:t>Annualized Rental</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0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Sub Market</w:t>
            </w:r>
          </w:p>
        </w:tc>
        <w:tc>
          <w:tcPr>
            <w:tcW w:w="920" w:type="dxa"/>
            <w:vAlign w:val="bottom"/>
            <w:gridSpan w:val="2"/>
            <w:vMerge w:val="continue"/>
          </w:tcPr>
          <w:p>
            <w:pPr>
              <w:spacing w:after="0"/>
              <w:rPr>
                <w:sz w:val="10"/>
                <w:szCs w:val="10"/>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Square Feet</w:t>
            </w:r>
          </w:p>
        </w:tc>
        <w:tc>
          <w:tcPr>
            <w:tcW w:w="13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 xml:space="preserve">Occupied % </w:t>
            </w:r>
            <w:r>
              <w:rPr>
                <w:rFonts w:ascii="Arial" w:cs="Arial" w:eastAsia="Arial" w:hAnsi="Arial"/>
                <w:sz w:val="16"/>
                <w:szCs w:val="16"/>
                <w:b w:val="1"/>
                <w:bCs w:val="1"/>
                <w:color w:val="auto"/>
                <w:vertAlign w:val="superscript"/>
              </w:rPr>
              <w:t>1</w:t>
            </w:r>
          </w:p>
        </w:tc>
        <w:tc>
          <w:tcPr>
            <w:tcW w:w="116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 xml:space="preserve">Leased % </w:t>
            </w:r>
            <w:r>
              <w:rPr>
                <w:rFonts w:ascii="Arial" w:cs="Arial" w:eastAsia="Arial" w:hAnsi="Arial"/>
                <w:sz w:val="16"/>
                <w:szCs w:val="16"/>
                <w:b w:val="1"/>
                <w:bCs w:val="1"/>
                <w:color w:val="auto"/>
                <w:vertAlign w:val="superscript"/>
              </w:rPr>
              <w:t>2</w:t>
            </w:r>
          </w:p>
        </w:tc>
        <w:tc>
          <w:tcPr>
            <w:tcW w:w="14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w w:val="99"/>
              </w:rPr>
              <w:t>Obligations Per</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Buildings</w:t>
            </w:r>
          </w:p>
        </w:tc>
        <w:tc>
          <w:tcPr>
            <w:tcW w:w="920" w:type="dxa"/>
            <w:vAlign w:val="bottom"/>
            <w:gridSpan w:val="2"/>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 xml:space="preserve">Occupied SF </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208"/>
        </w:trPr>
        <w:tc>
          <w:tcPr>
            <w:tcW w:w="480" w:type="dxa"/>
            <w:vAlign w:val="bottom"/>
          </w:tcPr>
          <w:p>
            <w:pPr>
              <w:spacing w:after="0"/>
              <w:rPr>
                <w:sz w:val="20"/>
                <w:szCs w:val="20"/>
                <w:color w:val="auto"/>
              </w:rPr>
            </w:pPr>
            <w:r>
              <w:rPr>
                <w:rFonts w:ascii="Arial" w:cs="Arial" w:eastAsia="Arial" w:hAnsi="Arial"/>
                <w:sz w:val="14"/>
                <w:szCs w:val="14"/>
                <w:b w:val="1"/>
                <w:bCs w:val="1"/>
                <w:i w:val="1"/>
                <w:iCs w:val="1"/>
                <w:color w:val="auto"/>
              </w:rPr>
              <w:t>CBD</w:t>
            </w:r>
          </w:p>
        </w:tc>
        <w:tc>
          <w:tcPr>
            <w:tcW w:w="304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BOSTON</w:t>
            </w: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80" w:type="dxa"/>
            <w:vAlign w:val="bottom"/>
          </w:tcPr>
          <w:p>
            <w:pPr>
              <w:ind w:left="120"/>
              <w:spacing w:after="0"/>
              <w:rPr>
                <w:sz w:val="20"/>
                <w:szCs w:val="20"/>
                <w:color w:val="auto"/>
              </w:rPr>
            </w:pPr>
            <w:r>
              <w:rPr>
                <w:rFonts w:ascii="Arial" w:cs="Arial" w:eastAsia="Arial" w:hAnsi="Arial"/>
                <w:sz w:val="13"/>
                <w:szCs w:val="13"/>
                <w:color w:val="auto"/>
                <w:w w:val="99"/>
              </w:rPr>
              <w:t>Office</w:t>
            </w:r>
          </w:p>
        </w:tc>
        <w:tc>
          <w:tcPr>
            <w:tcW w:w="30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200</w:t>
            </w:r>
          </w:p>
        </w:tc>
        <w:tc>
          <w:tcPr>
            <w:tcW w:w="3040" w:type="dxa"/>
            <w:vAlign w:val="bottom"/>
          </w:tcPr>
          <w:p>
            <w:pPr>
              <w:ind w:left="20"/>
              <w:spacing w:after="0"/>
              <w:rPr>
                <w:sz w:val="20"/>
                <w:szCs w:val="20"/>
                <w:color w:val="auto"/>
              </w:rPr>
            </w:pPr>
            <w:r>
              <w:rPr>
                <w:rFonts w:ascii="Arial" w:cs="Arial" w:eastAsia="Arial" w:hAnsi="Arial"/>
                <w:sz w:val="13"/>
                <w:szCs w:val="13"/>
                <w:color w:val="auto"/>
              </w:rPr>
              <w:t>Clarendon Street</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1,700,914</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97.3 %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97.3 %</w:t>
            </w:r>
          </w:p>
        </w:tc>
        <w:tc>
          <w:tcPr>
            <w:tcW w:w="24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92.62</w:t>
            </w: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800</w:t>
            </w:r>
          </w:p>
        </w:tc>
        <w:tc>
          <w:tcPr>
            <w:tcW w:w="3040" w:type="dxa"/>
            <w:vAlign w:val="bottom"/>
          </w:tcPr>
          <w:p>
            <w:pPr>
              <w:ind w:left="20"/>
              <w:spacing w:after="0"/>
              <w:rPr>
                <w:sz w:val="20"/>
                <w:szCs w:val="20"/>
                <w:color w:val="auto"/>
              </w:rPr>
            </w:pPr>
            <w:r>
              <w:rPr>
                <w:rFonts w:ascii="Arial" w:cs="Arial" w:eastAsia="Arial" w:hAnsi="Arial"/>
                <w:sz w:val="13"/>
                <w:szCs w:val="13"/>
                <w:color w:val="auto"/>
              </w:rPr>
              <w:t>Boylston Street - The Prudential Center</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1,270,419</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93.2 %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93.2 %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78.31</w:t>
            </w: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100</w:t>
            </w:r>
          </w:p>
        </w:tc>
        <w:tc>
          <w:tcPr>
            <w:tcW w:w="3040" w:type="dxa"/>
            <w:vAlign w:val="bottom"/>
          </w:tcPr>
          <w:p>
            <w:pPr>
              <w:ind w:left="20"/>
              <w:spacing w:after="0"/>
              <w:rPr>
                <w:sz w:val="20"/>
                <w:szCs w:val="20"/>
                <w:color w:val="auto"/>
              </w:rPr>
            </w:pPr>
            <w:r>
              <w:rPr>
                <w:rFonts w:ascii="Arial" w:cs="Arial" w:eastAsia="Arial" w:hAnsi="Arial"/>
                <w:sz w:val="13"/>
                <w:szCs w:val="13"/>
                <w:color w:val="auto"/>
              </w:rPr>
              <w:t>Federal Street (55% ownership)</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1,235,133</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93.6 %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93.6 %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81.78</w:t>
            </w:r>
          </w:p>
        </w:tc>
        <w:tc>
          <w:tcPr>
            <w:tcW w:w="0" w:type="dxa"/>
            <w:vAlign w:val="bottom"/>
          </w:tcPr>
          <w:p>
            <w:pPr>
              <w:spacing w:after="0"/>
              <w:rPr>
                <w:sz w:val="1"/>
                <w:szCs w:val="1"/>
                <w:color w:val="auto"/>
              </w:rPr>
            </w:pPr>
          </w:p>
        </w:tc>
      </w:tr>
      <w:tr>
        <w:trPr>
          <w:trHeight w:val="189"/>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111 Huntington Avenue - The Prudential Center</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860,446</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83.16</w:t>
            </w:r>
          </w:p>
        </w:tc>
        <w:tc>
          <w:tcPr>
            <w:tcW w:w="0" w:type="dxa"/>
            <w:vAlign w:val="bottom"/>
          </w:tcPr>
          <w:p>
            <w:pPr>
              <w:spacing w:after="0"/>
              <w:rPr>
                <w:sz w:val="1"/>
                <w:szCs w:val="1"/>
                <w:color w:val="auto"/>
              </w:rPr>
            </w:pPr>
          </w:p>
        </w:tc>
      </w:tr>
      <w:tr>
        <w:trPr>
          <w:trHeight w:val="189"/>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Atlantic Wharf Office (55% ownership)</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793,024</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94.72</w:t>
            </w:r>
          </w:p>
        </w:tc>
        <w:tc>
          <w:tcPr>
            <w:tcW w:w="0" w:type="dxa"/>
            <w:vAlign w:val="bottom"/>
          </w:tcPr>
          <w:p>
            <w:pPr>
              <w:spacing w:after="0"/>
              <w:rPr>
                <w:sz w:val="1"/>
                <w:szCs w:val="1"/>
                <w:color w:val="auto"/>
              </w:rPr>
            </w:pPr>
          </w:p>
        </w:tc>
      </w:tr>
      <w:tr>
        <w:trPr>
          <w:trHeight w:val="212"/>
        </w:trPr>
        <w:tc>
          <w:tcPr>
            <w:tcW w:w="480" w:type="dxa"/>
            <w:vAlign w:val="bottom"/>
          </w:tcPr>
          <w:p>
            <w:pPr>
              <w:ind w:left="240"/>
              <w:spacing w:after="0"/>
              <w:rPr>
                <w:sz w:val="20"/>
                <w:szCs w:val="20"/>
                <w:color w:val="auto"/>
              </w:rPr>
            </w:pPr>
            <w:r>
              <w:rPr>
                <w:rFonts w:ascii="Arial" w:cs="Arial" w:eastAsia="Arial" w:hAnsi="Arial"/>
                <w:sz w:val="13"/>
                <w:szCs w:val="13"/>
                <w:color w:val="auto"/>
              </w:rPr>
              <w:t>100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Causeway Street (50%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8"/>
                <w:szCs w:val="18"/>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633,818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78.69</w:t>
            </w:r>
          </w:p>
        </w:tc>
        <w:tc>
          <w:tcPr>
            <w:tcW w:w="0" w:type="dxa"/>
            <w:vAlign w:val="bottom"/>
          </w:tcPr>
          <w:p>
            <w:pPr>
              <w:spacing w:after="0"/>
              <w:rPr>
                <w:sz w:val="1"/>
                <w:szCs w:val="1"/>
                <w:color w:val="auto"/>
              </w:rPr>
            </w:pPr>
          </w:p>
        </w:tc>
      </w:tr>
      <w:tr>
        <w:trPr>
          <w:trHeight w:val="189"/>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Prudential Center (retail shops) </w:t>
            </w:r>
            <w:r>
              <w:rPr>
                <w:rFonts w:ascii="Arial" w:cs="Arial" w:eastAsia="Arial" w:hAnsi="Arial"/>
                <w:sz w:val="16"/>
                <w:szCs w:val="16"/>
                <w:color w:val="auto"/>
                <w:vertAlign w:val="superscript"/>
              </w:rPr>
              <w:t>5</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589,906</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95.7 %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98.58</w:t>
            </w:r>
          </w:p>
        </w:tc>
        <w:tc>
          <w:tcPr>
            <w:tcW w:w="0" w:type="dxa"/>
            <w:vAlign w:val="bottom"/>
          </w:tcPr>
          <w:p>
            <w:pPr>
              <w:spacing w:after="0"/>
              <w:rPr>
                <w:sz w:val="1"/>
                <w:szCs w:val="1"/>
                <w:color w:val="auto"/>
              </w:rPr>
            </w:pPr>
          </w:p>
        </w:tc>
      </w:tr>
      <w:tr>
        <w:trPr>
          <w:trHeight w:val="166"/>
        </w:trPr>
        <w:tc>
          <w:tcPr>
            <w:tcW w:w="480" w:type="dxa"/>
            <w:vAlign w:val="bottom"/>
          </w:tcPr>
          <w:p>
            <w:pPr>
              <w:ind w:left="240"/>
              <w:spacing w:after="0"/>
              <w:rPr>
                <w:sz w:val="20"/>
                <w:szCs w:val="20"/>
                <w:color w:val="auto"/>
              </w:rPr>
            </w:pPr>
            <w:r>
              <w:rPr>
                <w:rFonts w:ascii="Arial" w:cs="Arial" w:eastAsia="Arial" w:hAnsi="Arial"/>
                <w:sz w:val="13"/>
                <w:szCs w:val="13"/>
                <w:color w:val="auto"/>
              </w:rPr>
              <w:t>101</w:t>
            </w:r>
          </w:p>
        </w:tc>
        <w:tc>
          <w:tcPr>
            <w:tcW w:w="3040" w:type="dxa"/>
            <w:vAlign w:val="bottom"/>
          </w:tcPr>
          <w:p>
            <w:pPr>
              <w:ind w:left="20"/>
              <w:spacing w:after="0"/>
              <w:rPr>
                <w:sz w:val="20"/>
                <w:szCs w:val="20"/>
                <w:color w:val="auto"/>
              </w:rPr>
            </w:pPr>
            <w:r>
              <w:rPr>
                <w:rFonts w:ascii="Arial" w:cs="Arial" w:eastAsia="Arial" w:hAnsi="Arial"/>
                <w:sz w:val="13"/>
                <w:szCs w:val="13"/>
                <w:color w:val="auto"/>
              </w:rPr>
              <w:t>Huntington Avenue - The Prudential Center</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506,476</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64.62</w:t>
            </w:r>
          </w:p>
        </w:tc>
        <w:tc>
          <w:tcPr>
            <w:tcW w:w="0" w:type="dxa"/>
            <w:vAlign w:val="bottom"/>
          </w:tcPr>
          <w:p>
            <w:pPr>
              <w:spacing w:after="0"/>
              <w:rPr>
                <w:sz w:val="1"/>
                <w:szCs w:val="1"/>
                <w:color w:val="auto"/>
              </w:rPr>
            </w:pPr>
          </w:p>
        </w:tc>
      </w:tr>
      <w:tr>
        <w:trPr>
          <w:trHeight w:val="212"/>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The Hub on Causeway - Podium (50%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8"/>
                <w:szCs w:val="18"/>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382,988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98.5 %</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65.13</w:t>
            </w:r>
          </w:p>
        </w:tc>
        <w:tc>
          <w:tcPr>
            <w:tcW w:w="0" w:type="dxa"/>
            <w:vAlign w:val="bottom"/>
          </w:tcPr>
          <w:p>
            <w:pPr>
              <w:spacing w:after="0"/>
              <w:rPr>
                <w:sz w:val="1"/>
                <w:szCs w:val="1"/>
                <w:color w:val="auto"/>
              </w:rPr>
            </w:pPr>
          </w:p>
        </w:tc>
      </w:tr>
      <w:tr>
        <w:trPr>
          <w:trHeight w:val="166"/>
        </w:trPr>
        <w:tc>
          <w:tcPr>
            <w:tcW w:w="480" w:type="dxa"/>
            <w:vAlign w:val="bottom"/>
          </w:tcPr>
          <w:p>
            <w:pPr>
              <w:ind w:left="240"/>
              <w:spacing w:after="0"/>
              <w:rPr>
                <w:sz w:val="20"/>
                <w:szCs w:val="20"/>
                <w:color w:val="auto"/>
              </w:rPr>
            </w:pPr>
            <w:r>
              <w:rPr>
                <w:rFonts w:ascii="Arial" w:cs="Arial" w:eastAsia="Arial" w:hAnsi="Arial"/>
                <w:sz w:val="13"/>
                <w:szCs w:val="13"/>
                <w:color w:val="auto"/>
              </w:rPr>
              <w:t>888</w:t>
            </w:r>
          </w:p>
        </w:tc>
        <w:tc>
          <w:tcPr>
            <w:tcW w:w="3040" w:type="dxa"/>
            <w:vAlign w:val="bottom"/>
          </w:tcPr>
          <w:p>
            <w:pPr>
              <w:ind w:left="20"/>
              <w:spacing w:after="0"/>
              <w:rPr>
                <w:sz w:val="20"/>
                <w:szCs w:val="20"/>
                <w:color w:val="auto"/>
              </w:rPr>
            </w:pPr>
            <w:r>
              <w:rPr>
                <w:rFonts w:ascii="Arial" w:cs="Arial" w:eastAsia="Arial" w:hAnsi="Arial"/>
                <w:sz w:val="13"/>
                <w:szCs w:val="13"/>
                <w:color w:val="auto"/>
              </w:rPr>
              <w:t>Boylston Street - The Prudential Center</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377,574</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96.2 %</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96.2 %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84.47</w:t>
            </w:r>
          </w:p>
        </w:tc>
        <w:tc>
          <w:tcPr>
            <w:tcW w:w="0" w:type="dxa"/>
            <w:vAlign w:val="bottom"/>
          </w:tcPr>
          <w:p>
            <w:pPr>
              <w:spacing w:after="0"/>
              <w:rPr>
                <w:sz w:val="1"/>
                <w:szCs w:val="1"/>
                <w:color w:val="auto"/>
              </w:rPr>
            </w:pPr>
          </w:p>
        </w:tc>
      </w:tr>
      <w:tr>
        <w:trPr>
          <w:trHeight w:val="203"/>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Star Market at the Prudential Center </w:t>
            </w:r>
            <w:r>
              <w:rPr>
                <w:rFonts w:ascii="Arial" w:cs="Arial" w:eastAsia="Arial" w:hAnsi="Arial"/>
                <w:sz w:val="16"/>
                <w:szCs w:val="16"/>
                <w:color w:val="auto"/>
                <w:vertAlign w:val="superscript"/>
              </w:rPr>
              <w:t>5</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7"/>
                <w:szCs w:val="17"/>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60,015</w:t>
            </w:r>
          </w:p>
        </w:tc>
        <w:tc>
          <w:tcPr>
            <w:tcW w:w="1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64.67</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11</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8,410,713</w:t>
            </w:r>
          </w:p>
        </w:tc>
        <w:tc>
          <w:tcPr>
            <w:tcW w:w="14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96.9 %</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97.3 %</w:t>
            </w:r>
          </w:p>
        </w:tc>
        <w:tc>
          <w:tcPr>
            <w:tcW w:w="24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84.03</w:t>
            </w:r>
          </w:p>
        </w:tc>
        <w:tc>
          <w:tcPr>
            <w:tcW w:w="0" w:type="dxa"/>
            <w:vAlign w:val="bottom"/>
          </w:tcPr>
          <w:p>
            <w:pPr>
              <w:spacing w:after="0"/>
              <w:rPr>
                <w:sz w:val="1"/>
                <w:szCs w:val="1"/>
                <w:color w:val="auto"/>
              </w:rPr>
            </w:pPr>
          </w:p>
        </w:tc>
      </w:tr>
      <w:tr>
        <w:trPr>
          <w:trHeight w:val="401"/>
        </w:trPr>
        <w:tc>
          <w:tcPr>
            <w:tcW w:w="480" w:type="dxa"/>
            <w:vAlign w:val="bottom"/>
          </w:tcPr>
          <w:p>
            <w:pPr>
              <w:ind w:left="240"/>
              <w:spacing w:after="0"/>
              <w:rPr>
                <w:sz w:val="20"/>
                <w:szCs w:val="20"/>
                <w:color w:val="auto"/>
              </w:rPr>
            </w:pPr>
            <w:r>
              <w:rPr>
                <w:rFonts w:ascii="Arial" w:cs="Arial" w:eastAsia="Arial" w:hAnsi="Arial"/>
                <w:sz w:val="13"/>
                <w:szCs w:val="13"/>
                <w:color w:val="auto"/>
              </w:rPr>
              <w:t>290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Binney Street (55% ownership) </w:t>
            </w:r>
            <w:r>
              <w:rPr>
                <w:rFonts w:ascii="Arial" w:cs="Arial" w:eastAsia="Arial" w:hAnsi="Arial"/>
                <w:sz w:val="16"/>
                <w:szCs w:val="16"/>
                <w:color w:val="auto"/>
                <w:vertAlign w:val="superscript"/>
              </w:rPr>
              <w:t>6, 7</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572,578</w:t>
            </w: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156.85</w:t>
            </w:r>
          </w:p>
        </w:tc>
        <w:tc>
          <w:tcPr>
            <w:tcW w:w="0" w:type="dxa"/>
            <w:vAlign w:val="bottom"/>
          </w:tcPr>
          <w:p>
            <w:pPr>
              <w:spacing w:after="0"/>
              <w:rPr>
                <w:sz w:val="1"/>
                <w:szCs w:val="1"/>
                <w:color w:val="auto"/>
              </w:rPr>
            </w:pPr>
          </w:p>
        </w:tc>
      </w:tr>
      <w:tr>
        <w:trPr>
          <w:trHeight w:val="166"/>
        </w:trPr>
        <w:tc>
          <w:tcPr>
            <w:tcW w:w="480" w:type="dxa"/>
            <w:vAlign w:val="bottom"/>
          </w:tcPr>
          <w:p>
            <w:pPr>
              <w:ind w:left="240"/>
              <w:spacing w:after="0"/>
              <w:rPr>
                <w:sz w:val="20"/>
                <w:szCs w:val="20"/>
                <w:color w:val="auto"/>
              </w:rPr>
            </w:pPr>
            <w:r>
              <w:rPr>
                <w:rFonts w:ascii="Arial" w:cs="Arial" w:eastAsia="Arial" w:hAnsi="Arial"/>
                <w:sz w:val="13"/>
                <w:szCs w:val="13"/>
                <w:color w:val="auto"/>
              </w:rPr>
              <w:t>145</w:t>
            </w:r>
          </w:p>
        </w:tc>
        <w:tc>
          <w:tcPr>
            <w:tcW w:w="3040" w:type="dxa"/>
            <w:vAlign w:val="bottom"/>
          </w:tcPr>
          <w:p>
            <w:pPr>
              <w:ind w:left="20"/>
              <w:spacing w:after="0"/>
              <w:rPr>
                <w:sz w:val="20"/>
                <w:szCs w:val="20"/>
                <w:color w:val="auto"/>
              </w:rPr>
            </w:pPr>
            <w:r>
              <w:rPr>
                <w:rFonts w:ascii="Arial" w:cs="Arial" w:eastAsia="Arial" w:hAnsi="Arial"/>
                <w:sz w:val="13"/>
                <w:szCs w:val="13"/>
                <w:color w:val="auto"/>
              </w:rPr>
              <w:t>Broadway</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490,086</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99.6 %</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99.6 %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95.27</w:t>
            </w: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325</w:t>
            </w:r>
          </w:p>
        </w:tc>
        <w:tc>
          <w:tcPr>
            <w:tcW w:w="3040" w:type="dxa"/>
            <w:vAlign w:val="bottom"/>
          </w:tcPr>
          <w:p>
            <w:pPr>
              <w:ind w:left="20"/>
              <w:spacing w:after="0"/>
              <w:rPr>
                <w:sz w:val="20"/>
                <w:szCs w:val="20"/>
                <w:color w:val="auto"/>
              </w:rPr>
            </w:pPr>
            <w:r>
              <w:rPr>
                <w:rFonts w:ascii="Arial" w:cs="Arial" w:eastAsia="Arial" w:hAnsi="Arial"/>
                <w:sz w:val="13"/>
                <w:szCs w:val="13"/>
                <w:color w:val="auto"/>
              </w:rPr>
              <w:t>Main Street</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406,824</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99.4 %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115.80</w:t>
            </w:r>
          </w:p>
        </w:tc>
        <w:tc>
          <w:tcPr>
            <w:tcW w:w="0" w:type="dxa"/>
            <w:vAlign w:val="bottom"/>
          </w:tcPr>
          <w:p>
            <w:pPr>
              <w:spacing w:after="0"/>
              <w:rPr>
                <w:sz w:val="1"/>
                <w:szCs w:val="1"/>
                <w:color w:val="auto"/>
              </w:rPr>
            </w:pPr>
          </w:p>
        </w:tc>
      </w:tr>
      <w:tr>
        <w:trPr>
          <w:trHeight w:val="212"/>
        </w:trPr>
        <w:tc>
          <w:tcPr>
            <w:tcW w:w="480" w:type="dxa"/>
            <w:vAlign w:val="bottom"/>
          </w:tcPr>
          <w:p>
            <w:pPr>
              <w:ind w:left="240"/>
              <w:spacing w:after="0"/>
              <w:rPr>
                <w:sz w:val="20"/>
                <w:szCs w:val="20"/>
                <w:color w:val="auto"/>
              </w:rPr>
            </w:pPr>
            <w:r>
              <w:rPr>
                <w:rFonts w:ascii="Arial" w:cs="Arial" w:eastAsia="Arial" w:hAnsi="Arial"/>
                <w:sz w:val="13"/>
                <w:szCs w:val="13"/>
                <w:color w:val="auto"/>
              </w:rPr>
              <w:t>125</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Broadway </w:t>
            </w:r>
            <w:r>
              <w:rPr>
                <w:rFonts w:ascii="Arial" w:cs="Arial" w:eastAsia="Arial" w:hAnsi="Arial"/>
                <w:sz w:val="16"/>
                <w:szCs w:val="16"/>
                <w:color w:val="auto"/>
                <w:vertAlign w:val="superscript"/>
              </w:rPr>
              <w:t>6</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8"/>
                <w:szCs w:val="18"/>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271,000</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153.93</w:t>
            </w:r>
          </w:p>
        </w:tc>
        <w:tc>
          <w:tcPr>
            <w:tcW w:w="0" w:type="dxa"/>
            <w:vAlign w:val="bottom"/>
          </w:tcPr>
          <w:p>
            <w:pPr>
              <w:spacing w:after="0"/>
              <w:rPr>
                <w:sz w:val="1"/>
                <w:szCs w:val="1"/>
                <w:color w:val="auto"/>
              </w:rPr>
            </w:pPr>
          </w:p>
        </w:tc>
      </w:tr>
      <w:tr>
        <w:trPr>
          <w:trHeight w:val="166"/>
        </w:trPr>
        <w:tc>
          <w:tcPr>
            <w:tcW w:w="480" w:type="dxa"/>
            <w:vAlign w:val="bottom"/>
          </w:tcPr>
          <w:p>
            <w:pPr>
              <w:ind w:left="240"/>
              <w:spacing w:after="0"/>
              <w:rPr>
                <w:sz w:val="20"/>
                <w:szCs w:val="20"/>
                <w:color w:val="auto"/>
              </w:rPr>
            </w:pPr>
            <w:r>
              <w:rPr>
                <w:rFonts w:ascii="Arial" w:cs="Arial" w:eastAsia="Arial" w:hAnsi="Arial"/>
                <w:sz w:val="13"/>
                <w:szCs w:val="13"/>
                <w:color w:val="auto"/>
              </w:rPr>
              <w:t>355</w:t>
            </w:r>
          </w:p>
        </w:tc>
        <w:tc>
          <w:tcPr>
            <w:tcW w:w="3040" w:type="dxa"/>
            <w:vAlign w:val="bottom"/>
          </w:tcPr>
          <w:p>
            <w:pPr>
              <w:ind w:left="20"/>
              <w:spacing w:after="0"/>
              <w:rPr>
                <w:sz w:val="20"/>
                <w:szCs w:val="20"/>
                <w:color w:val="auto"/>
              </w:rPr>
            </w:pPr>
            <w:r>
              <w:rPr>
                <w:rFonts w:ascii="Arial" w:cs="Arial" w:eastAsia="Arial" w:hAnsi="Arial"/>
                <w:sz w:val="13"/>
                <w:szCs w:val="13"/>
                <w:color w:val="auto"/>
              </w:rPr>
              <w:t>Main Street</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256,966</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105.46</w:t>
            </w:r>
          </w:p>
        </w:tc>
        <w:tc>
          <w:tcPr>
            <w:tcW w:w="0" w:type="dxa"/>
            <w:vAlign w:val="bottom"/>
          </w:tcPr>
          <w:p>
            <w:pPr>
              <w:spacing w:after="0"/>
              <w:rPr>
                <w:sz w:val="1"/>
                <w:szCs w:val="1"/>
                <w:color w:val="auto"/>
              </w:rPr>
            </w:pPr>
          </w:p>
        </w:tc>
      </w:tr>
      <w:tr>
        <w:trPr>
          <w:trHeight w:val="212"/>
        </w:trPr>
        <w:tc>
          <w:tcPr>
            <w:tcW w:w="480" w:type="dxa"/>
            <w:vAlign w:val="bottom"/>
          </w:tcPr>
          <w:p>
            <w:pPr>
              <w:ind w:left="240"/>
              <w:spacing w:after="0"/>
              <w:rPr>
                <w:sz w:val="20"/>
                <w:szCs w:val="20"/>
                <w:color w:val="auto"/>
              </w:rPr>
            </w:pPr>
            <w:r>
              <w:rPr>
                <w:rFonts w:ascii="Arial" w:cs="Arial" w:eastAsia="Arial" w:hAnsi="Arial"/>
                <w:sz w:val="13"/>
                <w:szCs w:val="13"/>
                <w:color w:val="auto"/>
              </w:rPr>
              <w:t>300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Binney Street (55% ownership) </w:t>
            </w:r>
            <w:r>
              <w:rPr>
                <w:rFonts w:ascii="Arial" w:cs="Arial" w:eastAsia="Arial" w:hAnsi="Arial"/>
                <w:sz w:val="16"/>
                <w:szCs w:val="16"/>
                <w:color w:val="auto"/>
                <w:vertAlign w:val="superscript"/>
              </w:rPr>
              <w:t>6</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8"/>
                <w:szCs w:val="18"/>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239,908</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172.88</w:t>
            </w: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90 Broadway</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223,771</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95.29</w:t>
            </w: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255</w:t>
            </w:r>
          </w:p>
        </w:tc>
        <w:tc>
          <w:tcPr>
            <w:tcW w:w="3040" w:type="dxa"/>
            <w:vAlign w:val="bottom"/>
          </w:tcPr>
          <w:p>
            <w:pPr>
              <w:ind w:left="20"/>
              <w:spacing w:after="0"/>
              <w:rPr>
                <w:sz w:val="20"/>
                <w:szCs w:val="20"/>
                <w:color w:val="auto"/>
              </w:rPr>
            </w:pPr>
            <w:r>
              <w:rPr>
                <w:rFonts w:ascii="Arial" w:cs="Arial" w:eastAsia="Arial" w:hAnsi="Arial"/>
                <w:sz w:val="13"/>
                <w:szCs w:val="13"/>
                <w:color w:val="auto"/>
              </w:rPr>
              <w:t>Main Street</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215,394</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82.5 %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82.5 %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94.58</w:t>
            </w: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150</w:t>
            </w:r>
          </w:p>
        </w:tc>
        <w:tc>
          <w:tcPr>
            <w:tcW w:w="3040" w:type="dxa"/>
            <w:vAlign w:val="bottom"/>
          </w:tcPr>
          <w:p>
            <w:pPr>
              <w:ind w:left="20"/>
              <w:spacing w:after="0"/>
              <w:rPr>
                <w:sz w:val="20"/>
                <w:szCs w:val="20"/>
                <w:color w:val="auto"/>
              </w:rPr>
            </w:pPr>
            <w:r>
              <w:rPr>
                <w:rFonts w:ascii="Arial" w:cs="Arial" w:eastAsia="Arial" w:hAnsi="Arial"/>
                <w:sz w:val="13"/>
                <w:szCs w:val="13"/>
                <w:color w:val="auto"/>
              </w:rPr>
              <w:t>Broadway</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177,226</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104.37</w:t>
            </w: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105</w:t>
            </w:r>
          </w:p>
        </w:tc>
        <w:tc>
          <w:tcPr>
            <w:tcW w:w="3040" w:type="dxa"/>
            <w:vAlign w:val="bottom"/>
          </w:tcPr>
          <w:p>
            <w:pPr>
              <w:ind w:left="20"/>
              <w:spacing w:after="0"/>
              <w:rPr>
                <w:sz w:val="20"/>
                <w:szCs w:val="20"/>
                <w:color w:val="auto"/>
              </w:rPr>
            </w:pPr>
            <w:r>
              <w:rPr>
                <w:rFonts w:ascii="Arial" w:cs="Arial" w:eastAsia="Arial" w:hAnsi="Arial"/>
                <w:sz w:val="13"/>
                <w:szCs w:val="13"/>
                <w:color w:val="auto"/>
              </w:rPr>
              <w:t>Broadway</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152,664</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78.89</w:t>
            </w:r>
          </w:p>
        </w:tc>
        <w:tc>
          <w:tcPr>
            <w:tcW w:w="0" w:type="dxa"/>
            <w:vAlign w:val="bottom"/>
          </w:tcPr>
          <w:p>
            <w:pPr>
              <w:spacing w:after="0"/>
              <w:rPr>
                <w:sz w:val="1"/>
                <w:szCs w:val="1"/>
                <w:color w:val="auto"/>
              </w:rPr>
            </w:pPr>
          </w:p>
        </w:tc>
      </w:tr>
      <w:tr>
        <w:trPr>
          <w:trHeight w:val="212"/>
        </w:trPr>
        <w:tc>
          <w:tcPr>
            <w:tcW w:w="480" w:type="dxa"/>
            <w:vAlign w:val="bottom"/>
          </w:tcPr>
          <w:p>
            <w:pPr>
              <w:ind w:left="240"/>
              <w:spacing w:after="0"/>
              <w:rPr>
                <w:sz w:val="20"/>
                <w:szCs w:val="20"/>
                <w:color w:val="auto"/>
              </w:rPr>
            </w:pPr>
            <w:r>
              <w:rPr>
                <w:rFonts w:ascii="Arial" w:cs="Arial" w:eastAsia="Arial" w:hAnsi="Arial"/>
                <w:sz w:val="13"/>
                <w:szCs w:val="13"/>
                <w:color w:val="auto"/>
              </w:rPr>
              <w:t>250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Binney Street </w:t>
            </w:r>
            <w:r>
              <w:rPr>
                <w:rFonts w:ascii="Arial" w:cs="Arial" w:eastAsia="Arial" w:hAnsi="Arial"/>
                <w:sz w:val="16"/>
                <w:szCs w:val="16"/>
                <w:color w:val="auto"/>
                <w:vertAlign w:val="superscript"/>
              </w:rPr>
              <w:t>6</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8"/>
                <w:szCs w:val="18"/>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67,362</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94.96</w:t>
            </w:r>
          </w:p>
        </w:tc>
        <w:tc>
          <w:tcPr>
            <w:tcW w:w="0" w:type="dxa"/>
            <w:vAlign w:val="bottom"/>
          </w:tcPr>
          <w:p>
            <w:pPr>
              <w:spacing w:after="0"/>
              <w:rPr>
                <w:sz w:val="1"/>
                <w:szCs w:val="1"/>
                <w:color w:val="auto"/>
              </w:rPr>
            </w:pPr>
          </w:p>
        </w:tc>
      </w:tr>
      <w:tr>
        <w:trPr>
          <w:trHeight w:val="173"/>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University Place</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Mid-Cambridge MA</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195,282</w:t>
            </w:r>
          </w:p>
        </w:tc>
        <w:tc>
          <w:tcPr>
            <w:tcW w:w="14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63.22</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12</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3,269,061</w:t>
            </w:r>
          </w:p>
        </w:tc>
        <w:tc>
          <w:tcPr>
            <w:tcW w:w="14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98.7 %</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98.8 %</w:t>
            </w:r>
          </w:p>
        </w:tc>
        <w:tc>
          <w:tcPr>
            <w:tcW w:w="24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118.08</w:t>
            </w: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 Boston CBD</w:t>
            </w: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23</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11,679,774</w:t>
            </w:r>
          </w:p>
        </w:tc>
        <w:tc>
          <w:tcPr>
            <w:tcW w:w="14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97.4 %</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97.7 %</w:t>
            </w:r>
          </w:p>
        </w:tc>
        <w:tc>
          <w:tcPr>
            <w:tcW w:w="24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93.77</w:t>
            </w:r>
          </w:p>
        </w:tc>
        <w:tc>
          <w:tcPr>
            <w:tcW w:w="0" w:type="dxa"/>
            <w:vAlign w:val="bottom"/>
          </w:tcPr>
          <w:p>
            <w:pPr>
              <w:spacing w:after="0"/>
              <w:rPr>
                <w:sz w:val="1"/>
                <w:szCs w:val="1"/>
                <w:color w:val="auto"/>
              </w:rPr>
            </w:pPr>
          </w:p>
        </w:tc>
      </w:tr>
      <w:tr>
        <w:trPr>
          <w:trHeight w:val="378"/>
        </w:trPr>
        <w:tc>
          <w:tcPr>
            <w:tcW w:w="3520" w:type="dxa"/>
            <w:vAlign w:val="bottom"/>
            <w:gridSpan w:val="2"/>
          </w:tcPr>
          <w:p>
            <w:pPr>
              <w:ind w:left="120"/>
              <w:spacing w:after="0"/>
              <w:rPr>
                <w:sz w:val="20"/>
                <w:szCs w:val="20"/>
                <w:color w:val="auto"/>
              </w:rPr>
            </w:pPr>
            <w:r>
              <w:rPr>
                <w:rFonts w:ascii="Arial" w:cs="Arial" w:eastAsia="Arial" w:hAnsi="Arial"/>
                <w:sz w:val="13"/>
                <w:szCs w:val="13"/>
                <w:color w:val="auto"/>
              </w:rPr>
              <w:t>Residential</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Hub50House (440 units) (50%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CBD Boston MA</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7"/>
                <w:szCs w:val="17"/>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320,444</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320,444</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480" w:type="dxa"/>
            <w:vAlign w:val="bottom"/>
          </w:tcPr>
          <w:p>
            <w:pPr>
              <w:ind w:left="120"/>
              <w:spacing w:after="0"/>
              <w:rPr>
                <w:sz w:val="20"/>
                <w:szCs w:val="20"/>
                <w:color w:val="auto"/>
              </w:rPr>
            </w:pPr>
            <w:r>
              <w:rPr>
                <w:rFonts w:ascii="Arial" w:cs="Arial" w:eastAsia="Arial" w:hAnsi="Arial"/>
                <w:sz w:val="13"/>
                <w:szCs w:val="13"/>
                <w:color w:val="auto"/>
              </w:rPr>
              <w:t>Hotel</w:t>
            </w:r>
          </w:p>
        </w:tc>
        <w:tc>
          <w:tcPr>
            <w:tcW w:w="30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Boston Marriott Cambridge (437 rooms)</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East Cambridge MA</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7"/>
                <w:szCs w:val="17"/>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334,260</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334,260</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35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LOS ANGELES</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80" w:type="dxa"/>
            <w:vAlign w:val="bottom"/>
          </w:tcPr>
          <w:p>
            <w:pPr>
              <w:ind w:left="120"/>
              <w:spacing w:after="0"/>
              <w:rPr>
                <w:sz w:val="20"/>
                <w:szCs w:val="20"/>
                <w:color w:val="auto"/>
              </w:rPr>
            </w:pPr>
            <w:r>
              <w:rPr>
                <w:rFonts w:ascii="Arial" w:cs="Arial" w:eastAsia="Arial" w:hAnsi="Arial"/>
                <w:sz w:val="13"/>
                <w:szCs w:val="13"/>
                <w:color w:val="auto"/>
                <w:w w:val="99"/>
              </w:rPr>
              <w:t>Office</w:t>
            </w:r>
          </w:p>
        </w:tc>
        <w:tc>
          <w:tcPr>
            <w:tcW w:w="30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Colorado Center (50%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West Los Angeles CA</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6</w:t>
            </w:r>
          </w:p>
        </w:tc>
        <w:tc>
          <w:tcPr>
            <w:tcW w:w="140" w:type="dxa"/>
            <w:vAlign w:val="bottom"/>
          </w:tcPr>
          <w:p>
            <w:pPr>
              <w:spacing w:after="0"/>
              <w:rPr>
                <w:sz w:val="18"/>
                <w:szCs w:val="18"/>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1,130,066</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90.3 %</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90.3 %</w:t>
            </w:r>
          </w:p>
        </w:tc>
        <w:tc>
          <w:tcPr>
            <w:tcW w:w="2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80.97</w:t>
            </w: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Santa Monica Business Park</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West Los Angeles CA</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12</w:t>
            </w:r>
          </w:p>
        </w:tc>
        <w:tc>
          <w:tcPr>
            <w:tcW w:w="140" w:type="dxa"/>
            <w:vAlign w:val="bottom"/>
          </w:tcPr>
          <w:p>
            <w:pPr>
              <w:spacing w:after="0"/>
              <w:rPr>
                <w:sz w:val="14"/>
                <w:szCs w:val="1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841,820</w:t>
            </w:r>
          </w:p>
        </w:tc>
        <w:tc>
          <w:tcPr>
            <w:tcW w:w="1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89.9 %</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94.4 %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65.40</w:t>
            </w:r>
          </w:p>
        </w:tc>
        <w:tc>
          <w:tcPr>
            <w:tcW w:w="0" w:type="dxa"/>
            <w:vAlign w:val="bottom"/>
          </w:tcPr>
          <w:p>
            <w:pPr>
              <w:spacing w:after="0"/>
              <w:rPr>
                <w:sz w:val="1"/>
                <w:szCs w:val="1"/>
                <w:color w:val="auto"/>
              </w:rPr>
            </w:pPr>
          </w:p>
        </w:tc>
      </w:tr>
      <w:tr>
        <w:trPr>
          <w:trHeight w:val="203"/>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Santa Monica Business Park Retail </w:t>
            </w:r>
            <w:r>
              <w:rPr>
                <w:rFonts w:ascii="Arial" w:cs="Arial" w:eastAsia="Arial" w:hAnsi="Arial"/>
                <w:sz w:val="16"/>
                <w:szCs w:val="16"/>
                <w:color w:val="auto"/>
                <w:vertAlign w:val="superscript"/>
              </w:rPr>
              <w:t>5</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West Los Angeles CA</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7</w:t>
            </w:r>
          </w:p>
        </w:tc>
        <w:tc>
          <w:tcPr>
            <w:tcW w:w="140" w:type="dxa"/>
            <w:vAlign w:val="bottom"/>
          </w:tcPr>
          <w:p>
            <w:pPr>
              <w:spacing w:after="0"/>
              <w:rPr>
                <w:sz w:val="17"/>
                <w:szCs w:val="17"/>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72,719</w:t>
            </w:r>
          </w:p>
        </w:tc>
        <w:tc>
          <w:tcPr>
            <w:tcW w:w="140" w:type="dxa"/>
            <w:vAlign w:val="bottom"/>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87.1 %</w:t>
            </w:r>
          </w:p>
        </w:tc>
        <w:tc>
          <w:tcPr>
            <w:tcW w:w="2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87.1 %</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79.27</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25</w:t>
            </w:r>
          </w:p>
        </w:tc>
        <w:tc>
          <w:tcPr>
            <w:tcW w:w="140" w:type="dxa"/>
            <w:vAlign w:val="bottom"/>
          </w:tcPr>
          <w:p>
            <w:pPr>
              <w:spacing w:after="0"/>
              <w:rPr>
                <w:sz w:val="15"/>
                <w:szCs w:val="15"/>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2,044,605</w:t>
            </w:r>
          </w:p>
        </w:tc>
        <w:tc>
          <w:tcPr>
            <w:tcW w:w="14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90.0 %</w:t>
            </w:r>
          </w:p>
        </w:tc>
        <w:tc>
          <w:tcPr>
            <w:tcW w:w="22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91.9 %</w:t>
            </w:r>
          </w:p>
        </w:tc>
        <w:tc>
          <w:tcPr>
            <w:tcW w:w="24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74.51</w:t>
            </w:r>
          </w:p>
        </w:tc>
        <w:tc>
          <w:tcPr>
            <w:tcW w:w="0" w:type="dxa"/>
            <w:vAlign w:val="bottom"/>
          </w:tcPr>
          <w:p>
            <w:pPr>
              <w:spacing w:after="0"/>
              <w:rPr>
                <w:sz w:val="1"/>
                <w:szCs w:val="1"/>
                <w:color w:val="auto"/>
              </w:rPr>
            </w:pPr>
          </w:p>
        </w:tc>
      </w:tr>
      <w:tr>
        <w:trPr>
          <w:trHeight w:val="430"/>
        </w:trPr>
        <w:tc>
          <w:tcPr>
            <w:tcW w:w="35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NEW YORK</w:t>
            </w: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80" w:type="dxa"/>
            <w:vAlign w:val="bottom"/>
          </w:tcPr>
          <w:p>
            <w:pPr>
              <w:ind w:left="120"/>
              <w:spacing w:after="0"/>
              <w:rPr>
                <w:sz w:val="20"/>
                <w:szCs w:val="20"/>
                <w:color w:val="auto"/>
              </w:rPr>
            </w:pPr>
            <w:r>
              <w:rPr>
                <w:rFonts w:ascii="Arial" w:cs="Arial" w:eastAsia="Arial" w:hAnsi="Arial"/>
                <w:sz w:val="13"/>
                <w:szCs w:val="13"/>
                <w:color w:val="auto"/>
                <w:w w:val="99"/>
              </w:rPr>
              <w:t>Office</w:t>
            </w:r>
          </w:p>
        </w:tc>
        <w:tc>
          <w:tcPr>
            <w:tcW w:w="30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767</w:t>
            </w:r>
          </w:p>
        </w:tc>
        <w:tc>
          <w:tcPr>
            <w:tcW w:w="3040" w:type="dxa"/>
            <w:vAlign w:val="bottom"/>
          </w:tcPr>
          <w:p>
            <w:pPr>
              <w:ind w:left="20"/>
              <w:spacing w:after="0"/>
              <w:rPr>
                <w:sz w:val="20"/>
                <w:szCs w:val="20"/>
                <w:color w:val="auto"/>
              </w:rPr>
            </w:pPr>
            <w:r>
              <w:rPr>
                <w:rFonts w:ascii="Arial" w:cs="Arial" w:eastAsia="Arial" w:hAnsi="Arial"/>
                <w:sz w:val="13"/>
                <w:szCs w:val="13"/>
                <w:color w:val="auto"/>
              </w:rPr>
              <w:t>Fifth Avenue (The GM Building) (60% ownership)</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Plaza District NY</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1,970,335</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99.5 %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99.7 %</w:t>
            </w:r>
          </w:p>
        </w:tc>
        <w:tc>
          <w:tcPr>
            <w:tcW w:w="24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169.96</w:t>
            </w: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601</w:t>
            </w:r>
          </w:p>
        </w:tc>
        <w:tc>
          <w:tcPr>
            <w:tcW w:w="3040" w:type="dxa"/>
            <w:vAlign w:val="bottom"/>
          </w:tcPr>
          <w:p>
            <w:pPr>
              <w:ind w:left="20"/>
              <w:spacing w:after="0"/>
              <w:rPr>
                <w:sz w:val="20"/>
                <w:szCs w:val="20"/>
                <w:color w:val="auto"/>
              </w:rPr>
            </w:pPr>
            <w:r>
              <w:rPr>
                <w:rFonts w:ascii="Arial" w:cs="Arial" w:eastAsia="Arial" w:hAnsi="Arial"/>
                <w:sz w:val="13"/>
                <w:szCs w:val="13"/>
                <w:color w:val="auto"/>
              </w:rPr>
              <w:t>Lexington Avenue (55% ownership)</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Park Avenue NY</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1,671,682</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99.9 %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99.9 %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103.26</w:t>
            </w: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399</w:t>
            </w:r>
          </w:p>
        </w:tc>
        <w:tc>
          <w:tcPr>
            <w:tcW w:w="3040" w:type="dxa"/>
            <w:vAlign w:val="bottom"/>
          </w:tcPr>
          <w:p>
            <w:pPr>
              <w:ind w:left="20"/>
              <w:spacing w:after="0"/>
              <w:rPr>
                <w:sz w:val="20"/>
                <w:szCs w:val="20"/>
                <w:color w:val="auto"/>
              </w:rPr>
            </w:pPr>
            <w:r>
              <w:rPr>
                <w:rFonts w:ascii="Arial" w:cs="Arial" w:eastAsia="Arial" w:hAnsi="Arial"/>
                <w:sz w:val="13"/>
                <w:szCs w:val="13"/>
                <w:color w:val="auto"/>
              </w:rPr>
              <w:t>Park Avenue</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Park Avenue NY</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1,567,059</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111.74</w:t>
            </w: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599</w:t>
            </w:r>
          </w:p>
        </w:tc>
        <w:tc>
          <w:tcPr>
            <w:tcW w:w="3040" w:type="dxa"/>
            <w:vAlign w:val="bottom"/>
          </w:tcPr>
          <w:p>
            <w:pPr>
              <w:ind w:left="20"/>
              <w:spacing w:after="0"/>
              <w:rPr>
                <w:sz w:val="20"/>
                <w:szCs w:val="20"/>
                <w:color w:val="auto"/>
              </w:rPr>
            </w:pPr>
            <w:r>
              <w:rPr>
                <w:rFonts w:ascii="Arial" w:cs="Arial" w:eastAsia="Arial" w:hAnsi="Arial"/>
                <w:sz w:val="13"/>
                <w:szCs w:val="13"/>
                <w:color w:val="auto"/>
              </w:rPr>
              <w:t>Lexington Avenue</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Park Avenue NY</w:t>
            </w:r>
          </w:p>
        </w:tc>
        <w:tc>
          <w:tcPr>
            <w:tcW w:w="780" w:type="dxa"/>
            <w:vAlign w:val="bottom"/>
          </w:tcPr>
          <w:p>
            <w:pPr>
              <w:jc w:val="center"/>
              <w:spacing w:after="0"/>
              <w:rPr>
                <w:sz w:val="20"/>
                <w:szCs w:val="20"/>
                <w:color w:val="auto"/>
              </w:rPr>
            </w:pPr>
            <w:r>
              <w:rPr>
                <w:rFonts w:ascii="Arial" w:cs="Arial" w:eastAsia="Arial" w:hAnsi="Arial"/>
                <w:sz w:val="13"/>
                <w:szCs w:val="13"/>
                <w:color w:val="auto"/>
                <w:w w:val="82"/>
              </w:rPr>
              <w:t>1</w:t>
            </w:r>
          </w:p>
        </w:tc>
        <w:tc>
          <w:tcPr>
            <w:tcW w:w="140" w:type="dxa"/>
            <w:vAlign w:val="bottom"/>
          </w:tcPr>
          <w:p>
            <w:pPr>
              <w:spacing w:after="0"/>
              <w:rPr>
                <w:sz w:val="16"/>
                <w:szCs w:val="16"/>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1,105,007</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95.7 %</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98.1 %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86.18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20"/>
          </w:cols>
          <w:pgMar w:left="340" w:top="279" w:right="339" w:bottom="1440" w:gutter="0" w:footer="0" w:header="0"/>
        </w:sectPr>
      </w:pPr>
    </w:p>
    <w:bookmarkStart w:id="29" w:name="page30"/>
    <w:bookmarkEnd w:id="29"/>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-61595</wp:posOffset>
            </wp:positionV>
            <wp:extent cx="25717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In-service property listing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32385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420" w:type="dxa"/>
            <w:vAlign w:val="bottom"/>
            <w:gridSpan w:val="2"/>
          </w:tcPr>
          <w:p>
            <w:pPr>
              <w:spacing w:after="0"/>
              <w:rPr>
                <w:sz w:val="20"/>
                <w:szCs w:val="20"/>
                <w:color w:val="auto"/>
              </w:rPr>
            </w:pPr>
            <w:r>
              <w:rPr>
                <w:rFonts w:ascii="Arial" w:cs="Arial" w:eastAsia="Arial" w:hAnsi="Arial"/>
                <w:sz w:val="13"/>
                <w:szCs w:val="13"/>
                <w:color w:val="auto"/>
              </w:rPr>
              <w:t>as of September 30, 2026</w:t>
            </w: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8"/>
              </w:rPr>
              <w:t>Number of</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Annualized Rental</w:t>
            </w: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Sub Market</w:t>
            </w:r>
          </w:p>
        </w:tc>
        <w:tc>
          <w:tcPr>
            <w:tcW w:w="140" w:type="dxa"/>
            <w:vAlign w:val="bottom"/>
            <w:vMerge w:val="restart"/>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Square Feet</w:t>
            </w:r>
          </w:p>
        </w:tc>
        <w:tc>
          <w:tcPr>
            <w:tcW w:w="160" w:type="dxa"/>
            <w:vAlign w:val="bottom"/>
            <w:vMerge w:val="restart"/>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xml:space="preserve">Occupied % </w:t>
            </w:r>
            <w:r>
              <w:rPr>
                <w:rFonts w:ascii="Arial" w:cs="Arial" w:eastAsia="Arial" w:hAnsi="Arial"/>
                <w:sz w:val="16"/>
                <w:szCs w:val="16"/>
                <w:b w:val="1"/>
                <w:bCs w:val="1"/>
                <w:color w:val="auto"/>
                <w:vertAlign w:val="superscript"/>
              </w:rPr>
              <w:t>1</w:t>
            </w:r>
          </w:p>
        </w:tc>
        <w:tc>
          <w:tcPr>
            <w:tcW w:w="240" w:type="dxa"/>
            <w:vAlign w:val="bottom"/>
            <w:vMerge w:val="restart"/>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xml:space="preserve">Leased % </w:t>
            </w:r>
            <w:r>
              <w:rPr>
                <w:rFonts w:ascii="Arial" w:cs="Arial" w:eastAsia="Arial" w:hAnsi="Arial"/>
                <w:sz w:val="16"/>
                <w:szCs w:val="16"/>
                <w:b w:val="1"/>
                <w:bCs w:val="1"/>
                <w:color w:val="auto"/>
                <w:vertAlign w:val="superscript"/>
              </w:rPr>
              <w:t>2</w:t>
            </w:r>
          </w:p>
        </w:tc>
        <w:tc>
          <w:tcPr>
            <w:tcW w:w="22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w w:val="99"/>
              </w:rPr>
              <w:t>Obligations Per</w:t>
            </w:r>
          </w:p>
        </w:tc>
        <w:tc>
          <w:tcPr>
            <w:tcW w:w="0" w:type="dxa"/>
            <w:vAlign w:val="bottom"/>
          </w:tcPr>
          <w:p>
            <w:pPr>
              <w:spacing w:after="0"/>
              <w:rPr>
                <w:sz w:val="1"/>
                <w:szCs w:val="1"/>
                <w:color w:val="auto"/>
              </w:rPr>
            </w:pPr>
          </w:p>
        </w:tc>
      </w:tr>
      <w:tr>
        <w:trPr>
          <w:trHeight w:val="189"/>
        </w:trPr>
        <w:tc>
          <w:tcPr>
            <w:tcW w:w="3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Buildings</w:t>
            </w:r>
          </w:p>
        </w:tc>
        <w:tc>
          <w:tcPr>
            <w:tcW w:w="16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xml:space="preserve">Occupied SF </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169"/>
        </w:trPr>
        <w:tc>
          <w:tcPr>
            <w:tcW w:w="3420" w:type="dxa"/>
            <w:vAlign w:val="bottom"/>
            <w:gridSpan w:val="2"/>
          </w:tcPr>
          <w:p>
            <w:pPr>
              <w:ind w:left="120"/>
              <w:spacing w:after="0"/>
              <w:rPr>
                <w:sz w:val="20"/>
                <w:szCs w:val="20"/>
                <w:color w:val="auto"/>
              </w:rPr>
            </w:pPr>
            <w:r>
              <w:rPr>
                <w:rFonts w:ascii="Arial" w:cs="Arial" w:eastAsia="Arial" w:hAnsi="Arial"/>
                <w:sz w:val="13"/>
                <w:szCs w:val="13"/>
                <w:color w:val="auto"/>
              </w:rPr>
              <w:t>7 Times Square (55% ownership)</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Times Square NY</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1,238,722</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85.8 %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92.4 %</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78.62</w:t>
            </w:r>
          </w:p>
        </w:tc>
        <w:tc>
          <w:tcPr>
            <w:tcW w:w="0" w:type="dxa"/>
            <w:vAlign w:val="bottom"/>
          </w:tcPr>
          <w:p>
            <w:pPr>
              <w:spacing w:after="0"/>
              <w:rPr>
                <w:sz w:val="1"/>
                <w:szCs w:val="1"/>
                <w:color w:val="auto"/>
              </w:rPr>
            </w:pPr>
          </w:p>
        </w:tc>
      </w:tr>
      <w:tr>
        <w:trPr>
          <w:trHeight w:val="189"/>
        </w:trPr>
        <w:tc>
          <w:tcPr>
            <w:tcW w:w="360" w:type="dxa"/>
            <w:vAlign w:val="bottom"/>
          </w:tcPr>
          <w:p>
            <w:pPr>
              <w:ind w:left="120"/>
              <w:spacing w:after="0"/>
              <w:rPr>
                <w:sz w:val="20"/>
                <w:szCs w:val="20"/>
                <w:color w:val="auto"/>
              </w:rPr>
            </w:pPr>
            <w:r>
              <w:rPr>
                <w:rFonts w:ascii="Arial" w:cs="Arial" w:eastAsia="Arial" w:hAnsi="Arial"/>
                <w:sz w:val="13"/>
                <w:szCs w:val="13"/>
                <w:color w:val="auto"/>
              </w:rPr>
              <w:t>250</w:t>
            </w:r>
          </w:p>
        </w:tc>
        <w:tc>
          <w:tcPr>
            <w:tcW w:w="3060" w:type="dxa"/>
            <w:vAlign w:val="bottom"/>
          </w:tcPr>
          <w:p>
            <w:pPr>
              <w:ind w:left="20"/>
              <w:spacing w:after="0"/>
              <w:rPr>
                <w:sz w:val="20"/>
                <w:szCs w:val="20"/>
                <w:color w:val="auto"/>
              </w:rPr>
            </w:pPr>
            <w:r>
              <w:rPr>
                <w:rFonts w:ascii="Arial" w:cs="Arial" w:eastAsia="Arial" w:hAnsi="Arial"/>
                <w:sz w:val="13"/>
                <w:szCs w:val="13"/>
                <w:color w:val="auto"/>
              </w:rPr>
              <w:t>West 55th Street</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Times Square / West Side NY</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966,976</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98.7 %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98.7 %</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105.77</w:t>
            </w:r>
          </w:p>
        </w:tc>
        <w:tc>
          <w:tcPr>
            <w:tcW w:w="0" w:type="dxa"/>
            <w:vAlign w:val="bottom"/>
          </w:tcPr>
          <w:p>
            <w:pPr>
              <w:spacing w:after="0"/>
              <w:rPr>
                <w:sz w:val="1"/>
                <w:szCs w:val="1"/>
                <w:color w:val="auto"/>
              </w:rPr>
            </w:pPr>
          </w:p>
        </w:tc>
      </w:tr>
      <w:tr>
        <w:trPr>
          <w:trHeight w:val="212"/>
        </w:trPr>
        <w:tc>
          <w:tcPr>
            <w:tcW w:w="360" w:type="dxa"/>
            <w:vAlign w:val="bottom"/>
          </w:tcPr>
          <w:p>
            <w:pPr>
              <w:ind w:left="120"/>
              <w:spacing w:after="0"/>
              <w:rPr>
                <w:sz w:val="20"/>
                <w:szCs w:val="20"/>
                <w:color w:val="auto"/>
              </w:rPr>
            </w:pPr>
            <w:r>
              <w:rPr>
                <w:rFonts w:ascii="Arial" w:cs="Arial" w:eastAsia="Arial" w:hAnsi="Arial"/>
                <w:sz w:val="13"/>
                <w:szCs w:val="13"/>
                <w:color w:val="auto"/>
              </w:rPr>
              <w:t>200</w:t>
            </w:r>
          </w:p>
        </w:tc>
        <w:tc>
          <w:tcPr>
            <w:tcW w:w="3060" w:type="dxa"/>
            <w:vAlign w:val="bottom"/>
          </w:tcPr>
          <w:p>
            <w:pPr>
              <w:ind w:left="20"/>
              <w:spacing w:after="0"/>
              <w:rPr>
                <w:sz w:val="20"/>
                <w:szCs w:val="20"/>
                <w:color w:val="auto"/>
              </w:rPr>
            </w:pPr>
            <w:r>
              <w:rPr>
                <w:rFonts w:ascii="Arial" w:cs="Arial" w:eastAsia="Arial" w:hAnsi="Arial"/>
                <w:sz w:val="13"/>
                <w:szCs w:val="13"/>
                <w:color w:val="auto"/>
              </w:rPr>
              <w:t xml:space="preserve">Fifth Avenue (26.69%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Midtown South NY</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845,367</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59.8 %</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99.5 %</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101.20</w:t>
            </w:r>
          </w:p>
        </w:tc>
        <w:tc>
          <w:tcPr>
            <w:tcW w:w="0" w:type="dxa"/>
            <w:vAlign w:val="bottom"/>
          </w:tcPr>
          <w:p>
            <w:pPr>
              <w:spacing w:after="0"/>
              <w:rPr>
                <w:sz w:val="1"/>
                <w:szCs w:val="1"/>
                <w:color w:val="auto"/>
              </w:rPr>
            </w:pPr>
          </w:p>
        </w:tc>
      </w:tr>
      <w:tr>
        <w:trPr>
          <w:trHeight w:val="189"/>
        </w:trPr>
        <w:tc>
          <w:tcPr>
            <w:tcW w:w="360" w:type="dxa"/>
            <w:vAlign w:val="bottom"/>
          </w:tcPr>
          <w:p>
            <w:pPr>
              <w:ind w:left="120"/>
              <w:spacing w:after="0"/>
              <w:rPr>
                <w:sz w:val="20"/>
                <w:szCs w:val="20"/>
                <w:color w:val="auto"/>
              </w:rPr>
            </w:pPr>
            <w:r>
              <w:rPr>
                <w:rFonts w:ascii="Arial" w:cs="Arial" w:eastAsia="Arial" w:hAnsi="Arial"/>
                <w:sz w:val="13"/>
                <w:szCs w:val="13"/>
                <w:color w:val="auto"/>
              </w:rPr>
              <w:t>360</w:t>
            </w:r>
          </w:p>
        </w:tc>
        <w:tc>
          <w:tcPr>
            <w:tcW w:w="3060" w:type="dxa"/>
            <w:vAlign w:val="bottom"/>
          </w:tcPr>
          <w:p>
            <w:pPr>
              <w:ind w:left="20"/>
              <w:spacing w:after="0"/>
              <w:rPr>
                <w:sz w:val="20"/>
                <w:szCs w:val="20"/>
                <w:color w:val="auto"/>
              </w:rPr>
            </w:pPr>
            <w:r>
              <w:rPr>
                <w:rFonts w:ascii="Arial" w:cs="Arial" w:eastAsia="Arial" w:hAnsi="Arial"/>
                <w:sz w:val="13"/>
                <w:szCs w:val="13"/>
                <w:color w:val="auto"/>
              </w:rPr>
              <w:t xml:space="preserve">Park Avenue South (71.11% ownership) </w:t>
            </w:r>
            <w:r>
              <w:rPr>
                <w:rFonts w:ascii="Arial" w:cs="Arial" w:eastAsia="Arial" w:hAnsi="Arial"/>
                <w:sz w:val="16"/>
                <w:szCs w:val="16"/>
                <w:color w:val="auto"/>
                <w:vertAlign w:val="superscript"/>
              </w:rPr>
              <w:t>4, 7</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Midtown South NY</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450,432</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74.4 %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98.55</w:t>
            </w:r>
          </w:p>
        </w:tc>
        <w:tc>
          <w:tcPr>
            <w:tcW w:w="0" w:type="dxa"/>
            <w:vAlign w:val="bottom"/>
          </w:tcPr>
          <w:p>
            <w:pPr>
              <w:spacing w:after="0"/>
              <w:rPr>
                <w:sz w:val="1"/>
                <w:szCs w:val="1"/>
                <w:color w:val="auto"/>
              </w:rPr>
            </w:pPr>
          </w:p>
        </w:tc>
      </w:tr>
      <w:tr>
        <w:trPr>
          <w:trHeight w:val="189"/>
        </w:trPr>
        <w:tc>
          <w:tcPr>
            <w:tcW w:w="3420" w:type="dxa"/>
            <w:vAlign w:val="bottom"/>
            <w:gridSpan w:val="2"/>
          </w:tcPr>
          <w:p>
            <w:pPr>
              <w:ind w:left="120"/>
              <w:spacing w:after="0"/>
              <w:rPr>
                <w:sz w:val="20"/>
                <w:szCs w:val="20"/>
                <w:color w:val="auto"/>
              </w:rPr>
            </w:pPr>
            <w:r>
              <w:rPr>
                <w:rFonts w:ascii="Arial" w:cs="Arial" w:eastAsia="Arial" w:hAnsi="Arial"/>
                <w:sz w:val="13"/>
                <w:szCs w:val="13"/>
                <w:color w:val="auto"/>
              </w:rPr>
              <w:t xml:space="preserve">Dock 72 (50% ownership) </w:t>
            </w:r>
            <w:r>
              <w:rPr>
                <w:rFonts w:ascii="Arial" w:cs="Arial" w:eastAsia="Arial" w:hAnsi="Arial"/>
                <w:sz w:val="16"/>
                <w:szCs w:val="16"/>
                <w:color w:val="auto"/>
                <w:vertAlign w:val="superscript"/>
              </w:rPr>
              <w:t>4</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Brooklyn NY</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668,521</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42.8 %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42.8 %</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33.75</w:t>
            </w:r>
          </w:p>
        </w:tc>
        <w:tc>
          <w:tcPr>
            <w:tcW w:w="0" w:type="dxa"/>
            <w:vAlign w:val="bottom"/>
          </w:tcPr>
          <w:p>
            <w:pPr>
              <w:spacing w:after="0"/>
              <w:rPr>
                <w:sz w:val="1"/>
                <w:szCs w:val="1"/>
                <w:color w:val="auto"/>
              </w:rPr>
            </w:pPr>
          </w:p>
        </w:tc>
      </w:tr>
      <w:tr>
        <w:trPr>
          <w:trHeight w:val="173"/>
        </w:trPr>
        <w:tc>
          <w:tcPr>
            <w:tcW w:w="360" w:type="dxa"/>
            <w:vAlign w:val="bottom"/>
          </w:tcPr>
          <w:p>
            <w:pPr>
              <w:ind w:left="120"/>
              <w:spacing w:after="0"/>
              <w:rPr>
                <w:sz w:val="20"/>
                <w:szCs w:val="20"/>
                <w:color w:val="auto"/>
              </w:rPr>
            </w:pPr>
            <w:r>
              <w:rPr>
                <w:rFonts w:ascii="Arial" w:cs="Arial" w:eastAsia="Arial" w:hAnsi="Arial"/>
                <w:sz w:val="13"/>
                <w:szCs w:val="13"/>
                <w:color w:val="auto"/>
              </w:rPr>
              <w:t>510</w:t>
            </w:r>
          </w:p>
        </w:tc>
        <w:tc>
          <w:tcPr>
            <w:tcW w:w="3060" w:type="dxa"/>
            <w:vAlign w:val="bottom"/>
          </w:tcPr>
          <w:p>
            <w:pPr>
              <w:ind w:left="20"/>
              <w:spacing w:after="0"/>
              <w:rPr>
                <w:sz w:val="20"/>
                <w:szCs w:val="20"/>
                <w:color w:val="auto"/>
              </w:rPr>
            </w:pPr>
            <w:r>
              <w:rPr>
                <w:rFonts w:ascii="Arial" w:cs="Arial" w:eastAsia="Arial" w:hAnsi="Arial"/>
                <w:sz w:val="13"/>
                <w:szCs w:val="13"/>
                <w:color w:val="auto"/>
              </w:rPr>
              <w:t>Madison Avenue</w:t>
            </w:r>
          </w:p>
        </w:tc>
        <w:tc>
          <w:tcPr>
            <w:tcW w:w="2000" w:type="dxa"/>
            <w:vAlign w:val="bottom"/>
            <w:gridSpan w:val="2"/>
          </w:tcPr>
          <w:p>
            <w:pPr>
              <w:ind w:left="20"/>
              <w:spacing w:after="0"/>
              <w:rPr>
                <w:sz w:val="20"/>
                <w:szCs w:val="20"/>
                <w:color w:val="auto"/>
              </w:rPr>
            </w:pPr>
            <w:r>
              <w:rPr>
                <w:rFonts w:ascii="Arial" w:cs="Arial" w:eastAsia="Arial" w:hAnsi="Arial"/>
                <w:sz w:val="13"/>
                <w:szCs w:val="13"/>
                <w:color w:val="auto"/>
              </w:rPr>
              <w:t>Fifth/Madison Avenue NY</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345,081</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93.2 %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99.9 %</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128.24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06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10</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10,829,182</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89.8 %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95.2 %</w:t>
            </w:r>
          </w:p>
        </w:tc>
        <w:tc>
          <w:tcPr>
            <w:tcW w:w="2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112.39</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SAN FRANCISCO</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0" w:type="dxa"/>
            <w:vAlign w:val="bottom"/>
          </w:tcPr>
          <w:p>
            <w:pPr>
              <w:spacing w:after="0"/>
              <w:rPr>
                <w:sz w:val="20"/>
                <w:szCs w:val="20"/>
                <w:color w:val="auto"/>
              </w:rPr>
            </w:pPr>
            <w:r>
              <w:rPr>
                <w:rFonts w:ascii="Arial" w:cs="Arial" w:eastAsia="Arial" w:hAnsi="Arial"/>
                <w:sz w:val="13"/>
                <w:szCs w:val="13"/>
                <w:color w:val="auto"/>
                <w:w w:val="99"/>
              </w:rPr>
              <w:t>Office</w:t>
            </w:r>
          </w:p>
        </w:tc>
        <w:tc>
          <w:tcPr>
            <w:tcW w:w="21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9"/>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Salesforce Tower</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1,420,682</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98.0 %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98.0 %</w:t>
            </w:r>
          </w:p>
        </w:tc>
        <w:tc>
          <w:tcPr>
            <w:tcW w:w="220" w:type="dxa"/>
            <w:vAlign w:val="bottom"/>
          </w:tcPr>
          <w:p>
            <w:pPr>
              <w:spacing w:after="0"/>
              <w:rPr>
                <w:sz w:val="16"/>
                <w:szCs w:val="16"/>
                <w:color w:val="auto"/>
              </w:rPr>
            </w:pPr>
          </w:p>
        </w:tc>
        <w:tc>
          <w:tcPr>
            <w:tcW w:w="4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116.20</w:t>
            </w:r>
          </w:p>
        </w:tc>
      </w:tr>
      <w:tr>
        <w:trPr>
          <w:trHeight w:val="189"/>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Embarcadero Center Four</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945,937</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95.3 %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95.3 %</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107.72</w:t>
            </w:r>
          </w:p>
        </w:tc>
      </w:tr>
      <w:tr>
        <w:trPr>
          <w:trHeight w:val="189"/>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Embarcadero Center One</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838,051</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70.5 %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72.9 %</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94.90</w:t>
            </w:r>
          </w:p>
        </w:tc>
      </w:tr>
      <w:tr>
        <w:trPr>
          <w:trHeight w:val="189"/>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Embarcadero Center Two</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802,003</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73.1 %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73.4 %</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85.70</w:t>
            </w:r>
          </w:p>
        </w:tc>
      </w:tr>
      <w:tr>
        <w:trPr>
          <w:trHeight w:val="189"/>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Embarcadero Center Three</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790,469</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68.8 %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75.1 %</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91.34</w:t>
            </w:r>
          </w:p>
        </w:tc>
      </w:tr>
      <w:tr>
        <w:trPr>
          <w:trHeight w:val="189"/>
        </w:trPr>
        <w:tc>
          <w:tcPr>
            <w:tcW w:w="360" w:type="dxa"/>
            <w:vAlign w:val="bottom"/>
          </w:tcPr>
          <w:p>
            <w:pPr>
              <w:ind w:left="120"/>
              <w:spacing w:after="0"/>
              <w:rPr>
                <w:sz w:val="20"/>
                <w:szCs w:val="20"/>
                <w:color w:val="auto"/>
              </w:rPr>
            </w:pPr>
            <w:r>
              <w:rPr>
                <w:rFonts w:ascii="Arial" w:cs="Arial" w:eastAsia="Arial" w:hAnsi="Arial"/>
                <w:sz w:val="13"/>
                <w:szCs w:val="13"/>
                <w:color w:val="auto"/>
              </w:rPr>
              <w:t>680</w:t>
            </w:r>
          </w:p>
        </w:tc>
        <w:tc>
          <w:tcPr>
            <w:tcW w:w="2180" w:type="dxa"/>
            <w:vAlign w:val="bottom"/>
          </w:tcPr>
          <w:p>
            <w:pPr>
              <w:ind w:left="20"/>
              <w:spacing w:after="0"/>
              <w:rPr>
                <w:sz w:val="20"/>
                <w:szCs w:val="20"/>
                <w:color w:val="auto"/>
              </w:rPr>
            </w:pPr>
            <w:r>
              <w:rPr>
                <w:rFonts w:ascii="Arial" w:cs="Arial" w:eastAsia="Arial" w:hAnsi="Arial"/>
                <w:sz w:val="13"/>
                <w:szCs w:val="13"/>
                <w:color w:val="auto"/>
              </w:rPr>
              <w:t>Folsom Street</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530,242</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83.9 %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89.4 %</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79.07</w:t>
            </w:r>
          </w:p>
        </w:tc>
      </w:tr>
      <w:tr>
        <w:trPr>
          <w:trHeight w:val="189"/>
        </w:trPr>
        <w:tc>
          <w:tcPr>
            <w:tcW w:w="360" w:type="dxa"/>
            <w:vAlign w:val="bottom"/>
          </w:tcPr>
          <w:p>
            <w:pPr>
              <w:ind w:left="120"/>
              <w:spacing w:after="0"/>
              <w:rPr>
                <w:sz w:val="20"/>
                <w:szCs w:val="20"/>
                <w:color w:val="auto"/>
              </w:rPr>
            </w:pPr>
            <w:r>
              <w:rPr>
                <w:rFonts w:ascii="Arial" w:cs="Arial" w:eastAsia="Arial" w:hAnsi="Arial"/>
                <w:sz w:val="13"/>
                <w:szCs w:val="13"/>
                <w:color w:val="auto"/>
              </w:rPr>
              <w:t>535</w:t>
            </w:r>
          </w:p>
        </w:tc>
        <w:tc>
          <w:tcPr>
            <w:tcW w:w="2180" w:type="dxa"/>
            <w:vAlign w:val="bottom"/>
          </w:tcPr>
          <w:p>
            <w:pPr>
              <w:ind w:left="20"/>
              <w:spacing w:after="0"/>
              <w:rPr>
                <w:sz w:val="20"/>
                <w:szCs w:val="20"/>
                <w:color w:val="auto"/>
              </w:rPr>
            </w:pPr>
            <w:r>
              <w:rPr>
                <w:rFonts w:ascii="Arial" w:cs="Arial" w:eastAsia="Arial" w:hAnsi="Arial"/>
                <w:sz w:val="13"/>
                <w:szCs w:val="13"/>
                <w:color w:val="auto"/>
              </w:rPr>
              <w:t>Mission Street</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303,322</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95.6 %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79.93</w:t>
            </w:r>
          </w:p>
        </w:tc>
      </w:tr>
      <w:tr>
        <w:trPr>
          <w:trHeight w:val="196"/>
        </w:trPr>
        <w:tc>
          <w:tcPr>
            <w:tcW w:w="360" w:type="dxa"/>
            <w:vAlign w:val="bottom"/>
          </w:tcPr>
          <w:p>
            <w:pPr>
              <w:ind w:left="120"/>
              <w:spacing w:after="0"/>
              <w:rPr>
                <w:sz w:val="20"/>
                <w:szCs w:val="20"/>
                <w:color w:val="auto"/>
              </w:rPr>
            </w:pPr>
            <w:r>
              <w:rPr>
                <w:rFonts w:ascii="Arial" w:cs="Arial" w:eastAsia="Arial" w:hAnsi="Arial"/>
                <w:sz w:val="13"/>
                <w:szCs w:val="13"/>
                <w:color w:val="auto"/>
              </w:rPr>
              <w:t>690</w:t>
            </w:r>
          </w:p>
        </w:tc>
        <w:tc>
          <w:tcPr>
            <w:tcW w:w="2180" w:type="dxa"/>
            <w:vAlign w:val="bottom"/>
          </w:tcPr>
          <w:p>
            <w:pPr>
              <w:ind w:left="20"/>
              <w:spacing w:after="0"/>
              <w:rPr>
                <w:sz w:val="20"/>
                <w:szCs w:val="20"/>
                <w:color w:val="auto"/>
              </w:rPr>
            </w:pPr>
            <w:r>
              <w:rPr>
                <w:rFonts w:ascii="Arial" w:cs="Arial" w:eastAsia="Arial" w:hAnsi="Arial"/>
                <w:sz w:val="13"/>
                <w:szCs w:val="13"/>
                <w:color w:val="auto"/>
              </w:rPr>
              <w:t>Folsom Street</w:t>
            </w:r>
          </w:p>
        </w:tc>
        <w:tc>
          <w:tcPr>
            <w:tcW w:w="2880" w:type="dxa"/>
            <w:vAlign w:val="bottom"/>
          </w:tcPr>
          <w:p>
            <w:pPr>
              <w:ind w:left="900"/>
              <w:spacing w:after="0"/>
              <w:rPr>
                <w:sz w:val="20"/>
                <w:szCs w:val="20"/>
                <w:color w:val="auto"/>
              </w:rPr>
            </w:pPr>
            <w:r>
              <w:rPr>
                <w:rFonts w:ascii="Arial" w:cs="Arial" w:eastAsia="Arial" w:hAnsi="Arial"/>
                <w:sz w:val="13"/>
                <w:szCs w:val="13"/>
                <w:color w:val="auto"/>
              </w:rPr>
              <w:t>CBD San Francisco CA</w:t>
            </w: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26,080</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118.95</w:t>
            </w:r>
          </w:p>
        </w:tc>
      </w:tr>
      <w:tr>
        <w:trPr>
          <w:trHeight w:val="183"/>
        </w:trPr>
        <w:tc>
          <w:tcPr>
            <w:tcW w:w="360" w:type="dxa"/>
            <w:vAlign w:val="bottom"/>
          </w:tcPr>
          <w:p>
            <w:pPr>
              <w:spacing w:after="0"/>
              <w:rPr>
                <w:sz w:val="15"/>
                <w:szCs w:val="15"/>
                <w:color w:val="auto"/>
              </w:rPr>
            </w:pPr>
          </w:p>
        </w:tc>
        <w:tc>
          <w:tcPr>
            <w:tcW w:w="2180" w:type="dxa"/>
            <w:vAlign w:val="bottom"/>
          </w:tcPr>
          <w:p>
            <w:pPr>
              <w:ind w:left="100"/>
              <w:spacing w:after="0"/>
              <w:rPr>
                <w:sz w:val="20"/>
                <w:szCs w:val="20"/>
                <w:color w:val="auto"/>
              </w:rPr>
            </w:pPr>
            <w:r>
              <w:rPr>
                <w:rFonts w:ascii="Arial" w:cs="Arial" w:eastAsia="Arial" w:hAnsi="Arial"/>
                <w:sz w:val="13"/>
                <w:szCs w:val="13"/>
                <w:color w:val="auto"/>
              </w:rPr>
              <w:t>Subtotal</w:t>
            </w:r>
          </w:p>
        </w:tc>
        <w:tc>
          <w:tcPr>
            <w:tcW w:w="2880" w:type="dxa"/>
            <w:vAlign w:val="bottom"/>
          </w:tcPr>
          <w:p>
            <w:pPr>
              <w:spacing w:after="0"/>
              <w:rPr>
                <w:sz w:val="15"/>
                <w:szCs w:val="15"/>
                <w:color w:val="auto"/>
              </w:rPr>
            </w:pP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9</w:t>
            </w:r>
          </w:p>
        </w:tc>
        <w:tc>
          <w:tcPr>
            <w:tcW w:w="16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5,656,786</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84.4 %</w:t>
            </w: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86.5 %</w:t>
            </w:r>
          </w:p>
        </w:tc>
        <w:tc>
          <w:tcPr>
            <w:tcW w:w="220" w:type="dxa"/>
            <w:vAlign w:val="bottom"/>
          </w:tcPr>
          <w:p>
            <w:pPr>
              <w:spacing w:after="0"/>
              <w:rPr>
                <w:sz w:val="15"/>
                <w:szCs w:val="15"/>
                <w:color w:val="auto"/>
              </w:rPr>
            </w:pPr>
          </w:p>
        </w:tc>
        <w:tc>
          <w:tcPr>
            <w:tcW w:w="40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99.83</w:t>
            </w:r>
          </w:p>
        </w:tc>
      </w:tr>
      <w:tr>
        <w:trPr>
          <w:trHeight w:val="378"/>
        </w:trPr>
        <w:tc>
          <w:tcPr>
            <w:tcW w:w="2540" w:type="dxa"/>
            <w:vAlign w:val="bottom"/>
            <w:gridSpan w:val="2"/>
          </w:tcPr>
          <w:p>
            <w:pPr>
              <w:spacing w:after="0"/>
              <w:rPr>
                <w:sz w:val="20"/>
                <w:szCs w:val="20"/>
                <w:color w:val="auto"/>
              </w:rPr>
            </w:pPr>
            <w:r>
              <w:rPr>
                <w:rFonts w:ascii="Arial" w:cs="Arial" w:eastAsia="Arial" w:hAnsi="Arial"/>
                <w:sz w:val="13"/>
                <w:szCs w:val="13"/>
                <w:color w:val="auto"/>
              </w:rPr>
              <w:t>Residential</w:t>
            </w:r>
          </w:p>
        </w:tc>
        <w:tc>
          <w:tcPr>
            <w:tcW w:w="288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197"/>
        </w:trPr>
        <w:tc>
          <w:tcPr>
            <w:tcW w:w="2540" w:type="dxa"/>
            <w:vAlign w:val="bottom"/>
            <w:gridSpan w:val="2"/>
          </w:tcPr>
          <w:p>
            <w:pPr>
              <w:ind w:left="120"/>
              <w:spacing w:after="0"/>
              <w:rPr>
                <w:sz w:val="20"/>
                <w:szCs w:val="20"/>
                <w:color w:val="auto"/>
              </w:rPr>
            </w:pPr>
            <w:r>
              <w:rPr>
                <w:rFonts w:ascii="Arial" w:cs="Arial" w:eastAsia="Arial" w:hAnsi="Arial"/>
                <w:sz w:val="13"/>
                <w:szCs w:val="13"/>
                <w:color w:val="auto"/>
              </w:rPr>
              <w:t>The Skylyne (402 units)</w:t>
            </w:r>
          </w:p>
        </w:tc>
        <w:tc>
          <w:tcPr>
            <w:tcW w:w="2880" w:type="dxa"/>
            <w:vAlign w:val="bottom"/>
          </w:tcPr>
          <w:p>
            <w:pPr>
              <w:ind w:left="900"/>
              <w:spacing w:after="0"/>
              <w:rPr>
                <w:sz w:val="20"/>
                <w:szCs w:val="20"/>
                <w:color w:val="auto"/>
              </w:rPr>
            </w:pPr>
            <w:r>
              <w:rPr>
                <w:rFonts w:ascii="Arial" w:cs="Arial" w:eastAsia="Arial" w:hAnsi="Arial"/>
                <w:sz w:val="13"/>
                <w:szCs w:val="13"/>
                <w:color w:val="auto"/>
              </w:rPr>
              <w:t>CBD Oakland CA</w:t>
            </w: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330,996</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83"/>
        </w:trPr>
        <w:tc>
          <w:tcPr>
            <w:tcW w:w="360" w:type="dxa"/>
            <w:vAlign w:val="bottom"/>
          </w:tcPr>
          <w:p>
            <w:pPr>
              <w:spacing w:after="0"/>
              <w:rPr>
                <w:sz w:val="15"/>
                <w:szCs w:val="15"/>
                <w:color w:val="auto"/>
              </w:rPr>
            </w:pPr>
          </w:p>
        </w:tc>
        <w:tc>
          <w:tcPr>
            <w:tcW w:w="2180" w:type="dxa"/>
            <w:vAlign w:val="bottom"/>
          </w:tcPr>
          <w:p>
            <w:pPr>
              <w:ind w:left="100"/>
              <w:spacing w:after="0"/>
              <w:rPr>
                <w:sz w:val="20"/>
                <w:szCs w:val="20"/>
                <w:color w:val="auto"/>
              </w:rPr>
            </w:pPr>
            <w:r>
              <w:rPr>
                <w:rFonts w:ascii="Arial" w:cs="Arial" w:eastAsia="Arial" w:hAnsi="Arial"/>
                <w:sz w:val="13"/>
                <w:szCs w:val="13"/>
                <w:color w:val="auto"/>
              </w:rPr>
              <w:t>Subtotal</w:t>
            </w:r>
          </w:p>
        </w:tc>
        <w:tc>
          <w:tcPr>
            <w:tcW w:w="2880" w:type="dxa"/>
            <w:vAlign w:val="bottom"/>
          </w:tcPr>
          <w:p>
            <w:pPr>
              <w:spacing w:after="0"/>
              <w:rPr>
                <w:sz w:val="15"/>
                <w:szCs w:val="15"/>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330,996</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SEATTLE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80" w:type="dxa"/>
            <w:vAlign w:val="bottom"/>
          </w:tcPr>
          <w:p>
            <w:pPr>
              <w:spacing w:after="0"/>
              <w:rPr>
                <w:sz w:val="20"/>
                <w:szCs w:val="20"/>
                <w:color w:val="auto"/>
              </w:rPr>
            </w:pPr>
            <w:r>
              <w:rPr>
                <w:rFonts w:ascii="Arial" w:cs="Arial" w:eastAsia="Arial" w:hAnsi="Arial"/>
                <w:sz w:val="13"/>
                <w:szCs w:val="13"/>
                <w:color w:val="auto"/>
              </w:rPr>
              <w:t>Office</w:t>
            </w:r>
          </w:p>
        </w:tc>
        <w:tc>
          <w:tcPr>
            <w:tcW w:w="2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12"/>
        </w:trPr>
        <w:tc>
          <w:tcPr>
            <w:tcW w:w="2780" w:type="dxa"/>
            <w:vAlign w:val="bottom"/>
          </w:tcPr>
          <w:p>
            <w:pPr>
              <w:ind w:left="120"/>
              <w:spacing w:after="0"/>
              <w:rPr>
                <w:sz w:val="20"/>
                <w:szCs w:val="20"/>
                <w:color w:val="auto"/>
              </w:rPr>
            </w:pPr>
            <w:r>
              <w:rPr>
                <w:rFonts w:ascii="Arial" w:cs="Arial" w:eastAsia="Arial" w:hAnsi="Arial"/>
                <w:sz w:val="13"/>
                <w:szCs w:val="13"/>
                <w:color w:val="auto"/>
              </w:rPr>
              <w:t xml:space="preserve">Safeco Plaza (33.67% ownership) </w:t>
            </w:r>
            <w:r>
              <w:rPr>
                <w:rFonts w:ascii="Arial" w:cs="Arial" w:eastAsia="Arial" w:hAnsi="Arial"/>
                <w:sz w:val="16"/>
                <w:szCs w:val="16"/>
                <w:color w:val="auto"/>
                <w:vertAlign w:val="superscript"/>
              </w:rPr>
              <w:t>4</w:t>
            </w:r>
          </w:p>
        </w:tc>
        <w:tc>
          <w:tcPr>
            <w:tcW w:w="2640" w:type="dxa"/>
            <w:vAlign w:val="bottom"/>
          </w:tcPr>
          <w:p>
            <w:pPr>
              <w:ind w:left="660"/>
              <w:spacing w:after="0"/>
              <w:rPr>
                <w:sz w:val="20"/>
                <w:szCs w:val="20"/>
                <w:color w:val="auto"/>
              </w:rPr>
            </w:pPr>
            <w:r>
              <w:rPr>
                <w:rFonts w:ascii="Arial" w:cs="Arial" w:eastAsia="Arial" w:hAnsi="Arial"/>
                <w:sz w:val="13"/>
                <w:szCs w:val="13"/>
                <w:color w:val="auto"/>
              </w:rPr>
              <w:t>CBD Seattle WA</w:t>
            </w:r>
          </w:p>
        </w:tc>
        <w:tc>
          <w:tcPr>
            <w:tcW w:w="760" w:type="dxa"/>
            <w:vAlign w:val="bottom"/>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762,540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81.3 %</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81.3 %</w:t>
            </w:r>
          </w:p>
        </w:tc>
        <w:tc>
          <w:tcPr>
            <w:tcW w:w="220" w:type="dxa"/>
            <w:vAlign w:val="bottom"/>
          </w:tcPr>
          <w:p>
            <w:pPr>
              <w:spacing w:after="0"/>
              <w:rPr>
                <w:sz w:val="18"/>
                <w:szCs w:val="18"/>
                <w:color w:val="auto"/>
              </w:rPr>
            </w:pP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50.24</w:t>
            </w:r>
          </w:p>
        </w:tc>
      </w:tr>
      <w:tr>
        <w:trPr>
          <w:trHeight w:val="173"/>
        </w:trPr>
        <w:tc>
          <w:tcPr>
            <w:tcW w:w="2780" w:type="dxa"/>
            <w:vAlign w:val="bottom"/>
          </w:tcPr>
          <w:p>
            <w:pPr>
              <w:ind w:left="120"/>
              <w:spacing w:after="0"/>
              <w:rPr>
                <w:sz w:val="20"/>
                <w:szCs w:val="20"/>
                <w:color w:val="auto"/>
              </w:rPr>
            </w:pPr>
            <w:r>
              <w:rPr>
                <w:rFonts w:ascii="Arial" w:cs="Arial" w:eastAsia="Arial" w:hAnsi="Arial"/>
                <w:sz w:val="13"/>
                <w:szCs w:val="13"/>
                <w:color w:val="auto"/>
              </w:rPr>
              <w:t>Madison Centre</w:t>
            </w:r>
          </w:p>
        </w:tc>
        <w:tc>
          <w:tcPr>
            <w:tcW w:w="2640" w:type="dxa"/>
            <w:vAlign w:val="bottom"/>
          </w:tcPr>
          <w:p>
            <w:pPr>
              <w:ind w:left="660"/>
              <w:spacing w:after="0"/>
              <w:rPr>
                <w:sz w:val="20"/>
                <w:szCs w:val="20"/>
                <w:color w:val="auto"/>
              </w:rPr>
            </w:pPr>
            <w:r>
              <w:rPr>
                <w:rFonts w:ascii="Arial" w:cs="Arial" w:eastAsia="Arial" w:hAnsi="Arial"/>
                <w:sz w:val="13"/>
                <w:szCs w:val="13"/>
                <w:color w:val="auto"/>
              </w:rPr>
              <w:t>CBD Seattle WA</w:t>
            </w: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749,482</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92.8 %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94.6 %</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60.06</w:t>
            </w:r>
          </w:p>
        </w:tc>
      </w:tr>
      <w:tr>
        <w:trPr>
          <w:trHeight w:val="183"/>
        </w:trPr>
        <w:tc>
          <w:tcPr>
            <w:tcW w:w="278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640" w:type="dxa"/>
            <w:vAlign w:val="bottom"/>
          </w:tcPr>
          <w:p>
            <w:pPr>
              <w:spacing w:after="0"/>
              <w:rPr>
                <w:sz w:val="15"/>
                <w:szCs w:val="15"/>
                <w:color w:val="auto"/>
              </w:rPr>
            </w:pPr>
          </w:p>
        </w:tc>
        <w:tc>
          <w:tcPr>
            <w:tcW w:w="76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1,512,022</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87.9 %</w:t>
            </w:r>
          </w:p>
        </w:tc>
        <w:tc>
          <w:tcPr>
            <w:tcW w:w="220" w:type="dxa"/>
            <w:vAlign w:val="bottom"/>
          </w:tcPr>
          <w:p>
            <w:pPr>
              <w:spacing w:after="0"/>
              <w:rPr>
                <w:sz w:val="15"/>
                <w:szCs w:val="15"/>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55.42</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WASHINGTON, DC</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60" w:type="dxa"/>
            <w:vAlign w:val="bottom"/>
          </w:tcPr>
          <w:p>
            <w:pPr>
              <w:spacing w:after="0"/>
              <w:rPr>
                <w:sz w:val="20"/>
                <w:szCs w:val="20"/>
                <w:color w:val="auto"/>
              </w:rPr>
            </w:pPr>
            <w:r>
              <w:rPr>
                <w:rFonts w:ascii="Arial" w:cs="Arial" w:eastAsia="Arial" w:hAnsi="Arial"/>
                <w:sz w:val="13"/>
                <w:szCs w:val="13"/>
                <w:color w:val="auto"/>
              </w:rPr>
              <w:t>Office</w:t>
            </w:r>
          </w:p>
        </w:tc>
        <w:tc>
          <w:tcPr>
            <w:tcW w:w="2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9"/>
        </w:trPr>
        <w:tc>
          <w:tcPr>
            <w:tcW w:w="3160" w:type="dxa"/>
            <w:vAlign w:val="bottom"/>
          </w:tcPr>
          <w:p>
            <w:pPr>
              <w:ind w:left="120"/>
              <w:spacing w:after="0"/>
              <w:rPr>
                <w:sz w:val="20"/>
                <w:szCs w:val="20"/>
                <w:color w:val="auto"/>
              </w:rPr>
            </w:pPr>
            <w:r>
              <w:rPr>
                <w:rFonts w:ascii="Arial" w:cs="Arial" w:eastAsia="Arial" w:hAnsi="Arial"/>
                <w:sz w:val="13"/>
                <w:szCs w:val="13"/>
                <w:color w:val="auto"/>
              </w:rPr>
              <w:t>901 New York Avenue</w:t>
            </w:r>
          </w:p>
        </w:tc>
        <w:tc>
          <w:tcPr>
            <w:tcW w:w="2260" w:type="dxa"/>
            <w:vAlign w:val="bottom"/>
          </w:tcPr>
          <w:p>
            <w:pPr>
              <w:ind w:left="280"/>
              <w:spacing w:after="0"/>
              <w:rPr>
                <w:sz w:val="20"/>
                <w:szCs w:val="20"/>
                <w:color w:val="auto"/>
              </w:rPr>
            </w:pPr>
            <w:r>
              <w:rPr>
                <w:rFonts w:ascii="Arial" w:cs="Arial" w:eastAsia="Arial" w:hAnsi="Arial"/>
                <w:sz w:val="13"/>
                <w:szCs w:val="13"/>
                <w:color w:val="auto"/>
              </w:rPr>
              <w:t>East End Washington DC</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526,383</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84.4 %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84.4 %</w:t>
            </w:r>
          </w:p>
        </w:tc>
        <w:tc>
          <w:tcPr>
            <w:tcW w:w="220" w:type="dxa"/>
            <w:vAlign w:val="bottom"/>
          </w:tcPr>
          <w:p>
            <w:pPr>
              <w:spacing w:after="0"/>
              <w:rPr>
                <w:sz w:val="16"/>
                <w:szCs w:val="16"/>
                <w:color w:val="auto"/>
              </w:rPr>
            </w:pP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72.25</w:t>
            </w:r>
          </w:p>
        </w:tc>
      </w:tr>
      <w:tr>
        <w:trPr>
          <w:trHeight w:val="189"/>
        </w:trPr>
        <w:tc>
          <w:tcPr>
            <w:tcW w:w="3160" w:type="dxa"/>
            <w:vAlign w:val="bottom"/>
          </w:tcPr>
          <w:p>
            <w:pPr>
              <w:ind w:left="120"/>
              <w:spacing w:after="0"/>
              <w:rPr>
                <w:sz w:val="20"/>
                <w:szCs w:val="20"/>
                <w:color w:val="auto"/>
              </w:rPr>
            </w:pPr>
            <w:r>
              <w:rPr>
                <w:rFonts w:ascii="Arial" w:cs="Arial" w:eastAsia="Arial" w:hAnsi="Arial"/>
                <w:sz w:val="13"/>
                <w:szCs w:val="13"/>
                <w:color w:val="auto"/>
              </w:rPr>
              <w:t>2100 Pennsylvania Avenue</w:t>
            </w:r>
          </w:p>
        </w:tc>
        <w:tc>
          <w:tcPr>
            <w:tcW w:w="2260" w:type="dxa"/>
            <w:vAlign w:val="bottom"/>
          </w:tcPr>
          <w:p>
            <w:pPr>
              <w:ind w:left="280"/>
              <w:spacing w:after="0"/>
              <w:rPr>
                <w:sz w:val="20"/>
                <w:szCs w:val="20"/>
                <w:color w:val="auto"/>
              </w:rPr>
            </w:pPr>
            <w:r>
              <w:rPr>
                <w:rFonts w:ascii="Arial" w:cs="Arial" w:eastAsia="Arial" w:hAnsi="Arial"/>
                <w:sz w:val="13"/>
                <w:szCs w:val="13"/>
                <w:color w:val="auto"/>
              </w:rPr>
              <w:t>CBD Washington DC</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475,772</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98.7 %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98.7 %</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87.49</w:t>
            </w:r>
          </w:p>
        </w:tc>
      </w:tr>
      <w:tr>
        <w:trPr>
          <w:trHeight w:val="189"/>
        </w:trPr>
        <w:tc>
          <w:tcPr>
            <w:tcW w:w="3160" w:type="dxa"/>
            <w:vAlign w:val="bottom"/>
          </w:tcPr>
          <w:p>
            <w:pPr>
              <w:ind w:left="120"/>
              <w:spacing w:after="0"/>
              <w:rPr>
                <w:sz w:val="20"/>
                <w:szCs w:val="20"/>
                <w:color w:val="auto"/>
              </w:rPr>
            </w:pPr>
            <w:r>
              <w:rPr>
                <w:rFonts w:ascii="Arial" w:cs="Arial" w:eastAsia="Arial" w:hAnsi="Arial"/>
                <w:sz w:val="13"/>
                <w:szCs w:val="13"/>
                <w:color w:val="auto"/>
              </w:rPr>
              <w:t>2200 Pennsylvania Avenue</w:t>
            </w:r>
          </w:p>
        </w:tc>
        <w:tc>
          <w:tcPr>
            <w:tcW w:w="2260" w:type="dxa"/>
            <w:vAlign w:val="bottom"/>
          </w:tcPr>
          <w:p>
            <w:pPr>
              <w:ind w:left="280"/>
              <w:spacing w:after="0"/>
              <w:rPr>
                <w:sz w:val="20"/>
                <w:szCs w:val="20"/>
                <w:color w:val="auto"/>
              </w:rPr>
            </w:pPr>
            <w:r>
              <w:rPr>
                <w:rFonts w:ascii="Arial" w:cs="Arial" w:eastAsia="Arial" w:hAnsi="Arial"/>
                <w:sz w:val="13"/>
                <w:szCs w:val="13"/>
                <w:color w:val="auto"/>
              </w:rPr>
              <w:t>CBD Washington DC</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460,039</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91.3 %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95.4 %</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71.10</w:t>
            </w:r>
          </w:p>
        </w:tc>
      </w:tr>
      <w:tr>
        <w:trPr>
          <w:trHeight w:val="212"/>
        </w:trPr>
        <w:tc>
          <w:tcPr>
            <w:tcW w:w="3160" w:type="dxa"/>
            <w:vAlign w:val="bottom"/>
          </w:tcPr>
          <w:p>
            <w:pPr>
              <w:ind w:left="120"/>
              <w:spacing w:after="0"/>
              <w:rPr>
                <w:sz w:val="20"/>
                <w:szCs w:val="20"/>
                <w:color w:val="auto"/>
              </w:rPr>
            </w:pPr>
            <w:r>
              <w:rPr>
                <w:rFonts w:ascii="Arial" w:cs="Arial" w:eastAsia="Arial" w:hAnsi="Arial"/>
                <w:sz w:val="13"/>
                <w:szCs w:val="13"/>
                <w:color w:val="auto"/>
              </w:rPr>
              <w:t xml:space="preserve">500 North Capitol Street, N.W. (30% ownership) </w:t>
            </w:r>
            <w:r>
              <w:rPr>
                <w:rFonts w:ascii="Arial" w:cs="Arial" w:eastAsia="Arial" w:hAnsi="Arial"/>
                <w:sz w:val="16"/>
                <w:szCs w:val="16"/>
                <w:color w:val="auto"/>
                <w:vertAlign w:val="superscript"/>
              </w:rPr>
              <w:t>4</w:t>
            </w:r>
          </w:p>
        </w:tc>
        <w:tc>
          <w:tcPr>
            <w:tcW w:w="2260" w:type="dxa"/>
            <w:vAlign w:val="bottom"/>
          </w:tcPr>
          <w:p>
            <w:pPr>
              <w:ind w:left="280"/>
              <w:spacing w:after="0"/>
              <w:rPr>
                <w:sz w:val="20"/>
                <w:szCs w:val="20"/>
                <w:color w:val="auto"/>
              </w:rPr>
            </w:pPr>
            <w:r>
              <w:rPr>
                <w:rFonts w:ascii="Arial" w:cs="Arial" w:eastAsia="Arial" w:hAnsi="Arial"/>
                <w:sz w:val="13"/>
                <w:szCs w:val="13"/>
                <w:color w:val="auto"/>
              </w:rPr>
              <w:t>Capitol Hill Washington DC</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230,900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98.5 %</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98.5 %</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69.09</w:t>
            </w:r>
          </w:p>
        </w:tc>
      </w:tr>
      <w:tr>
        <w:trPr>
          <w:trHeight w:val="173"/>
        </w:trPr>
        <w:tc>
          <w:tcPr>
            <w:tcW w:w="3160" w:type="dxa"/>
            <w:vAlign w:val="bottom"/>
          </w:tcPr>
          <w:p>
            <w:pPr>
              <w:ind w:left="120"/>
              <w:spacing w:after="0"/>
              <w:rPr>
                <w:sz w:val="20"/>
                <w:szCs w:val="20"/>
                <w:color w:val="auto"/>
              </w:rPr>
            </w:pPr>
            <w:r>
              <w:rPr>
                <w:rFonts w:ascii="Arial" w:cs="Arial" w:eastAsia="Arial" w:hAnsi="Arial"/>
                <w:sz w:val="13"/>
                <w:szCs w:val="13"/>
                <w:color w:val="auto"/>
              </w:rPr>
              <w:t>Capital Gallery</w:t>
            </w:r>
          </w:p>
        </w:tc>
        <w:tc>
          <w:tcPr>
            <w:tcW w:w="2260" w:type="dxa"/>
            <w:vAlign w:val="bottom"/>
          </w:tcPr>
          <w:p>
            <w:pPr>
              <w:ind w:left="280"/>
              <w:spacing w:after="0"/>
              <w:rPr>
                <w:sz w:val="20"/>
                <w:szCs w:val="20"/>
                <w:color w:val="auto"/>
              </w:rPr>
            </w:pPr>
            <w:r>
              <w:rPr>
                <w:rFonts w:ascii="Arial" w:cs="Arial" w:eastAsia="Arial" w:hAnsi="Arial"/>
                <w:sz w:val="13"/>
                <w:szCs w:val="13"/>
                <w:color w:val="auto"/>
              </w:rPr>
              <w:t>Southwest Washington DC</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176,909</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53.8 %</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63.87</w:t>
            </w:r>
          </w:p>
        </w:tc>
      </w:tr>
      <w:tr>
        <w:trPr>
          <w:trHeight w:val="183"/>
        </w:trPr>
        <w:tc>
          <w:tcPr>
            <w:tcW w:w="316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26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5</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1,870,003</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89.6 %</w:t>
            </w:r>
          </w:p>
        </w:tc>
        <w:tc>
          <w:tcPr>
            <w:tcW w:w="220" w:type="dxa"/>
            <w:vAlign w:val="bottom"/>
          </w:tcPr>
          <w:p>
            <w:pPr>
              <w:spacing w:after="0"/>
              <w:rPr>
                <w:sz w:val="15"/>
                <w:szCs w:val="15"/>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75.41</w:t>
            </w:r>
          </w:p>
        </w:tc>
      </w:tr>
      <w:tr>
        <w:trPr>
          <w:trHeight w:val="378"/>
        </w:trPr>
        <w:tc>
          <w:tcPr>
            <w:tcW w:w="3160" w:type="dxa"/>
            <w:vAlign w:val="bottom"/>
          </w:tcPr>
          <w:p>
            <w:pPr>
              <w:ind w:left="120"/>
              <w:spacing w:after="0"/>
              <w:rPr>
                <w:sz w:val="20"/>
                <w:szCs w:val="20"/>
                <w:color w:val="auto"/>
              </w:rPr>
            </w:pPr>
            <w:r>
              <w:rPr>
                <w:rFonts w:ascii="Arial" w:cs="Arial" w:eastAsia="Arial" w:hAnsi="Arial"/>
                <w:sz w:val="13"/>
                <w:szCs w:val="13"/>
                <w:color w:val="auto"/>
              </w:rPr>
              <w:t>Reston Next</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1,063,299</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99.6 %</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99.6 %</w:t>
            </w:r>
          </w:p>
        </w:tc>
        <w:tc>
          <w:tcPr>
            <w:tcW w:w="220" w:type="dxa"/>
            <w:vAlign w:val="bottom"/>
          </w:tcPr>
          <w:p>
            <w:pPr>
              <w:spacing w:after="0"/>
              <w:rPr>
                <w:sz w:val="24"/>
                <w:szCs w:val="24"/>
                <w:color w:val="auto"/>
              </w:rPr>
            </w:pPr>
          </w:p>
        </w:tc>
        <w:tc>
          <w:tcPr>
            <w:tcW w:w="42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64.28</w:t>
            </w:r>
          </w:p>
        </w:tc>
      </w:tr>
      <w:tr>
        <w:trPr>
          <w:trHeight w:val="189"/>
        </w:trPr>
        <w:tc>
          <w:tcPr>
            <w:tcW w:w="3160" w:type="dxa"/>
            <w:vAlign w:val="bottom"/>
          </w:tcPr>
          <w:p>
            <w:pPr>
              <w:ind w:left="120"/>
              <w:spacing w:after="0"/>
              <w:rPr>
                <w:sz w:val="20"/>
                <w:szCs w:val="20"/>
                <w:color w:val="auto"/>
              </w:rPr>
            </w:pPr>
            <w:r>
              <w:rPr>
                <w:rFonts w:ascii="Arial" w:cs="Arial" w:eastAsia="Arial" w:hAnsi="Arial"/>
                <w:sz w:val="13"/>
                <w:szCs w:val="13"/>
                <w:color w:val="auto"/>
              </w:rPr>
              <w:t>South of Market</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3</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624,386</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97.6 %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57.57</w:t>
            </w:r>
          </w:p>
        </w:tc>
      </w:tr>
      <w:tr>
        <w:trPr>
          <w:trHeight w:val="189"/>
        </w:trPr>
        <w:tc>
          <w:tcPr>
            <w:tcW w:w="3160" w:type="dxa"/>
            <w:vAlign w:val="bottom"/>
          </w:tcPr>
          <w:p>
            <w:pPr>
              <w:ind w:left="120"/>
              <w:spacing w:after="0"/>
              <w:rPr>
                <w:sz w:val="20"/>
                <w:szCs w:val="20"/>
                <w:color w:val="auto"/>
              </w:rPr>
            </w:pPr>
            <w:r>
              <w:rPr>
                <w:rFonts w:ascii="Arial" w:cs="Arial" w:eastAsia="Arial" w:hAnsi="Arial"/>
                <w:sz w:val="13"/>
                <w:szCs w:val="13"/>
                <w:color w:val="auto"/>
              </w:rPr>
              <w:t>Fountain Square</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524,229</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97.9 %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98.5 %</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54.22</w:t>
            </w:r>
          </w:p>
        </w:tc>
      </w:tr>
      <w:tr>
        <w:trPr>
          <w:trHeight w:val="189"/>
        </w:trPr>
        <w:tc>
          <w:tcPr>
            <w:tcW w:w="3160" w:type="dxa"/>
            <w:vAlign w:val="bottom"/>
          </w:tcPr>
          <w:p>
            <w:pPr>
              <w:ind w:left="120"/>
              <w:spacing w:after="0"/>
              <w:rPr>
                <w:sz w:val="20"/>
                <w:szCs w:val="20"/>
                <w:color w:val="auto"/>
              </w:rPr>
            </w:pPr>
            <w:r>
              <w:rPr>
                <w:rFonts w:ascii="Arial" w:cs="Arial" w:eastAsia="Arial" w:hAnsi="Arial"/>
                <w:sz w:val="13"/>
                <w:szCs w:val="13"/>
                <w:color w:val="auto"/>
              </w:rPr>
              <w:t>One Freedom Square</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427,252</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89.0 %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95.0 %</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56.36</w:t>
            </w:r>
          </w:p>
        </w:tc>
      </w:tr>
      <w:tr>
        <w:trPr>
          <w:trHeight w:val="189"/>
        </w:trPr>
        <w:tc>
          <w:tcPr>
            <w:tcW w:w="3160" w:type="dxa"/>
            <w:vAlign w:val="bottom"/>
          </w:tcPr>
          <w:p>
            <w:pPr>
              <w:ind w:left="120"/>
              <w:spacing w:after="0"/>
              <w:rPr>
                <w:sz w:val="20"/>
                <w:szCs w:val="20"/>
                <w:color w:val="auto"/>
              </w:rPr>
            </w:pPr>
            <w:r>
              <w:rPr>
                <w:rFonts w:ascii="Arial" w:cs="Arial" w:eastAsia="Arial" w:hAnsi="Arial"/>
                <w:sz w:val="13"/>
                <w:szCs w:val="13"/>
                <w:color w:val="auto"/>
              </w:rPr>
              <w:t>Two Freedom Square</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423,222</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56.70</w:t>
            </w:r>
          </w:p>
        </w:tc>
      </w:tr>
      <w:tr>
        <w:trPr>
          <w:trHeight w:val="189"/>
        </w:trPr>
        <w:tc>
          <w:tcPr>
            <w:tcW w:w="3160" w:type="dxa"/>
            <w:vAlign w:val="bottom"/>
          </w:tcPr>
          <w:p>
            <w:pPr>
              <w:ind w:left="120"/>
              <w:spacing w:after="0"/>
              <w:rPr>
                <w:sz w:val="20"/>
                <w:szCs w:val="20"/>
                <w:color w:val="auto"/>
              </w:rPr>
            </w:pPr>
            <w:r>
              <w:rPr>
                <w:rFonts w:ascii="Arial" w:cs="Arial" w:eastAsia="Arial" w:hAnsi="Arial"/>
                <w:sz w:val="13"/>
                <w:szCs w:val="13"/>
                <w:color w:val="auto"/>
              </w:rPr>
              <w:t>One and Two Discovery Square</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366,989</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54.14</w:t>
            </w:r>
          </w:p>
        </w:tc>
      </w:tr>
      <w:tr>
        <w:trPr>
          <w:trHeight w:val="189"/>
        </w:trPr>
        <w:tc>
          <w:tcPr>
            <w:tcW w:w="3160" w:type="dxa"/>
            <w:vAlign w:val="bottom"/>
          </w:tcPr>
          <w:p>
            <w:pPr>
              <w:ind w:left="120"/>
              <w:spacing w:after="0"/>
              <w:rPr>
                <w:sz w:val="20"/>
                <w:szCs w:val="20"/>
                <w:color w:val="auto"/>
              </w:rPr>
            </w:pPr>
            <w:r>
              <w:rPr>
                <w:rFonts w:ascii="Arial" w:cs="Arial" w:eastAsia="Arial" w:hAnsi="Arial"/>
                <w:sz w:val="13"/>
                <w:szCs w:val="13"/>
                <w:color w:val="auto"/>
              </w:rPr>
              <w:t>One Reston Overlook</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319,519</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46.51</w:t>
            </w:r>
          </w:p>
        </w:tc>
      </w:tr>
      <w:tr>
        <w:trPr>
          <w:trHeight w:val="189"/>
        </w:trPr>
        <w:tc>
          <w:tcPr>
            <w:tcW w:w="3160" w:type="dxa"/>
            <w:vAlign w:val="bottom"/>
          </w:tcPr>
          <w:p>
            <w:pPr>
              <w:ind w:left="120"/>
              <w:spacing w:after="0"/>
              <w:rPr>
                <w:sz w:val="20"/>
                <w:szCs w:val="20"/>
                <w:color w:val="auto"/>
              </w:rPr>
            </w:pPr>
            <w:r>
              <w:rPr>
                <w:rFonts w:ascii="Arial" w:cs="Arial" w:eastAsia="Arial" w:hAnsi="Arial"/>
                <w:sz w:val="13"/>
                <w:szCs w:val="13"/>
                <w:color w:val="auto"/>
              </w:rPr>
              <w:t>17Fifty Presidents Street</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275,809</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75.29</w:t>
            </w:r>
          </w:p>
        </w:tc>
      </w:tr>
      <w:tr>
        <w:trPr>
          <w:trHeight w:val="189"/>
        </w:trPr>
        <w:tc>
          <w:tcPr>
            <w:tcW w:w="3160" w:type="dxa"/>
            <w:vAlign w:val="bottom"/>
          </w:tcPr>
          <w:p>
            <w:pPr>
              <w:ind w:left="120"/>
              <w:spacing w:after="0"/>
              <w:rPr>
                <w:sz w:val="20"/>
                <w:szCs w:val="20"/>
                <w:color w:val="auto"/>
              </w:rPr>
            </w:pPr>
            <w:r>
              <w:rPr>
                <w:rFonts w:ascii="Arial" w:cs="Arial" w:eastAsia="Arial" w:hAnsi="Arial"/>
                <w:sz w:val="13"/>
                <w:szCs w:val="13"/>
                <w:color w:val="auto"/>
              </w:rPr>
              <w:t>Democracy Tower</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259,441</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99.3 %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99.3 %</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70.64</w:t>
            </w:r>
          </w:p>
        </w:tc>
      </w:tr>
      <w:tr>
        <w:trPr>
          <w:trHeight w:val="212"/>
        </w:trPr>
        <w:tc>
          <w:tcPr>
            <w:tcW w:w="3160" w:type="dxa"/>
            <w:vAlign w:val="bottom"/>
          </w:tcPr>
          <w:p>
            <w:pPr>
              <w:ind w:left="120"/>
              <w:spacing w:after="0"/>
              <w:rPr>
                <w:sz w:val="20"/>
                <w:szCs w:val="20"/>
                <w:color w:val="auto"/>
              </w:rPr>
            </w:pPr>
            <w:r>
              <w:rPr>
                <w:rFonts w:ascii="Arial" w:cs="Arial" w:eastAsia="Arial" w:hAnsi="Arial"/>
                <w:sz w:val="13"/>
                <w:szCs w:val="13"/>
                <w:color w:val="auto"/>
              </w:rPr>
              <w:t xml:space="preserve">Fountain Square Retail </w:t>
            </w:r>
            <w:r>
              <w:rPr>
                <w:rFonts w:ascii="Arial" w:cs="Arial" w:eastAsia="Arial" w:hAnsi="Arial"/>
                <w:sz w:val="16"/>
                <w:szCs w:val="16"/>
                <w:color w:val="auto"/>
                <w:vertAlign w:val="superscript"/>
              </w:rPr>
              <w:t>5</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196,642</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93.6 %</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94.8 %</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52.80</w:t>
            </w:r>
          </w:p>
        </w:tc>
      </w:tr>
      <w:tr>
        <w:trPr>
          <w:trHeight w:val="166"/>
        </w:trPr>
        <w:tc>
          <w:tcPr>
            <w:tcW w:w="3160" w:type="dxa"/>
            <w:vAlign w:val="bottom"/>
          </w:tcPr>
          <w:p>
            <w:pPr>
              <w:ind w:left="120"/>
              <w:spacing w:after="0"/>
              <w:rPr>
                <w:sz w:val="20"/>
                <w:szCs w:val="20"/>
                <w:color w:val="auto"/>
              </w:rPr>
            </w:pPr>
            <w:r>
              <w:rPr>
                <w:rFonts w:ascii="Arial" w:cs="Arial" w:eastAsia="Arial" w:hAnsi="Arial"/>
                <w:sz w:val="13"/>
                <w:szCs w:val="13"/>
                <w:color w:val="auto"/>
              </w:rPr>
              <w:t>Two Reston Overlook</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134,615</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57.50</w:t>
            </w:r>
          </w:p>
        </w:tc>
      </w:tr>
      <w:tr>
        <w:trPr>
          <w:trHeight w:val="212"/>
        </w:trPr>
        <w:tc>
          <w:tcPr>
            <w:tcW w:w="3160" w:type="dxa"/>
            <w:vAlign w:val="bottom"/>
          </w:tcPr>
          <w:p>
            <w:pPr>
              <w:ind w:left="120"/>
              <w:spacing w:after="0"/>
              <w:rPr>
                <w:sz w:val="20"/>
                <w:szCs w:val="20"/>
                <w:color w:val="auto"/>
              </w:rPr>
            </w:pPr>
            <w:r>
              <w:rPr>
                <w:rFonts w:ascii="Arial" w:cs="Arial" w:eastAsia="Arial" w:hAnsi="Arial"/>
                <w:sz w:val="13"/>
                <w:szCs w:val="13"/>
                <w:color w:val="auto"/>
              </w:rPr>
              <w:t xml:space="preserve">Reston Next Office Phase II </w:t>
            </w:r>
            <w:r>
              <w:rPr>
                <w:rFonts w:ascii="Arial" w:cs="Arial" w:eastAsia="Arial" w:hAnsi="Arial"/>
                <w:sz w:val="16"/>
                <w:szCs w:val="16"/>
                <w:color w:val="auto"/>
                <w:vertAlign w:val="superscript"/>
              </w:rPr>
              <w:t>7</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86,629</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92.2 %</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92.2 %</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59.42</w:t>
            </w:r>
          </w:p>
        </w:tc>
      </w:tr>
      <w:tr>
        <w:trPr>
          <w:trHeight w:val="189"/>
        </w:trPr>
        <w:tc>
          <w:tcPr>
            <w:tcW w:w="3160" w:type="dxa"/>
            <w:vAlign w:val="bottom"/>
          </w:tcPr>
          <w:p>
            <w:pPr>
              <w:ind w:left="120"/>
              <w:spacing w:after="0"/>
              <w:rPr>
                <w:sz w:val="20"/>
                <w:szCs w:val="20"/>
                <w:color w:val="auto"/>
              </w:rPr>
            </w:pPr>
            <w:r>
              <w:rPr>
                <w:rFonts w:ascii="Arial" w:cs="Arial" w:eastAsia="Arial" w:hAnsi="Arial"/>
                <w:sz w:val="13"/>
                <w:szCs w:val="13"/>
                <w:color w:val="auto"/>
              </w:rPr>
              <w:t xml:space="preserve">Reston Next Retail </w:t>
            </w:r>
            <w:r>
              <w:rPr>
                <w:rFonts w:ascii="Arial" w:cs="Arial" w:eastAsia="Arial" w:hAnsi="Arial"/>
                <w:sz w:val="16"/>
                <w:szCs w:val="16"/>
                <w:color w:val="auto"/>
                <w:vertAlign w:val="superscript"/>
              </w:rPr>
              <w:t>5, 7</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30,284</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11.0 %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69.1 %</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58.97</w:t>
            </w:r>
          </w:p>
        </w:tc>
      </w:tr>
      <w:tr>
        <w:trPr>
          <w:trHeight w:val="180"/>
        </w:trPr>
        <w:tc>
          <w:tcPr>
            <w:tcW w:w="3160" w:type="dxa"/>
            <w:vAlign w:val="bottom"/>
          </w:tcPr>
          <w:p>
            <w:pPr>
              <w:ind w:left="120"/>
              <w:spacing w:after="0" w:line="180" w:lineRule="exact"/>
              <w:rPr>
                <w:sz w:val="20"/>
                <w:szCs w:val="20"/>
                <w:color w:val="auto"/>
              </w:rPr>
            </w:pPr>
            <w:r>
              <w:rPr>
                <w:rFonts w:ascii="Arial" w:cs="Arial" w:eastAsia="Arial" w:hAnsi="Arial"/>
                <w:sz w:val="13"/>
                <w:szCs w:val="13"/>
                <w:color w:val="auto"/>
              </w:rPr>
              <w:t xml:space="preserve">Avant Retail </w:t>
            </w:r>
            <w:r>
              <w:rPr>
                <w:rFonts w:ascii="Arial" w:cs="Arial" w:eastAsia="Arial" w:hAnsi="Arial"/>
                <w:sz w:val="16"/>
                <w:szCs w:val="16"/>
                <w:color w:val="auto"/>
                <w:vertAlign w:val="superscript"/>
              </w:rPr>
              <w:t>5</w:t>
            </w:r>
          </w:p>
        </w:tc>
        <w:tc>
          <w:tcPr>
            <w:tcW w:w="2260" w:type="dxa"/>
            <w:vAlign w:val="bottom"/>
          </w:tcPr>
          <w:p>
            <w:pPr>
              <w:ind w:left="280"/>
              <w:spacing w:after="0"/>
              <w:rPr>
                <w:sz w:val="20"/>
                <w:szCs w:val="20"/>
                <w:color w:val="auto"/>
              </w:rPr>
            </w:pPr>
            <w:r>
              <w:rPr>
                <w:rFonts w:ascii="Arial" w:cs="Arial" w:eastAsia="Arial" w:hAnsi="Arial"/>
                <w:sz w:val="13"/>
                <w:szCs w:val="13"/>
                <w:color w:val="auto"/>
              </w:rPr>
              <w:t>Reston VA</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26,179</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68.48</w:t>
            </w:r>
          </w:p>
        </w:tc>
      </w:tr>
      <w:tr>
        <w:trPr>
          <w:trHeight w:val="176"/>
        </w:trPr>
        <w:tc>
          <w:tcPr>
            <w:tcW w:w="316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26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19</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4,758,495</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97.4 %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98.7 %</w:t>
            </w:r>
          </w:p>
        </w:tc>
        <w:tc>
          <w:tcPr>
            <w:tcW w:w="220" w:type="dxa"/>
            <w:vAlign w:val="bottom"/>
          </w:tcPr>
          <w:p>
            <w:pPr>
              <w:spacing w:after="0"/>
              <w:rPr>
                <w:sz w:val="15"/>
                <w:szCs w:val="15"/>
                <w:color w:val="auto"/>
              </w:rPr>
            </w:pPr>
          </w:p>
        </w:tc>
        <w:tc>
          <w:tcPr>
            <w:tcW w:w="4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59.21</w:t>
            </w:r>
          </w:p>
        </w:tc>
      </w:tr>
    </w:tbl>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100"/>
          </w:cols>
          <w:pgMar w:left="460" w:top="279" w:right="339" w:bottom="1440" w:gutter="0" w:footer="0" w:header="0"/>
        </w:sectPr>
      </w:pPr>
    </w:p>
    <w:bookmarkStart w:id="30" w:name="page31"/>
    <w:bookmarkEnd w:id="30"/>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-61595</wp:posOffset>
            </wp:positionV>
            <wp:extent cx="257175" cy="1631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In-service property listing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520" w:type="dxa"/>
            <w:vAlign w:val="bottom"/>
            <w:gridSpan w:val="2"/>
          </w:tcPr>
          <w:p>
            <w:pPr>
              <w:ind w:left="120"/>
              <w:spacing w:after="0"/>
              <w:rPr>
                <w:sz w:val="20"/>
                <w:szCs w:val="20"/>
                <w:color w:val="auto"/>
              </w:rPr>
            </w:pPr>
            <w:r>
              <w:rPr>
                <w:rFonts w:ascii="Arial" w:cs="Arial" w:eastAsia="Arial" w:hAnsi="Arial"/>
                <w:sz w:val="13"/>
                <w:szCs w:val="13"/>
                <w:color w:val="auto"/>
              </w:rPr>
              <w:t>as of September 30, 2026</w:t>
            </w: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8"/>
              </w:rPr>
              <w:t>Number of</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tcPr>
          <w:p>
            <w:pPr>
              <w:ind w:left="40"/>
              <w:spacing w:after="0"/>
              <w:rPr>
                <w:sz w:val="20"/>
                <w:szCs w:val="20"/>
                <w:color w:val="auto"/>
              </w:rPr>
            </w:pPr>
            <w:r>
              <w:rPr>
                <w:rFonts w:ascii="Arial" w:cs="Arial" w:eastAsia="Arial" w:hAnsi="Arial"/>
                <w:sz w:val="13"/>
                <w:szCs w:val="13"/>
                <w:b w:val="1"/>
                <w:bCs w:val="1"/>
                <w:color w:val="auto"/>
              </w:rPr>
              <w:t>Annualized Rental</w:t>
            </w:r>
          </w:p>
        </w:tc>
        <w:tc>
          <w:tcPr>
            <w:tcW w:w="0" w:type="dxa"/>
            <w:vAlign w:val="bottom"/>
          </w:tcPr>
          <w:p>
            <w:pPr>
              <w:spacing w:after="0"/>
              <w:rPr>
                <w:sz w:val="1"/>
                <w:szCs w:val="1"/>
                <w:color w:val="auto"/>
              </w:rPr>
            </w:pPr>
          </w:p>
        </w:tc>
      </w:tr>
      <w:tr>
        <w:trPr>
          <w:trHeight w:val="122"/>
        </w:trPr>
        <w:tc>
          <w:tcPr>
            <w:tcW w:w="48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840" w:type="dxa"/>
            <w:vAlign w:val="bottom"/>
            <w:vMerge w:val="restart"/>
          </w:tcPr>
          <w:p>
            <w:pPr>
              <w:spacing w:after="0"/>
              <w:rPr>
                <w:sz w:val="20"/>
                <w:szCs w:val="20"/>
                <w:color w:val="auto"/>
              </w:rPr>
            </w:pPr>
            <w:r>
              <w:rPr>
                <w:rFonts w:ascii="Arial" w:cs="Arial" w:eastAsia="Arial" w:hAnsi="Arial"/>
                <w:sz w:val="13"/>
                <w:szCs w:val="13"/>
                <w:b w:val="1"/>
                <w:bCs w:val="1"/>
                <w:color w:val="auto"/>
              </w:rPr>
              <w:t>Sub Market</w:t>
            </w:r>
          </w:p>
        </w:tc>
        <w:tc>
          <w:tcPr>
            <w:tcW w:w="140" w:type="dxa"/>
            <w:vAlign w:val="bottom"/>
            <w:vMerge w:val="restart"/>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Square Feet</w:t>
            </w:r>
          </w:p>
        </w:tc>
        <w:tc>
          <w:tcPr>
            <w:tcW w:w="160" w:type="dxa"/>
            <w:vAlign w:val="bottom"/>
            <w:vMerge w:val="restart"/>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xml:space="preserve">Occupied % </w:t>
            </w:r>
            <w:r>
              <w:rPr>
                <w:rFonts w:ascii="Arial" w:cs="Arial" w:eastAsia="Arial" w:hAnsi="Arial"/>
                <w:sz w:val="16"/>
                <w:szCs w:val="16"/>
                <w:b w:val="1"/>
                <w:bCs w:val="1"/>
                <w:color w:val="auto"/>
                <w:vertAlign w:val="superscript"/>
              </w:rPr>
              <w:t>1</w:t>
            </w:r>
          </w:p>
        </w:tc>
        <w:tc>
          <w:tcPr>
            <w:tcW w:w="240" w:type="dxa"/>
            <w:vAlign w:val="bottom"/>
            <w:vMerge w:val="restart"/>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xml:space="preserve">Leased % </w:t>
            </w:r>
            <w:r>
              <w:rPr>
                <w:rFonts w:ascii="Arial" w:cs="Arial" w:eastAsia="Arial" w:hAnsi="Arial"/>
                <w:sz w:val="16"/>
                <w:szCs w:val="16"/>
                <w:b w:val="1"/>
                <w:bCs w:val="1"/>
                <w:color w:val="auto"/>
                <w:vertAlign w:val="superscript"/>
              </w:rPr>
              <w:t>2</w:t>
            </w:r>
          </w:p>
        </w:tc>
        <w:tc>
          <w:tcPr>
            <w:tcW w:w="2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right"/>
              <w:ind w:right="100"/>
              <w:spacing w:after="0" w:line="122" w:lineRule="exact"/>
              <w:rPr>
                <w:sz w:val="20"/>
                <w:szCs w:val="20"/>
                <w:color w:val="auto"/>
              </w:rPr>
            </w:pPr>
            <w:r>
              <w:rPr>
                <w:rFonts w:ascii="Arial" w:cs="Arial" w:eastAsia="Arial" w:hAnsi="Arial"/>
                <w:sz w:val="13"/>
                <w:szCs w:val="13"/>
                <w:b w:val="1"/>
                <w:bCs w:val="1"/>
                <w:color w:val="auto"/>
                <w:w w:val="99"/>
              </w:rPr>
              <w:t>Obligations Per</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Buildings</w:t>
            </w:r>
          </w:p>
        </w:tc>
        <w:tc>
          <w:tcPr>
            <w:tcW w:w="16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xml:space="preserve">Occupied SF </w:t>
            </w:r>
            <w:r>
              <w:rPr>
                <w:rFonts w:ascii="Arial" w:cs="Arial" w:eastAsia="Arial" w:hAnsi="Arial"/>
                <w:sz w:val="16"/>
                <w:szCs w:val="16"/>
                <w:b w:val="1"/>
                <w:bCs w:val="1"/>
                <w:color w:val="auto"/>
                <w:vertAlign w:val="superscript"/>
              </w:rPr>
              <w:t>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9"/>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Wisconsin Place Office</w:t>
            </w:r>
          </w:p>
        </w:tc>
        <w:tc>
          <w:tcPr>
            <w:tcW w:w="1980" w:type="dxa"/>
            <w:vAlign w:val="bottom"/>
            <w:gridSpan w:val="2"/>
          </w:tcPr>
          <w:p>
            <w:pPr>
              <w:spacing w:after="0"/>
              <w:rPr>
                <w:sz w:val="20"/>
                <w:szCs w:val="20"/>
                <w:color w:val="auto"/>
              </w:rPr>
            </w:pPr>
            <w:r>
              <w:rPr>
                <w:rFonts w:ascii="Arial" w:cs="Arial" w:eastAsia="Arial" w:hAnsi="Arial"/>
                <w:sz w:val="13"/>
                <w:szCs w:val="13"/>
                <w:color w:val="auto"/>
              </w:rPr>
              <w:t>Montgomery County MD</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296,965</w:t>
            </w:r>
          </w:p>
        </w:tc>
        <w:tc>
          <w:tcPr>
            <w:tcW w:w="1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52.4 %</w:t>
            </w:r>
          </w:p>
        </w:tc>
        <w:tc>
          <w:tcPr>
            <w:tcW w:w="240" w:type="dxa"/>
            <w:vAlign w:val="bottom"/>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56.0 %</w:t>
            </w:r>
          </w:p>
        </w:tc>
        <w:tc>
          <w:tcPr>
            <w:tcW w:w="240" w:type="dxa"/>
            <w:vAlign w:val="bottom"/>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54.60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296,965</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52.4 %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56.0 %</w:t>
            </w:r>
          </w:p>
        </w:tc>
        <w:tc>
          <w:tcPr>
            <w:tcW w:w="24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 Washington, DC CBD</w:t>
            </w: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25</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6,925,463</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93.1 %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94.4 %</w:t>
            </w:r>
          </w:p>
        </w:tc>
        <w:tc>
          <w:tcPr>
            <w:tcW w:w="24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8"/>
        </w:trPr>
        <w:tc>
          <w:tcPr>
            <w:tcW w:w="3520" w:type="dxa"/>
            <w:vAlign w:val="bottom"/>
            <w:gridSpan w:val="2"/>
          </w:tcPr>
          <w:p>
            <w:pPr>
              <w:ind w:left="120"/>
              <w:spacing w:after="0"/>
              <w:rPr>
                <w:sz w:val="20"/>
                <w:szCs w:val="20"/>
                <w:color w:val="auto"/>
              </w:rPr>
            </w:pPr>
            <w:r>
              <w:rPr>
                <w:rFonts w:ascii="Arial" w:cs="Arial" w:eastAsia="Arial" w:hAnsi="Arial"/>
                <w:sz w:val="13"/>
                <w:szCs w:val="13"/>
                <w:color w:val="auto"/>
              </w:rPr>
              <w:t>Residential</w:t>
            </w: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Skymark (508 units) (20% ownership) </w:t>
            </w:r>
            <w:r>
              <w:rPr>
                <w:rFonts w:ascii="Arial" w:cs="Arial" w:eastAsia="Arial" w:hAnsi="Arial"/>
                <w:sz w:val="16"/>
                <w:szCs w:val="16"/>
                <w:color w:val="auto"/>
                <w:vertAlign w:val="superscript"/>
              </w:rPr>
              <w:t>4</w:t>
            </w:r>
          </w:p>
        </w:tc>
        <w:tc>
          <w:tcPr>
            <w:tcW w:w="1980" w:type="dxa"/>
            <w:vAlign w:val="bottom"/>
            <w:gridSpan w:val="2"/>
          </w:tcPr>
          <w:p>
            <w:pPr>
              <w:spacing w:after="0"/>
              <w:rPr>
                <w:sz w:val="20"/>
                <w:szCs w:val="20"/>
                <w:color w:val="auto"/>
              </w:rPr>
            </w:pPr>
            <w:r>
              <w:rPr>
                <w:rFonts w:ascii="Arial" w:cs="Arial" w:eastAsia="Arial" w:hAnsi="Arial"/>
                <w:sz w:val="13"/>
                <w:szCs w:val="13"/>
                <w:color w:val="auto"/>
              </w:rPr>
              <w:t>Reston VA</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417,036</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3040" w:type="dxa"/>
            <w:vAlign w:val="bottom"/>
          </w:tcPr>
          <w:p>
            <w:pPr>
              <w:ind w:left="100"/>
              <w:spacing w:after="0"/>
              <w:rPr>
                <w:sz w:val="20"/>
                <w:szCs w:val="20"/>
                <w:color w:val="auto"/>
              </w:rPr>
            </w:pPr>
            <w:r>
              <w:rPr>
                <w:rFonts w:ascii="Arial" w:cs="Arial" w:eastAsia="Arial" w:hAnsi="Arial"/>
                <w:sz w:val="13"/>
                <w:szCs w:val="13"/>
                <w:color w:val="auto"/>
              </w:rPr>
              <w:t>Subtotal</w:t>
            </w: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417,036</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4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CBD Total</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98</w:t>
            </w:r>
          </w:p>
        </w:tc>
        <w:tc>
          <w:tcPr>
            <w:tcW w:w="16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40,050,568</w:t>
            </w:r>
          </w:p>
        </w:tc>
        <w:tc>
          <w:tcPr>
            <w:tcW w:w="16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 xml:space="preserve">91.8 % </w:t>
            </w:r>
            <w:r>
              <w:rPr>
                <w:rFonts w:ascii="Arial" w:cs="Arial" w:eastAsia="Arial" w:hAnsi="Arial"/>
                <w:sz w:val="21"/>
                <w:szCs w:val="21"/>
                <w:color w:val="auto"/>
                <w:vertAlign w:val="superscript"/>
              </w:rPr>
              <w:t>8</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 xml:space="preserve">94.1 % </w:t>
            </w:r>
            <w:r>
              <w:rPr>
                <w:rFonts w:ascii="Arial" w:cs="Arial" w:eastAsia="Arial" w:hAnsi="Arial"/>
                <w:sz w:val="21"/>
                <w:szCs w:val="21"/>
                <w:color w:val="auto"/>
                <w:vertAlign w:val="superscript"/>
              </w:rPr>
              <w:t>8</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spacing w:after="0"/>
              <w:rPr>
                <w:sz w:val="20"/>
                <w:szCs w:val="20"/>
                <w:color w:val="auto"/>
              </w:rPr>
            </w:pPr>
            <w:r>
              <w:rPr>
                <w:rFonts w:ascii="Arial" w:cs="Arial" w:eastAsia="Arial" w:hAnsi="Arial"/>
                <w:sz w:val="13"/>
                <w:szCs w:val="13"/>
                <w:color w:val="auto"/>
              </w:rPr>
              <w:t xml:space="preserve">91.72 </w:t>
            </w:r>
            <w:r>
              <w:rPr>
                <w:rFonts w:ascii="Arial" w:cs="Arial" w:eastAsia="Arial" w:hAnsi="Arial"/>
                <w:sz w:val="21"/>
                <w:szCs w:val="21"/>
                <w:color w:val="auto"/>
                <w:vertAlign w:val="superscript"/>
              </w:rPr>
              <w:t>8</w:t>
            </w: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9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BXP’s Share of CBD</w:t>
            </w: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6"/>
        </w:trPr>
        <w:tc>
          <w:tcPr>
            <w:tcW w:w="4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80" w:type="dxa"/>
            <w:vAlign w:val="bottom"/>
            <w:gridSpan w:val="2"/>
            <w:vMerge w:val="continue"/>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 xml:space="preserve">92.5 % </w:t>
            </w:r>
            <w:r>
              <w:rPr>
                <w:rFonts w:ascii="Arial" w:cs="Arial" w:eastAsia="Arial" w:hAnsi="Arial"/>
                <w:sz w:val="21"/>
                <w:szCs w:val="21"/>
                <w:color w:val="auto"/>
                <w:vertAlign w:val="superscript"/>
              </w:rPr>
              <w:t>8</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 xml:space="preserve">94.3 % </w:t>
            </w:r>
            <w:r>
              <w:rPr>
                <w:rFonts w:ascii="Arial" w:cs="Arial" w:eastAsia="Arial" w:hAnsi="Arial"/>
                <w:sz w:val="21"/>
                <w:szCs w:val="21"/>
                <w:color w:val="auto"/>
                <w:vertAlign w:val="superscript"/>
              </w:rPr>
              <w:t>8</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SUBURBAN</w:t>
            </w:r>
          </w:p>
        </w:tc>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5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BOSTON</w:t>
            </w:r>
          </w:p>
        </w:tc>
        <w:tc>
          <w:tcPr>
            <w:tcW w:w="1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480" w:type="dxa"/>
            <w:vAlign w:val="bottom"/>
          </w:tcPr>
          <w:p>
            <w:pPr>
              <w:ind w:left="120"/>
              <w:spacing w:after="0"/>
              <w:rPr>
                <w:sz w:val="20"/>
                <w:szCs w:val="20"/>
                <w:color w:val="auto"/>
              </w:rPr>
            </w:pPr>
            <w:r>
              <w:rPr>
                <w:rFonts w:ascii="Arial" w:cs="Arial" w:eastAsia="Arial" w:hAnsi="Arial"/>
                <w:sz w:val="13"/>
                <w:szCs w:val="13"/>
                <w:color w:val="auto"/>
                <w:w w:val="99"/>
              </w:rPr>
              <w:t>Office</w:t>
            </w:r>
          </w:p>
        </w:tc>
        <w:tc>
          <w:tcPr>
            <w:tcW w:w="30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Bay Colony Corporate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435,917</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80.4 %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80.4 %</w:t>
            </w:r>
          </w:p>
        </w:tc>
        <w:tc>
          <w:tcPr>
            <w:tcW w:w="24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43.32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Weston Corporate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356,995</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41.1 %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60.8 %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37.38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 w:type="dxa"/>
            <w:vAlign w:val="bottom"/>
          </w:tcPr>
          <w:p>
            <w:pPr>
              <w:ind w:left="240"/>
              <w:spacing w:after="0"/>
              <w:rPr>
                <w:sz w:val="20"/>
                <w:szCs w:val="20"/>
                <w:color w:val="auto"/>
              </w:rPr>
            </w:pPr>
            <w:r>
              <w:rPr>
                <w:rFonts w:ascii="Arial" w:cs="Arial" w:eastAsia="Arial" w:hAnsi="Arial"/>
                <w:sz w:val="13"/>
                <w:szCs w:val="13"/>
                <w:color w:val="auto"/>
              </w:rPr>
              <w:t>180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CityPoint </w:t>
            </w:r>
            <w:r>
              <w:rPr>
                <w:rFonts w:ascii="Arial" w:cs="Arial" w:eastAsia="Arial" w:hAnsi="Arial"/>
                <w:sz w:val="16"/>
                <w:szCs w:val="16"/>
                <w:color w:val="auto"/>
                <w:vertAlign w:val="superscript"/>
              </w:rPr>
              <w:t>6</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329,195</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87.0 %</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91.5 %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72.25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Waltham Weston Corporate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301,611</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73.0 %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73.0 %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230</w:t>
            </w:r>
          </w:p>
        </w:tc>
        <w:tc>
          <w:tcPr>
            <w:tcW w:w="3040" w:type="dxa"/>
            <w:vAlign w:val="bottom"/>
          </w:tcPr>
          <w:p>
            <w:pPr>
              <w:ind w:left="20"/>
              <w:spacing w:after="0"/>
              <w:rPr>
                <w:sz w:val="20"/>
                <w:szCs w:val="20"/>
                <w:color w:val="auto"/>
              </w:rPr>
            </w:pPr>
            <w:r>
              <w:rPr>
                <w:rFonts w:ascii="Arial" w:cs="Arial" w:eastAsia="Arial" w:hAnsi="Arial"/>
                <w:sz w:val="13"/>
                <w:szCs w:val="13"/>
                <w:color w:val="auto"/>
              </w:rPr>
              <w:t>CityPoint</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299,304</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97.0 %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97.0 %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56.11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80" w:type="dxa"/>
            <w:vAlign w:val="bottom"/>
          </w:tcPr>
          <w:p>
            <w:pPr>
              <w:ind w:left="240"/>
              <w:spacing w:after="0"/>
              <w:rPr>
                <w:sz w:val="20"/>
                <w:szCs w:val="20"/>
                <w:color w:val="auto"/>
              </w:rPr>
            </w:pPr>
            <w:r>
              <w:rPr>
                <w:rFonts w:ascii="Arial" w:cs="Arial" w:eastAsia="Arial" w:hAnsi="Arial"/>
                <w:sz w:val="13"/>
                <w:szCs w:val="13"/>
                <w:color w:val="auto"/>
              </w:rPr>
              <w:t>200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West Street </w:t>
            </w:r>
            <w:r>
              <w:rPr>
                <w:rFonts w:ascii="Arial" w:cs="Arial" w:eastAsia="Arial" w:hAnsi="Arial"/>
                <w:sz w:val="16"/>
                <w:szCs w:val="16"/>
                <w:color w:val="auto"/>
                <w:vertAlign w:val="superscript"/>
              </w:rPr>
              <w:t>6</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273,361</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86.1 %</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86.1 %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95.98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880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Winter Street </w:t>
            </w:r>
            <w:r>
              <w:rPr>
                <w:rFonts w:ascii="Arial" w:cs="Arial" w:eastAsia="Arial" w:hAnsi="Arial"/>
                <w:sz w:val="16"/>
                <w:szCs w:val="16"/>
                <w:color w:val="auto"/>
                <w:vertAlign w:val="superscript"/>
              </w:rPr>
              <w:t>6</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243,614</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80.5 %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80.5 %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102.48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10 CityPoint</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236,570</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98.6 %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98.6 %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61.60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20 CityPoint</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211,476</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98.1 %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98.1 %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63.71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77 CityPoint</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209,711</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95.4 %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58.21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890</w:t>
            </w:r>
          </w:p>
        </w:tc>
        <w:tc>
          <w:tcPr>
            <w:tcW w:w="3040" w:type="dxa"/>
            <w:vAlign w:val="bottom"/>
          </w:tcPr>
          <w:p>
            <w:pPr>
              <w:ind w:left="20"/>
              <w:spacing w:after="0"/>
              <w:rPr>
                <w:sz w:val="20"/>
                <w:szCs w:val="20"/>
                <w:color w:val="auto"/>
              </w:rPr>
            </w:pPr>
            <w:r>
              <w:rPr>
                <w:rFonts w:ascii="Arial" w:cs="Arial" w:eastAsia="Arial" w:hAnsi="Arial"/>
                <w:sz w:val="13"/>
                <w:szCs w:val="13"/>
                <w:color w:val="auto"/>
              </w:rPr>
              <w:t>Winter Street</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180,155</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84.6 %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84.6 %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47.95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Reservoir Place </w:t>
            </w:r>
            <w:r>
              <w:rPr>
                <w:rFonts w:ascii="Arial" w:cs="Arial" w:eastAsia="Arial" w:hAnsi="Arial"/>
                <w:sz w:val="16"/>
                <w:szCs w:val="16"/>
                <w:color w:val="auto"/>
                <w:vertAlign w:val="superscript"/>
              </w:rPr>
              <w:t>9</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164,994</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78.7 %</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78.7 %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153</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&amp; 211 Second Avenue </w:t>
            </w:r>
            <w:r>
              <w:rPr>
                <w:rFonts w:ascii="Arial" w:cs="Arial" w:eastAsia="Arial" w:hAnsi="Arial"/>
                <w:sz w:val="16"/>
                <w:szCs w:val="16"/>
                <w:color w:val="auto"/>
                <w:vertAlign w:val="superscript"/>
              </w:rPr>
              <w:t>6</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154,093</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84.0 %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53.17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1265 Main Street (50% ownership) </w:t>
            </w:r>
            <w:r>
              <w:rPr>
                <w:rFonts w:ascii="Arial" w:cs="Arial" w:eastAsia="Arial" w:hAnsi="Arial"/>
                <w:sz w:val="16"/>
                <w:szCs w:val="16"/>
                <w:color w:val="auto"/>
                <w:vertAlign w:val="superscript"/>
              </w:rPr>
              <w:t>4</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120,681</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60.87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103 CityPoint </w:t>
            </w:r>
            <w:r>
              <w:rPr>
                <w:rFonts w:ascii="Arial" w:cs="Arial" w:eastAsia="Arial" w:hAnsi="Arial"/>
                <w:sz w:val="16"/>
                <w:szCs w:val="16"/>
                <w:color w:val="auto"/>
                <w:vertAlign w:val="superscript"/>
              </w:rPr>
              <w:t>6</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112,842</w:t>
            </w:r>
          </w:p>
        </w:tc>
        <w:tc>
          <w:tcPr>
            <w:tcW w:w="16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 %</w:t>
            </w: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Reservoir Place North</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73,258</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54.61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The Point </w:t>
            </w:r>
            <w:r>
              <w:rPr>
                <w:rFonts w:ascii="Arial" w:cs="Arial" w:eastAsia="Arial" w:hAnsi="Arial"/>
                <w:sz w:val="16"/>
                <w:szCs w:val="16"/>
                <w:color w:val="auto"/>
                <w:vertAlign w:val="superscript"/>
              </w:rPr>
              <w:t>5</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Mass Turnpike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16,300</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68.03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 xml:space="preserve">33 Hayden Avenue </w:t>
            </w:r>
            <w:r>
              <w:rPr>
                <w:rFonts w:ascii="Arial" w:cs="Arial" w:eastAsia="Arial" w:hAnsi="Arial"/>
                <w:sz w:val="16"/>
                <w:szCs w:val="16"/>
                <w:color w:val="auto"/>
                <w:vertAlign w:val="superscript"/>
              </w:rPr>
              <w:t>6</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Northwest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80,872</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81.96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32 Hartwell Avenue</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Northwest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69,154</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28.62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80" w:type="dxa"/>
            <w:vAlign w:val="bottom"/>
          </w:tcPr>
          <w:p>
            <w:pPr>
              <w:ind w:left="240"/>
              <w:spacing w:after="0"/>
              <w:rPr>
                <w:sz w:val="20"/>
                <w:szCs w:val="20"/>
                <w:color w:val="auto"/>
              </w:rPr>
            </w:pPr>
            <w:r>
              <w:rPr>
                <w:rFonts w:ascii="Arial" w:cs="Arial" w:eastAsia="Arial" w:hAnsi="Arial"/>
                <w:sz w:val="13"/>
                <w:szCs w:val="13"/>
                <w:color w:val="auto"/>
              </w:rPr>
              <w:t>100</w:t>
            </w:r>
          </w:p>
        </w:tc>
        <w:tc>
          <w:tcPr>
            <w:tcW w:w="3040" w:type="dxa"/>
            <w:vAlign w:val="bottom"/>
          </w:tcPr>
          <w:p>
            <w:pPr>
              <w:ind w:left="20"/>
              <w:spacing w:after="0"/>
              <w:rPr>
                <w:sz w:val="20"/>
                <w:szCs w:val="20"/>
                <w:color w:val="auto"/>
              </w:rPr>
            </w:pPr>
            <w:r>
              <w:rPr>
                <w:rFonts w:ascii="Arial" w:cs="Arial" w:eastAsia="Arial" w:hAnsi="Arial"/>
                <w:sz w:val="13"/>
                <w:szCs w:val="13"/>
                <w:color w:val="auto"/>
              </w:rPr>
              <w:t xml:space="preserve">Hayden Avenue </w:t>
            </w:r>
            <w:r>
              <w:rPr>
                <w:rFonts w:ascii="Arial" w:cs="Arial" w:eastAsia="Arial" w:hAnsi="Arial"/>
                <w:sz w:val="16"/>
                <w:szCs w:val="16"/>
                <w:color w:val="auto"/>
                <w:vertAlign w:val="superscript"/>
              </w:rPr>
              <w:t>6</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Northwest MA</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55,924</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69.58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92 Hayden Avenue</w:t>
            </w:r>
          </w:p>
        </w:tc>
        <w:tc>
          <w:tcPr>
            <w:tcW w:w="1980" w:type="dxa"/>
            <w:vAlign w:val="bottom"/>
            <w:gridSpan w:val="2"/>
          </w:tcPr>
          <w:p>
            <w:pPr>
              <w:spacing w:after="0"/>
              <w:rPr>
                <w:sz w:val="20"/>
                <w:szCs w:val="20"/>
                <w:color w:val="auto"/>
              </w:rPr>
            </w:pPr>
            <w:r>
              <w:rPr>
                <w:rFonts w:ascii="Arial" w:cs="Arial" w:eastAsia="Arial" w:hAnsi="Arial"/>
                <w:sz w:val="13"/>
                <w:szCs w:val="13"/>
                <w:color w:val="auto"/>
              </w:rPr>
              <w:t>Route 128 Northwest MA</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31,100</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48.35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520" w:type="dxa"/>
            <w:vAlign w:val="bottom"/>
            <w:gridSpan w:val="2"/>
          </w:tcPr>
          <w:p>
            <w:pPr>
              <w:ind w:left="460"/>
              <w:spacing w:after="0"/>
              <w:rPr>
                <w:sz w:val="20"/>
                <w:szCs w:val="20"/>
                <w:color w:val="auto"/>
              </w:rPr>
            </w:pPr>
            <w:r>
              <w:rPr>
                <w:rFonts w:ascii="Arial" w:cs="Arial" w:eastAsia="Arial" w:hAnsi="Arial"/>
                <w:sz w:val="13"/>
                <w:szCs w:val="13"/>
                <w:color w:val="auto"/>
              </w:rPr>
              <w:t>Subtotal</w:t>
            </w: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23</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3,957,127</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81.5 %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83.9 %</w:t>
            </w:r>
          </w:p>
        </w:tc>
        <w:tc>
          <w:tcPr>
            <w:tcW w:w="240" w:type="dxa"/>
            <w:vAlign w:val="bottom"/>
          </w:tcPr>
          <w:p>
            <w:pPr>
              <w:spacing w:after="0"/>
              <w:rPr>
                <w:sz w:val="15"/>
                <w:szCs w:val="15"/>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60.56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3520" w:type="dxa"/>
            <w:vAlign w:val="bottom"/>
            <w:gridSpan w:val="2"/>
          </w:tcPr>
          <w:p>
            <w:pPr>
              <w:ind w:left="120"/>
              <w:spacing w:after="0"/>
              <w:rPr>
                <w:sz w:val="20"/>
                <w:szCs w:val="20"/>
                <w:color w:val="auto"/>
              </w:rPr>
            </w:pPr>
            <w:r>
              <w:rPr>
                <w:rFonts w:ascii="Arial" w:cs="Arial" w:eastAsia="Arial" w:hAnsi="Arial"/>
                <w:sz w:val="14"/>
                <w:szCs w:val="14"/>
                <w:b w:val="1"/>
                <w:bCs w:val="1"/>
                <w:i w:val="1"/>
                <w:iCs w:val="1"/>
                <w:color w:val="auto"/>
              </w:rPr>
              <w:t>NEW YORK</w:t>
            </w:r>
          </w:p>
        </w:tc>
        <w:tc>
          <w:tcPr>
            <w:tcW w:w="1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80" w:type="dxa"/>
            <w:vAlign w:val="bottom"/>
          </w:tcPr>
          <w:p>
            <w:pPr>
              <w:ind w:left="120"/>
              <w:spacing w:after="0"/>
              <w:rPr>
                <w:sz w:val="20"/>
                <w:szCs w:val="20"/>
                <w:color w:val="auto"/>
              </w:rPr>
            </w:pPr>
            <w:r>
              <w:rPr>
                <w:rFonts w:ascii="Arial" w:cs="Arial" w:eastAsia="Arial" w:hAnsi="Arial"/>
                <w:sz w:val="13"/>
                <w:szCs w:val="13"/>
                <w:color w:val="auto"/>
                <w:w w:val="99"/>
              </w:rPr>
              <w:t>Office</w:t>
            </w:r>
          </w:p>
        </w:tc>
        <w:tc>
          <w:tcPr>
            <w:tcW w:w="30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510</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234,160</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74.9 %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95.0 %</w:t>
            </w:r>
          </w:p>
        </w:tc>
        <w:tc>
          <w:tcPr>
            <w:tcW w:w="24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40.71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20" w:type="dxa"/>
            <w:vAlign w:val="bottom"/>
            <w:gridSpan w:val="2"/>
          </w:tcPr>
          <w:p>
            <w:pPr>
              <w:ind w:left="240"/>
              <w:spacing w:after="0"/>
              <w:rPr>
                <w:sz w:val="20"/>
                <w:szCs w:val="20"/>
                <w:color w:val="auto"/>
              </w:rPr>
            </w:pPr>
            <w:r>
              <w:rPr>
                <w:rFonts w:ascii="Arial" w:cs="Arial" w:eastAsia="Arial" w:hAnsi="Arial"/>
                <w:sz w:val="13"/>
                <w:szCs w:val="13"/>
                <w:color w:val="auto"/>
              </w:rPr>
              <w:t>206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161,763</w:t>
            </w:r>
          </w:p>
        </w:tc>
        <w:tc>
          <w:tcPr>
            <w:tcW w:w="16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 %</w:t>
            </w: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210</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159,468</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66.3 %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66.3 %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39.16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212</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151,035</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75.9 %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82.6 %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36.41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214</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146,799</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64.2 %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66.4 %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38.03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506</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139,050</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95.1 %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95.1 %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41.72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508</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134,433</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44.87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202</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134,067</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66.5 %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76.3 %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36.75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804</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130,000</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44.06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101</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122,791</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82.3 %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82.3 %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36.55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504</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121,990</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35.68</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502</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121,460</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98.6 %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98.6 %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39.80</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0" w:type="dxa"/>
            <w:vAlign w:val="bottom"/>
          </w:tcPr>
          <w:p>
            <w:pPr>
              <w:ind w:left="240"/>
              <w:spacing w:after="0"/>
              <w:rPr>
                <w:sz w:val="20"/>
                <w:szCs w:val="20"/>
                <w:color w:val="auto"/>
              </w:rPr>
            </w:pPr>
            <w:r>
              <w:rPr>
                <w:rFonts w:ascii="Arial" w:cs="Arial" w:eastAsia="Arial" w:hAnsi="Arial"/>
                <w:sz w:val="13"/>
                <w:szCs w:val="13"/>
                <w:color w:val="auto"/>
              </w:rPr>
              <w:t>701</w:t>
            </w:r>
          </w:p>
        </w:tc>
        <w:tc>
          <w:tcPr>
            <w:tcW w:w="3040" w:type="dxa"/>
            <w:vAlign w:val="bottom"/>
          </w:tcPr>
          <w:p>
            <w:pPr>
              <w:ind w:left="20"/>
              <w:spacing w:after="0"/>
              <w:rPr>
                <w:sz w:val="20"/>
                <w:szCs w:val="20"/>
                <w:color w:val="auto"/>
              </w:rPr>
            </w:pPr>
            <w:r>
              <w:rPr>
                <w:rFonts w:ascii="Arial" w:cs="Arial" w:eastAsia="Arial" w:hAnsi="Arial"/>
                <w:sz w:val="13"/>
                <w:szCs w:val="13"/>
                <w:color w:val="auto"/>
              </w:rPr>
              <w:t>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120,000</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35.82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20"/>
          </w:cols>
          <w:pgMar w:left="340" w:top="279" w:right="339" w:bottom="1440" w:gutter="0" w:footer="0" w:header="0"/>
        </w:sectPr>
      </w:pPr>
    </w:p>
    <w:bookmarkStart w:id="31" w:name="page32"/>
    <w:bookmarkEnd w:id="31"/>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In-service property listing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3400" w:type="dxa"/>
            <w:vAlign w:val="bottom"/>
          </w:tcPr>
          <w:p>
            <w:pPr>
              <w:spacing w:after="0"/>
              <w:rPr>
                <w:sz w:val="20"/>
                <w:szCs w:val="20"/>
                <w:color w:val="auto"/>
              </w:rPr>
            </w:pPr>
            <w:r>
              <w:rPr>
                <w:rFonts w:ascii="Arial" w:cs="Arial" w:eastAsia="Arial" w:hAnsi="Arial"/>
                <w:sz w:val="13"/>
                <w:szCs w:val="13"/>
                <w:color w:val="auto"/>
              </w:rPr>
              <w:t>as of September 30, 2026</w:t>
            </w:r>
          </w:p>
        </w:tc>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8"/>
              </w:rPr>
              <w:t>Number of</w:t>
            </w: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Annualized Rental</w:t>
            </w: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1840" w:type="dxa"/>
            <w:vAlign w:val="bottom"/>
            <w:vMerge w:val="restart"/>
          </w:tcPr>
          <w:p>
            <w:pPr>
              <w:spacing w:after="0"/>
              <w:rPr>
                <w:sz w:val="20"/>
                <w:szCs w:val="20"/>
                <w:color w:val="auto"/>
              </w:rPr>
            </w:pPr>
            <w:r>
              <w:rPr>
                <w:rFonts w:ascii="Arial" w:cs="Arial" w:eastAsia="Arial" w:hAnsi="Arial"/>
                <w:sz w:val="13"/>
                <w:szCs w:val="13"/>
                <w:b w:val="1"/>
                <w:bCs w:val="1"/>
                <w:color w:val="auto"/>
              </w:rPr>
              <w:t>Sub Market</w:t>
            </w:r>
          </w:p>
        </w:tc>
        <w:tc>
          <w:tcPr>
            <w:tcW w:w="140" w:type="dxa"/>
            <w:vAlign w:val="bottom"/>
            <w:vMerge w:val="restart"/>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6"/>
              </w:rPr>
              <w:t>Square Feet</w:t>
            </w:r>
          </w:p>
        </w:tc>
        <w:tc>
          <w:tcPr>
            <w:tcW w:w="160" w:type="dxa"/>
            <w:vAlign w:val="bottom"/>
            <w:vMerge w:val="restart"/>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xml:space="preserve">Occupied % </w:t>
            </w:r>
            <w:r>
              <w:rPr>
                <w:rFonts w:ascii="Arial" w:cs="Arial" w:eastAsia="Arial" w:hAnsi="Arial"/>
                <w:sz w:val="16"/>
                <w:szCs w:val="16"/>
                <w:b w:val="1"/>
                <w:bCs w:val="1"/>
                <w:color w:val="auto"/>
                <w:vertAlign w:val="superscript"/>
              </w:rPr>
              <w:t>1</w:t>
            </w:r>
          </w:p>
        </w:tc>
        <w:tc>
          <w:tcPr>
            <w:tcW w:w="240" w:type="dxa"/>
            <w:vAlign w:val="bottom"/>
            <w:vMerge w:val="restart"/>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 xml:space="preserve">Leased % </w:t>
            </w:r>
            <w:r>
              <w:rPr>
                <w:rFonts w:ascii="Arial" w:cs="Arial" w:eastAsia="Arial" w:hAnsi="Arial"/>
                <w:sz w:val="16"/>
                <w:szCs w:val="16"/>
                <w:b w:val="1"/>
                <w:bCs w:val="1"/>
                <w:color w:val="auto"/>
                <w:vertAlign w:val="superscript"/>
              </w:rPr>
              <w:t>2</w:t>
            </w:r>
          </w:p>
        </w:tc>
        <w:tc>
          <w:tcPr>
            <w:tcW w:w="24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w w:val="99"/>
              </w:rPr>
              <w:t>Obligations Per</w:t>
            </w: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Buildings</w:t>
            </w:r>
          </w:p>
        </w:tc>
        <w:tc>
          <w:tcPr>
            <w:tcW w:w="160" w:type="dxa"/>
            <w:vAlign w:val="bottom"/>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xml:space="preserve">Occupied SF </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168"/>
        </w:trPr>
        <w:tc>
          <w:tcPr>
            <w:tcW w:w="3400" w:type="dxa"/>
            <w:vAlign w:val="bottom"/>
          </w:tcPr>
          <w:p>
            <w:pPr>
              <w:ind w:left="120"/>
              <w:spacing w:after="0"/>
              <w:rPr>
                <w:sz w:val="20"/>
                <w:szCs w:val="20"/>
                <w:color w:val="auto"/>
              </w:rPr>
            </w:pPr>
            <w:r>
              <w:rPr>
                <w:rFonts w:ascii="Arial" w:cs="Arial" w:eastAsia="Arial" w:hAnsi="Arial"/>
                <w:sz w:val="13"/>
                <w:szCs w:val="13"/>
                <w:color w:val="auto"/>
              </w:rPr>
              <w:t>104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101,969</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73.4 %</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73.4 %</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38.99</w:t>
            </w:r>
          </w:p>
        </w:tc>
        <w:tc>
          <w:tcPr>
            <w:tcW w:w="0" w:type="dxa"/>
            <w:vAlign w:val="bottom"/>
          </w:tcPr>
          <w:p>
            <w:pPr>
              <w:spacing w:after="0"/>
              <w:rPr>
                <w:sz w:val="1"/>
                <w:szCs w:val="1"/>
                <w:color w:val="auto"/>
              </w:rPr>
            </w:pPr>
          </w:p>
        </w:tc>
      </w:tr>
      <w:tr>
        <w:trPr>
          <w:trHeight w:val="189"/>
        </w:trPr>
        <w:tc>
          <w:tcPr>
            <w:tcW w:w="3400" w:type="dxa"/>
            <w:vAlign w:val="bottom"/>
          </w:tcPr>
          <w:p>
            <w:pPr>
              <w:ind w:left="120"/>
              <w:spacing w:after="0"/>
              <w:rPr>
                <w:sz w:val="20"/>
                <w:szCs w:val="20"/>
                <w:color w:val="auto"/>
              </w:rPr>
            </w:pPr>
            <w:r>
              <w:rPr>
                <w:rFonts w:ascii="Arial" w:cs="Arial" w:eastAsia="Arial" w:hAnsi="Arial"/>
                <w:sz w:val="13"/>
                <w:szCs w:val="13"/>
                <w:color w:val="auto"/>
              </w:rPr>
              <w:t>103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96,322</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71.4 %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71.4 %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38.23</w:t>
            </w:r>
          </w:p>
        </w:tc>
        <w:tc>
          <w:tcPr>
            <w:tcW w:w="0" w:type="dxa"/>
            <w:vAlign w:val="bottom"/>
          </w:tcPr>
          <w:p>
            <w:pPr>
              <w:spacing w:after="0"/>
              <w:rPr>
                <w:sz w:val="1"/>
                <w:szCs w:val="1"/>
                <w:color w:val="auto"/>
              </w:rPr>
            </w:pPr>
          </w:p>
        </w:tc>
      </w:tr>
      <w:tr>
        <w:trPr>
          <w:trHeight w:val="189"/>
        </w:trPr>
        <w:tc>
          <w:tcPr>
            <w:tcW w:w="3400" w:type="dxa"/>
            <w:vAlign w:val="bottom"/>
          </w:tcPr>
          <w:p>
            <w:pPr>
              <w:ind w:left="120"/>
              <w:spacing w:after="0"/>
              <w:rPr>
                <w:sz w:val="20"/>
                <w:szCs w:val="20"/>
                <w:color w:val="auto"/>
              </w:rPr>
            </w:pPr>
            <w:r>
              <w:rPr>
                <w:rFonts w:ascii="Arial" w:cs="Arial" w:eastAsia="Arial" w:hAnsi="Arial"/>
                <w:sz w:val="13"/>
                <w:szCs w:val="13"/>
                <w:color w:val="auto"/>
              </w:rPr>
              <w:t>302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64,926</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37.24</w:t>
            </w:r>
          </w:p>
        </w:tc>
        <w:tc>
          <w:tcPr>
            <w:tcW w:w="0" w:type="dxa"/>
            <w:vAlign w:val="bottom"/>
          </w:tcPr>
          <w:p>
            <w:pPr>
              <w:spacing w:after="0"/>
              <w:rPr>
                <w:sz w:val="1"/>
                <w:szCs w:val="1"/>
                <w:color w:val="auto"/>
              </w:rPr>
            </w:pPr>
          </w:p>
        </w:tc>
      </w:tr>
      <w:tr>
        <w:trPr>
          <w:trHeight w:val="189"/>
        </w:trPr>
        <w:tc>
          <w:tcPr>
            <w:tcW w:w="3400" w:type="dxa"/>
            <w:vAlign w:val="bottom"/>
          </w:tcPr>
          <w:p>
            <w:pPr>
              <w:ind w:left="120"/>
              <w:spacing w:after="0"/>
              <w:rPr>
                <w:sz w:val="20"/>
                <w:szCs w:val="20"/>
                <w:color w:val="auto"/>
              </w:rPr>
            </w:pPr>
            <w:r>
              <w:rPr>
                <w:rFonts w:ascii="Arial" w:cs="Arial" w:eastAsia="Arial" w:hAnsi="Arial"/>
                <w:sz w:val="13"/>
                <w:szCs w:val="13"/>
                <w:color w:val="auto"/>
              </w:rPr>
              <w:t>211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760" w:type="dxa"/>
            <w:vAlign w:val="bottom"/>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47,025</w:t>
            </w:r>
          </w:p>
        </w:tc>
        <w:tc>
          <w:tcPr>
            <w:tcW w:w="160" w:type="dxa"/>
            <w:vAlign w:val="bottom"/>
          </w:tcPr>
          <w:p>
            <w:pPr>
              <w:spacing w:after="0"/>
              <w:rPr>
                <w:sz w:val="16"/>
                <w:szCs w:val="16"/>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color w:val="auto"/>
              </w:rPr>
              <w:t>— %</w:t>
            </w:r>
          </w:p>
        </w:tc>
        <w:tc>
          <w:tcPr>
            <w:tcW w:w="1160" w:type="dxa"/>
            <w:vAlign w:val="bottom"/>
            <w:gridSpan w:val="2"/>
          </w:tcPr>
          <w:p>
            <w:pPr>
              <w:jc w:val="right"/>
              <w:ind w:right="260"/>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3400" w:type="dxa"/>
            <w:vAlign w:val="bottom"/>
          </w:tcPr>
          <w:p>
            <w:pPr>
              <w:ind w:left="120"/>
              <w:spacing w:after="0"/>
              <w:rPr>
                <w:sz w:val="20"/>
                <w:szCs w:val="20"/>
                <w:color w:val="auto"/>
              </w:rPr>
            </w:pPr>
            <w:r>
              <w:rPr>
                <w:rFonts w:ascii="Arial" w:cs="Arial" w:eastAsia="Arial" w:hAnsi="Arial"/>
                <w:sz w:val="13"/>
                <w:szCs w:val="13"/>
                <w:color w:val="auto"/>
              </w:rPr>
              <w:t>201 Carnegie Center</w:t>
            </w:r>
          </w:p>
        </w:tc>
        <w:tc>
          <w:tcPr>
            <w:tcW w:w="1980" w:type="dxa"/>
            <w:vAlign w:val="bottom"/>
            <w:gridSpan w:val="2"/>
          </w:tcPr>
          <w:p>
            <w:pPr>
              <w:spacing w:after="0"/>
              <w:rPr>
                <w:sz w:val="20"/>
                <w:szCs w:val="20"/>
                <w:color w:val="auto"/>
              </w:rPr>
            </w:pPr>
            <w:r>
              <w:rPr>
                <w:rFonts w:ascii="Arial" w:cs="Arial" w:eastAsia="Arial" w:hAnsi="Arial"/>
                <w:sz w:val="13"/>
                <w:szCs w:val="13"/>
                <w:color w:val="auto"/>
              </w:rPr>
              <w:t>Princeton NJ</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color w:val="auto"/>
                <w:w w:val="91"/>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6,500</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100.0 %</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35.76</w:t>
            </w:r>
          </w:p>
        </w:tc>
        <w:tc>
          <w:tcPr>
            <w:tcW w:w="0" w:type="dxa"/>
            <w:vAlign w:val="bottom"/>
          </w:tcPr>
          <w:p>
            <w:pPr>
              <w:spacing w:after="0"/>
              <w:rPr>
                <w:sz w:val="1"/>
                <w:szCs w:val="1"/>
                <w:color w:val="auto"/>
              </w:rPr>
            </w:pPr>
          </w:p>
        </w:tc>
      </w:tr>
      <w:tr>
        <w:trPr>
          <w:trHeight w:val="183"/>
        </w:trPr>
        <w:tc>
          <w:tcPr>
            <w:tcW w:w="3400" w:type="dxa"/>
            <w:vAlign w:val="bottom"/>
          </w:tcPr>
          <w:p>
            <w:pPr>
              <w:ind w:left="460"/>
              <w:spacing w:after="0"/>
              <w:rPr>
                <w:sz w:val="20"/>
                <w:szCs w:val="20"/>
                <w:color w:val="auto"/>
              </w:rPr>
            </w:pPr>
            <w:r>
              <w:rPr>
                <w:rFonts w:ascii="Arial" w:cs="Arial" w:eastAsia="Arial" w:hAnsi="Arial"/>
                <w:sz w:val="13"/>
                <w:szCs w:val="13"/>
                <w:color w:val="auto"/>
              </w:rPr>
              <w:t>Subtotal</w:t>
            </w:r>
          </w:p>
        </w:tc>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6"/>
              </w:rPr>
              <w:t>17</w:t>
            </w:r>
          </w:p>
        </w:tc>
        <w:tc>
          <w:tcPr>
            <w:tcW w:w="160" w:type="dxa"/>
            <w:vAlign w:val="bottom"/>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2,193,758</w:t>
            </w:r>
          </w:p>
        </w:tc>
        <w:tc>
          <w:tcPr>
            <w:tcW w:w="160" w:type="dxa"/>
            <w:vAlign w:val="bottom"/>
          </w:tcPr>
          <w:p>
            <w:pPr>
              <w:spacing w:after="0"/>
              <w:rPr>
                <w:sz w:val="15"/>
                <w:szCs w:val="15"/>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75.4 %</w:t>
            </w:r>
          </w:p>
        </w:tc>
        <w:tc>
          <w:tcPr>
            <w:tcW w:w="240" w:type="dxa"/>
            <w:vAlign w:val="bottom"/>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78.7 %</w:t>
            </w:r>
          </w:p>
        </w:tc>
        <w:tc>
          <w:tcPr>
            <w:tcW w:w="2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39.26</w:t>
            </w: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SAN FRANCISCO</w:t>
      </w:r>
    </w:p>
    <w:p>
      <w:pPr>
        <w:spacing w:after="0" w:line="58"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2620" w:type="dxa"/>
            <w:vAlign w:val="bottom"/>
          </w:tcPr>
          <w:p>
            <w:pPr>
              <w:spacing w:after="0"/>
              <w:rPr>
                <w:sz w:val="20"/>
                <w:szCs w:val="20"/>
                <w:color w:val="auto"/>
              </w:rPr>
            </w:pPr>
            <w:r>
              <w:rPr>
                <w:rFonts w:ascii="Arial" w:cs="Arial" w:eastAsia="Arial" w:hAnsi="Arial"/>
                <w:sz w:val="13"/>
                <w:szCs w:val="13"/>
                <w:color w:val="auto"/>
              </w:rPr>
              <w:t>Office</w:t>
            </w:r>
          </w:p>
        </w:tc>
        <w:tc>
          <w:tcPr>
            <w:tcW w:w="2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9"/>
        </w:trPr>
        <w:tc>
          <w:tcPr>
            <w:tcW w:w="2620" w:type="dxa"/>
            <w:vAlign w:val="bottom"/>
          </w:tcPr>
          <w:p>
            <w:pPr>
              <w:ind w:left="120"/>
              <w:spacing w:after="0"/>
              <w:rPr>
                <w:sz w:val="20"/>
                <w:szCs w:val="20"/>
                <w:color w:val="auto"/>
              </w:rPr>
            </w:pPr>
            <w:r>
              <w:rPr>
                <w:rFonts w:ascii="Arial" w:cs="Arial" w:eastAsia="Arial" w:hAnsi="Arial"/>
                <w:sz w:val="13"/>
                <w:szCs w:val="13"/>
                <w:color w:val="auto"/>
              </w:rPr>
              <w:t>Mountain View Research Park</w:t>
            </w:r>
          </w:p>
        </w:tc>
        <w:tc>
          <w:tcPr>
            <w:tcW w:w="2760" w:type="dxa"/>
            <w:vAlign w:val="bottom"/>
          </w:tcPr>
          <w:p>
            <w:pPr>
              <w:ind w:left="780"/>
              <w:spacing w:after="0"/>
              <w:rPr>
                <w:sz w:val="20"/>
                <w:szCs w:val="20"/>
                <w:color w:val="auto"/>
              </w:rPr>
            </w:pPr>
            <w:r>
              <w:rPr>
                <w:rFonts w:ascii="Arial" w:cs="Arial" w:eastAsia="Arial" w:hAnsi="Arial"/>
                <w:sz w:val="13"/>
                <w:szCs w:val="13"/>
                <w:color w:val="auto"/>
              </w:rPr>
              <w:t>Mountain View CA</w:t>
            </w:r>
          </w:p>
        </w:tc>
        <w:tc>
          <w:tcPr>
            <w:tcW w:w="760" w:type="dxa"/>
            <w:vAlign w:val="bottom"/>
          </w:tcPr>
          <w:p>
            <w:pPr>
              <w:jc w:val="center"/>
              <w:spacing w:after="0"/>
              <w:rPr>
                <w:sz w:val="20"/>
                <w:szCs w:val="20"/>
                <w:color w:val="auto"/>
              </w:rPr>
            </w:pPr>
            <w:r>
              <w:rPr>
                <w:rFonts w:ascii="Arial" w:cs="Arial" w:eastAsia="Arial" w:hAnsi="Arial"/>
                <w:sz w:val="13"/>
                <w:szCs w:val="13"/>
                <w:color w:val="auto"/>
                <w:w w:val="96"/>
              </w:rPr>
              <w:t>16</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571,884</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58.9 %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68.3 %</w:t>
            </w:r>
          </w:p>
        </w:tc>
        <w:tc>
          <w:tcPr>
            <w:tcW w:w="240" w:type="dxa"/>
            <w:vAlign w:val="bottom"/>
          </w:tcPr>
          <w:p>
            <w:pPr>
              <w:spacing w:after="0"/>
              <w:rPr>
                <w:sz w:val="16"/>
                <w:szCs w:val="16"/>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63.56</w:t>
            </w:r>
          </w:p>
        </w:tc>
      </w:tr>
      <w:tr>
        <w:trPr>
          <w:trHeight w:val="197"/>
        </w:trPr>
        <w:tc>
          <w:tcPr>
            <w:tcW w:w="2620" w:type="dxa"/>
            <w:vAlign w:val="bottom"/>
          </w:tcPr>
          <w:p>
            <w:pPr>
              <w:ind w:left="120"/>
              <w:spacing w:after="0"/>
              <w:rPr>
                <w:sz w:val="20"/>
                <w:szCs w:val="20"/>
                <w:color w:val="auto"/>
              </w:rPr>
            </w:pPr>
            <w:r>
              <w:rPr>
                <w:rFonts w:ascii="Arial" w:cs="Arial" w:eastAsia="Arial" w:hAnsi="Arial"/>
                <w:sz w:val="13"/>
                <w:szCs w:val="13"/>
                <w:color w:val="auto"/>
              </w:rPr>
              <w:t>2440 West El Camino Real</w:t>
            </w:r>
          </w:p>
        </w:tc>
        <w:tc>
          <w:tcPr>
            <w:tcW w:w="2760" w:type="dxa"/>
            <w:vAlign w:val="bottom"/>
          </w:tcPr>
          <w:p>
            <w:pPr>
              <w:ind w:left="780"/>
              <w:spacing w:after="0"/>
              <w:rPr>
                <w:sz w:val="20"/>
                <w:szCs w:val="20"/>
                <w:color w:val="auto"/>
              </w:rPr>
            </w:pPr>
            <w:r>
              <w:rPr>
                <w:rFonts w:ascii="Arial" w:cs="Arial" w:eastAsia="Arial" w:hAnsi="Arial"/>
                <w:sz w:val="13"/>
                <w:szCs w:val="13"/>
                <w:color w:val="auto"/>
              </w:rPr>
              <w:t>Mountain View CA</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142,711</w:t>
            </w:r>
          </w:p>
        </w:tc>
        <w:tc>
          <w:tcPr>
            <w:tcW w:w="160" w:type="dxa"/>
            <w:vAlign w:val="bottom"/>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51.6 %</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51.6 %</w:t>
            </w:r>
          </w:p>
        </w:tc>
        <w:tc>
          <w:tcPr>
            <w:tcW w:w="2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61.86</w:t>
            </w:r>
          </w:p>
        </w:tc>
      </w:tr>
      <w:tr>
        <w:trPr>
          <w:trHeight w:val="183"/>
        </w:trPr>
        <w:tc>
          <w:tcPr>
            <w:tcW w:w="262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76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17</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714,595</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57.4 %</w:t>
            </w:r>
          </w:p>
        </w:tc>
        <w:tc>
          <w:tcPr>
            <w:tcW w:w="2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64.9 %</w:t>
            </w:r>
          </w:p>
        </w:tc>
        <w:tc>
          <w:tcPr>
            <w:tcW w:w="240" w:type="dxa"/>
            <w:vAlign w:val="bottom"/>
          </w:tcPr>
          <w:p>
            <w:pPr>
              <w:spacing w:after="0"/>
              <w:rPr>
                <w:sz w:val="15"/>
                <w:szCs w:val="15"/>
                <w:color w:val="auto"/>
              </w:rPr>
            </w:pPr>
          </w:p>
        </w:tc>
        <w:tc>
          <w:tcPr>
            <w:tcW w:w="4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63.25</w:t>
            </w:r>
          </w:p>
        </w:tc>
      </w:tr>
    </w:tbl>
    <w:p>
      <w:pPr>
        <w:spacing w:after="0" w:line="236"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WASHINGTON, DC</w:t>
      </w:r>
    </w:p>
    <w:p>
      <w:pPr>
        <w:spacing w:after="0" w:line="58"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3000" w:type="dxa"/>
            <w:vAlign w:val="bottom"/>
          </w:tcPr>
          <w:p>
            <w:pPr>
              <w:spacing w:after="0"/>
              <w:rPr>
                <w:sz w:val="20"/>
                <w:szCs w:val="20"/>
                <w:color w:val="auto"/>
              </w:rPr>
            </w:pPr>
            <w:r>
              <w:rPr>
                <w:rFonts w:ascii="Arial" w:cs="Arial" w:eastAsia="Arial" w:hAnsi="Arial"/>
                <w:sz w:val="13"/>
                <w:szCs w:val="13"/>
                <w:color w:val="auto"/>
              </w:rPr>
              <w:t>Office</w:t>
            </w:r>
          </w:p>
        </w:tc>
        <w:tc>
          <w:tcPr>
            <w:tcW w:w="2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000" w:type="dxa"/>
            <w:vAlign w:val="bottom"/>
          </w:tcPr>
          <w:p>
            <w:pPr>
              <w:ind w:left="120"/>
              <w:spacing w:after="0"/>
              <w:rPr>
                <w:sz w:val="20"/>
                <w:szCs w:val="20"/>
                <w:color w:val="auto"/>
              </w:rPr>
            </w:pPr>
            <w:r>
              <w:rPr>
                <w:rFonts w:ascii="Arial" w:cs="Arial" w:eastAsia="Arial" w:hAnsi="Arial"/>
                <w:sz w:val="13"/>
                <w:szCs w:val="13"/>
                <w:color w:val="auto"/>
              </w:rPr>
              <w:t>Kingstowne Two</w:t>
            </w:r>
          </w:p>
        </w:tc>
        <w:tc>
          <w:tcPr>
            <w:tcW w:w="2380" w:type="dxa"/>
            <w:vAlign w:val="bottom"/>
          </w:tcPr>
          <w:p>
            <w:pPr>
              <w:ind w:left="400"/>
              <w:spacing w:after="0"/>
              <w:rPr>
                <w:sz w:val="20"/>
                <w:szCs w:val="20"/>
                <w:color w:val="auto"/>
              </w:rPr>
            </w:pPr>
            <w:r>
              <w:rPr>
                <w:rFonts w:ascii="Arial" w:cs="Arial" w:eastAsia="Arial" w:hAnsi="Arial"/>
                <w:sz w:val="13"/>
                <w:szCs w:val="13"/>
                <w:color w:val="auto"/>
              </w:rPr>
              <w:t>Springfield VA</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157,174</w:t>
            </w:r>
          </w:p>
        </w:tc>
        <w:tc>
          <w:tcPr>
            <w:tcW w:w="160" w:type="dxa"/>
            <w:vAlign w:val="bottom"/>
          </w:tcPr>
          <w:p>
            <w:pPr>
              <w:spacing w:after="0"/>
              <w:rPr>
                <w:sz w:val="17"/>
                <w:szCs w:val="17"/>
                <w:color w:val="auto"/>
              </w:rPr>
            </w:pPr>
          </w:p>
        </w:tc>
        <w:tc>
          <w:tcPr>
            <w:tcW w:w="108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w w:val="93"/>
              </w:rPr>
              <w:t>52.8 %</w:t>
            </w:r>
          </w:p>
        </w:tc>
        <w:tc>
          <w:tcPr>
            <w:tcW w:w="240" w:type="dxa"/>
            <w:vAlign w:val="bottom"/>
          </w:tcPr>
          <w:p>
            <w:pPr>
              <w:spacing w:after="0"/>
              <w:rPr>
                <w:sz w:val="17"/>
                <w:szCs w:val="17"/>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w w:val="93"/>
              </w:rPr>
              <w:t>72.1 %</w:t>
            </w:r>
          </w:p>
        </w:tc>
        <w:tc>
          <w:tcPr>
            <w:tcW w:w="240" w:type="dxa"/>
            <w:vAlign w:val="bottom"/>
          </w:tcPr>
          <w:p>
            <w:pPr>
              <w:spacing w:after="0"/>
              <w:rPr>
                <w:sz w:val="17"/>
                <w:szCs w:val="17"/>
                <w:color w:val="auto"/>
              </w:rPr>
            </w:pPr>
          </w:p>
        </w:tc>
        <w:tc>
          <w:tcPr>
            <w:tcW w:w="4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00" w:type="dxa"/>
            <w:vAlign w:val="bottom"/>
          </w:tcPr>
          <w:p>
            <w:pPr>
              <w:ind w:left="460"/>
              <w:spacing w:after="0"/>
              <w:rPr>
                <w:sz w:val="20"/>
                <w:szCs w:val="20"/>
                <w:color w:val="auto"/>
              </w:rPr>
            </w:pPr>
            <w:r>
              <w:rPr>
                <w:rFonts w:ascii="Arial" w:cs="Arial" w:eastAsia="Arial" w:hAnsi="Arial"/>
                <w:sz w:val="13"/>
                <w:szCs w:val="13"/>
                <w:color w:val="auto"/>
              </w:rPr>
              <w:t>Subtotal</w:t>
            </w:r>
          </w:p>
        </w:tc>
        <w:tc>
          <w:tcPr>
            <w:tcW w:w="238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w:t>
            </w:r>
          </w:p>
        </w:tc>
        <w:tc>
          <w:tcPr>
            <w:tcW w:w="16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157,174</w:t>
            </w:r>
          </w:p>
        </w:tc>
        <w:tc>
          <w:tcPr>
            <w:tcW w:w="160" w:type="dxa"/>
            <w:vAlign w:val="bottom"/>
          </w:tcPr>
          <w:p>
            <w:pPr>
              <w:spacing w:after="0"/>
              <w:rPr>
                <w:sz w:val="15"/>
                <w:szCs w:val="15"/>
                <w:color w:val="auto"/>
              </w:rPr>
            </w:pPr>
          </w:p>
        </w:tc>
        <w:tc>
          <w:tcPr>
            <w:tcW w:w="108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w w:val="93"/>
              </w:rPr>
              <w:t>52.8 %</w:t>
            </w:r>
          </w:p>
        </w:tc>
        <w:tc>
          <w:tcPr>
            <w:tcW w:w="240" w:type="dxa"/>
            <w:vAlign w:val="bottom"/>
          </w:tcPr>
          <w:p>
            <w:pPr>
              <w:spacing w:after="0"/>
              <w:rPr>
                <w:sz w:val="15"/>
                <w:szCs w:val="15"/>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w w:val="93"/>
              </w:rPr>
              <w:t>72.1 %</w:t>
            </w:r>
          </w:p>
        </w:tc>
        <w:tc>
          <w:tcPr>
            <w:tcW w:w="240" w:type="dxa"/>
            <w:vAlign w:val="bottom"/>
          </w:tcPr>
          <w:p>
            <w:pPr>
              <w:spacing w:after="0"/>
              <w:rPr>
                <w:sz w:val="15"/>
                <w:szCs w:val="15"/>
                <w:color w:val="auto"/>
              </w:rPr>
            </w:pPr>
          </w:p>
        </w:tc>
        <w:tc>
          <w:tcPr>
            <w:tcW w:w="4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37.76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8"/>
        </w:trPr>
        <w:tc>
          <w:tcPr>
            <w:tcW w:w="3000" w:type="dxa"/>
            <w:vAlign w:val="bottom"/>
          </w:tcPr>
          <w:p>
            <w:pPr>
              <w:spacing w:after="0"/>
              <w:rPr>
                <w:sz w:val="24"/>
                <w:szCs w:val="24"/>
                <w:color w:val="auto"/>
              </w:rPr>
            </w:pPr>
          </w:p>
        </w:tc>
        <w:tc>
          <w:tcPr>
            <w:tcW w:w="2380" w:type="dxa"/>
            <w:vAlign w:val="bottom"/>
          </w:tcPr>
          <w:p>
            <w:pPr>
              <w:ind w:left="400"/>
              <w:spacing w:after="0"/>
              <w:rPr>
                <w:sz w:val="20"/>
                <w:szCs w:val="20"/>
                <w:color w:val="auto"/>
              </w:rPr>
            </w:pPr>
            <w:r>
              <w:rPr>
                <w:rFonts w:ascii="Arial" w:cs="Arial" w:eastAsia="Arial" w:hAnsi="Arial"/>
                <w:sz w:val="14"/>
                <w:szCs w:val="14"/>
                <w:b w:val="1"/>
                <w:bCs w:val="1"/>
                <w:i w:val="1"/>
                <w:iCs w:val="1"/>
                <w:color w:val="auto"/>
              </w:rPr>
              <w:t>Suburban Total</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6"/>
              </w:rPr>
              <w:t>58</w:t>
            </w:r>
          </w:p>
        </w:tc>
        <w:tc>
          <w:tcPr>
            <w:tcW w:w="16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7,022,654</w:t>
            </w:r>
          </w:p>
        </w:tc>
        <w:tc>
          <w:tcPr>
            <w:tcW w:w="160" w:type="dxa"/>
            <w:vAlign w:val="bottom"/>
          </w:tcPr>
          <w:p>
            <w:pPr>
              <w:spacing w:after="0"/>
              <w:rPr>
                <w:sz w:val="24"/>
                <w:szCs w:val="24"/>
                <w:color w:val="auto"/>
              </w:rPr>
            </w:pPr>
          </w:p>
        </w:tc>
        <w:tc>
          <w:tcPr>
            <w:tcW w:w="1080" w:type="dxa"/>
            <w:vAlign w:val="bottom"/>
          </w:tcPr>
          <w:p>
            <w:pPr>
              <w:ind w:left="680"/>
              <w:spacing w:after="0"/>
              <w:rPr>
                <w:sz w:val="20"/>
                <w:szCs w:val="20"/>
                <w:color w:val="auto"/>
              </w:rPr>
            </w:pPr>
            <w:r>
              <w:rPr>
                <w:rFonts w:ascii="Arial" w:cs="Arial" w:eastAsia="Arial" w:hAnsi="Arial"/>
                <w:sz w:val="13"/>
                <w:szCs w:val="13"/>
                <w:color w:val="auto"/>
                <w:w w:val="93"/>
              </w:rPr>
              <w:t>76.5 %</w:t>
            </w:r>
          </w:p>
        </w:tc>
        <w:tc>
          <w:tcPr>
            <w:tcW w:w="240" w:type="dxa"/>
            <w:vAlign w:val="bottom"/>
          </w:tcPr>
          <w:p>
            <w:pPr>
              <w:spacing w:after="0"/>
              <w:rPr>
                <w:sz w:val="24"/>
                <w:szCs w:val="24"/>
                <w:color w:val="auto"/>
              </w:rPr>
            </w:pPr>
          </w:p>
        </w:tc>
        <w:tc>
          <w:tcPr>
            <w:tcW w:w="920" w:type="dxa"/>
            <w:vAlign w:val="bottom"/>
          </w:tcPr>
          <w:p>
            <w:pPr>
              <w:ind w:left="520"/>
              <w:spacing w:after="0"/>
              <w:rPr>
                <w:sz w:val="20"/>
                <w:szCs w:val="20"/>
                <w:color w:val="auto"/>
              </w:rPr>
            </w:pPr>
            <w:r>
              <w:rPr>
                <w:rFonts w:ascii="Arial" w:cs="Arial" w:eastAsia="Arial" w:hAnsi="Arial"/>
                <w:sz w:val="13"/>
                <w:szCs w:val="13"/>
                <w:color w:val="auto"/>
                <w:w w:val="93"/>
              </w:rPr>
              <w:t>80.1 %</w:t>
            </w:r>
          </w:p>
        </w:tc>
        <w:tc>
          <w:tcPr>
            <w:tcW w:w="240" w:type="dxa"/>
            <w:vAlign w:val="bottom"/>
          </w:tcPr>
          <w:p>
            <w:pPr>
              <w:spacing w:after="0"/>
              <w:rPr>
                <w:sz w:val="24"/>
                <w:szCs w:val="24"/>
                <w:color w:val="auto"/>
              </w:rPr>
            </w:pP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53.87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2380" w:type="dxa"/>
            <w:vAlign w:val="bottom"/>
            <w:vMerge w:val="restart"/>
          </w:tcPr>
          <w:p>
            <w:pPr>
              <w:ind w:left="400"/>
              <w:spacing w:after="0"/>
              <w:rPr>
                <w:sz w:val="20"/>
                <w:szCs w:val="20"/>
                <w:color w:val="auto"/>
              </w:rPr>
            </w:pPr>
            <w:r>
              <w:rPr>
                <w:rFonts w:ascii="Arial" w:cs="Arial" w:eastAsia="Arial" w:hAnsi="Arial"/>
                <w:sz w:val="14"/>
                <w:szCs w:val="14"/>
                <w:b w:val="1"/>
                <w:bCs w:val="1"/>
                <w:i w:val="1"/>
                <w:iCs w:val="1"/>
                <w:color w:val="auto"/>
              </w:rPr>
              <w:t>BXP’s Share of Suburban</w:t>
            </w: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00"/>
        </w:trPr>
        <w:tc>
          <w:tcPr>
            <w:tcW w:w="300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Borders>
              <w:bottom w:val="single" w:sz="8" w:color="auto"/>
            </w:tcBorders>
          </w:tcPr>
          <w:p>
            <w:pPr>
              <w:ind w:left="680"/>
              <w:spacing w:after="0"/>
              <w:rPr>
                <w:sz w:val="20"/>
                <w:szCs w:val="20"/>
                <w:color w:val="auto"/>
              </w:rPr>
            </w:pPr>
            <w:r>
              <w:rPr>
                <w:rFonts w:ascii="Arial" w:cs="Arial" w:eastAsia="Arial" w:hAnsi="Arial"/>
                <w:sz w:val="13"/>
                <w:szCs w:val="13"/>
                <w:color w:val="auto"/>
                <w:w w:val="93"/>
              </w:rPr>
              <w:t>76.3 %</w:t>
            </w:r>
          </w:p>
        </w:tc>
        <w:tc>
          <w:tcPr>
            <w:tcW w:w="240" w:type="dxa"/>
            <w:vAlign w:val="bottom"/>
          </w:tcPr>
          <w:p>
            <w:pPr>
              <w:spacing w:after="0"/>
              <w:rPr>
                <w:sz w:val="24"/>
                <w:szCs w:val="24"/>
                <w:color w:val="auto"/>
              </w:rPr>
            </w:pPr>
          </w:p>
        </w:tc>
        <w:tc>
          <w:tcPr>
            <w:tcW w:w="92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w w:val="93"/>
              </w:rPr>
              <w:t>79.9 %</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000" w:type="dxa"/>
            <w:vAlign w:val="bottom"/>
          </w:tcPr>
          <w:p>
            <w:pPr>
              <w:ind w:left="120"/>
              <w:spacing w:after="0"/>
              <w:rPr>
                <w:sz w:val="20"/>
                <w:szCs w:val="20"/>
                <w:color w:val="auto"/>
              </w:rPr>
            </w:pPr>
            <w:r>
              <w:rPr>
                <w:rFonts w:ascii="Arial" w:cs="Arial" w:eastAsia="Arial" w:hAnsi="Arial"/>
                <w:sz w:val="13"/>
                <w:szCs w:val="13"/>
                <w:color w:val="auto"/>
              </w:rPr>
              <w:t>Total In-Service Properties:</w:t>
            </w:r>
          </w:p>
        </w:tc>
        <w:tc>
          <w:tcPr>
            <w:tcW w:w="2380" w:type="dxa"/>
            <w:vAlign w:val="bottom"/>
          </w:tcPr>
          <w:p>
            <w:pPr>
              <w:spacing w:after="0"/>
              <w:rPr>
                <w:sz w:val="24"/>
                <w:szCs w:val="2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156</w:t>
            </w:r>
          </w:p>
        </w:tc>
        <w:tc>
          <w:tcPr>
            <w:tcW w:w="160" w:type="dxa"/>
            <w:vAlign w:val="bottom"/>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47,073,222</w:t>
            </w:r>
          </w:p>
        </w:tc>
        <w:tc>
          <w:tcPr>
            <w:tcW w:w="160" w:type="dxa"/>
            <w:vAlign w:val="bottom"/>
          </w:tcPr>
          <w:p>
            <w:pPr>
              <w:spacing w:after="0"/>
              <w:rPr>
                <w:sz w:val="24"/>
                <w:szCs w:val="24"/>
                <w:color w:val="auto"/>
              </w:rPr>
            </w:pPr>
          </w:p>
        </w:tc>
        <w:tc>
          <w:tcPr>
            <w:tcW w:w="1320" w:type="dxa"/>
            <w:vAlign w:val="bottom"/>
            <w:gridSpan w:val="2"/>
          </w:tcPr>
          <w:p>
            <w:pPr>
              <w:ind w:left="680"/>
              <w:spacing w:after="0"/>
              <w:rPr>
                <w:sz w:val="20"/>
                <w:szCs w:val="20"/>
                <w:color w:val="auto"/>
              </w:rPr>
            </w:pPr>
            <w:r>
              <w:rPr>
                <w:rFonts w:ascii="Arial" w:cs="Arial" w:eastAsia="Arial" w:hAnsi="Arial"/>
                <w:sz w:val="13"/>
                <w:szCs w:val="13"/>
                <w:color w:val="auto"/>
              </w:rPr>
              <w:t xml:space="preserve">89.4 % </w:t>
            </w:r>
            <w:r>
              <w:rPr>
                <w:rFonts w:ascii="Arial" w:cs="Arial" w:eastAsia="Arial" w:hAnsi="Arial"/>
                <w:sz w:val="10"/>
                <w:szCs w:val="10"/>
                <w:color w:val="auto"/>
              </w:rPr>
              <w:t>8</w:t>
            </w:r>
          </w:p>
        </w:tc>
        <w:tc>
          <w:tcPr>
            <w:tcW w:w="1160" w:type="dxa"/>
            <w:vAlign w:val="bottom"/>
            <w:gridSpan w:val="2"/>
          </w:tcPr>
          <w:p>
            <w:pPr>
              <w:ind w:left="520"/>
              <w:spacing w:after="0"/>
              <w:rPr>
                <w:sz w:val="20"/>
                <w:szCs w:val="20"/>
                <w:color w:val="auto"/>
              </w:rPr>
            </w:pPr>
            <w:r>
              <w:rPr>
                <w:rFonts w:ascii="Arial" w:cs="Arial" w:eastAsia="Arial" w:hAnsi="Arial"/>
                <w:sz w:val="13"/>
                <w:szCs w:val="13"/>
                <w:color w:val="auto"/>
              </w:rPr>
              <w:t xml:space="preserve">91.9 % </w:t>
            </w:r>
            <w:r>
              <w:rPr>
                <w:rFonts w:ascii="Arial" w:cs="Arial" w:eastAsia="Arial" w:hAnsi="Arial"/>
                <w:sz w:val="10"/>
                <w:szCs w:val="10"/>
                <w:color w:val="auto"/>
              </w:rPr>
              <w:t>8</w:t>
            </w:r>
          </w:p>
        </w:tc>
        <w:tc>
          <w:tcPr>
            <w:tcW w:w="44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86.73</w:t>
            </w:r>
          </w:p>
        </w:tc>
        <w:tc>
          <w:tcPr>
            <w:tcW w:w="80" w:type="dxa"/>
            <w:vAlign w:val="bottom"/>
          </w:tcPr>
          <w:p>
            <w:pPr>
              <w:jc w:val="right"/>
              <w:spacing w:after="0"/>
              <w:rPr>
                <w:sz w:val="20"/>
                <w:szCs w:val="20"/>
                <w:color w:val="auto"/>
              </w:rPr>
            </w:pPr>
            <w:r>
              <w:rPr>
                <w:rFonts w:ascii="Arial" w:cs="Arial" w:eastAsia="Arial" w:hAnsi="Arial"/>
                <w:sz w:val="11"/>
                <w:szCs w:val="11"/>
                <w:color w:val="auto"/>
                <w:w w:val="97"/>
              </w:rPr>
              <w:t>8</w:t>
            </w:r>
          </w:p>
        </w:tc>
        <w:tc>
          <w:tcPr>
            <w:tcW w:w="0" w:type="dxa"/>
            <w:vAlign w:val="bottom"/>
          </w:tcPr>
          <w:p>
            <w:pPr>
              <w:spacing w:after="0"/>
              <w:rPr>
                <w:sz w:val="1"/>
                <w:szCs w:val="1"/>
                <w:color w:val="auto"/>
              </w:rPr>
            </w:pPr>
          </w:p>
        </w:tc>
      </w:tr>
      <w:tr>
        <w:trPr>
          <w:trHeight w:val="40"/>
        </w:trPr>
        <w:tc>
          <w:tcPr>
            <w:tcW w:w="3000" w:type="dxa"/>
            <w:vAlign w:val="bottom"/>
          </w:tcPr>
          <w:p>
            <w:pPr>
              <w:spacing w:after="0"/>
              <w:rPr>
                <w:sz w:val="3"/>
                <w:szCs w:val="3"/>
                <w:color w:val="auto"/>
              </w:rPr>
            </w:pPr>
          </w:p>
        </w:tc>
        <w:tc>
          <w:tcPr>
            <w:tcW w:w="23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9"/>
        </w:trPr>
        <w:tc>
          <w:tcPr>
            <w:tcW w:w="3000" w:type="dxa"/>
            <w:vAlign w:val="bottom"/>
          </w:tcPr>
          <w:p>
            <w:pPr>
              <w:ind w:left="120"/>
              <w:spacing w:after="0"/>
              <w:rPr>
                <w:sz w:val="20"/>
                <w:szCs w:val="20"/>
                <w:color w:val="auto"/>
              </w:rPr>
            </w:pPr>
            <w:r>
              <w:rPr>
                <w:rFonts w:ascii="Arial" w:cs="Arial" w:eastAsia="Arial" w:hAnsi="Arial"/>
                <w:sz w:val="13"/>
                <w:szCs w:val="13"/>
                <w:color w:val="auto"/>
              </w:rPr>
              <w:t xml:space="preserve">BXP’s Share of Total In-Service Properties: </w:t>
            </w:r>
            <w:r>
              <w:rPr>
                <w:rFonts w:ascii="Arial" w:cs="Arial" w:eastAsia="Arial" w:hAnsi="Arial"/>
                <w:sz w:val="16"/>
                <w:szCs w:val="16"/>
                <w:color w:val="auto"/>
                <w:vertAlign w:val="superscript"/>
              </w:rPr>
              <w:t>3</w:t>
            </w:r>
          </w:p>
        </w:tc>
        <w:tc>
          <w:tcPr>
            <w:tcW w:w="2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ind w:left="680"/>
              <w:spacing w:after="0"/>
              <w:rPr>
                <w:sz w:val="20"/>
                <w:szCs w:val="20"/>
                <w:color w:val="auto"/>
              </w:rPr>
            </w:pPr>
            <w:r>
              <w:rPr>
                <w:rFonts w:ascii="Arial" w:cs="Arial" w:eastAsia="Arial" w:hAnsi="Arial"/>
                <w:sz w:val="13"/>
                <w:szCs w:val="13"/>
                <w:color w:val="auto"/>
              </w:rPr>
              <w:t xml:space="preserve">89.7 % </w:t>
            </w:r>
            <w:r>
              <w:rPr>
                <w:rFonts w:ascii="Arial" w:cs="Arial" w:eastAsia="Arial" w:hAnsi="Arial"/>
                <w:sz w:val="10"/>
                <w:szCs w:val="10"/>
                <w:color w:val="auto"/>
              </w:rPr>
              <w:t>8</w:t>
            </w:r>
          </w:p>
        </w:tc>
        <w:tc>
          <w:tcPr>
            <w:tcW w:w="1160" w:type="dxa"/>
            <w:vAlign w:val="bottom"/>
            <w:gridSpan w:val="2"/>
          </w:tcPr>
          <w:p>
            <w:pPr>
              <w:ind w:left="520"/>
              <w:spacing w:after="0"/>
              <w:rPr>
                <w:sz w:val="20"/>
                <w:szCs w:val="20"/>
                <w:color w:val="auto"/>
              </w:rPr>
            </w:pPr>
            <w:r>
              <w:rPr>
                <w:rFonts w:ascii="Arial" w:cs="Arial" w:eastAsia="Arial" w:hAnsi="Arial"/>
                <w:sz w:val="13"/>
                <w:szCs w:val="13"/>
                <w:color w:val="auto"/>
              </w:rPr>
              <w:t xml:space="preserve">91.7 % </w:t>
            </w:r>
            <w:r>
              <w:rPr>
                <w:rFonts w:ascii="Arial" w:cs="Arial" w:eastAsia="Arial" w:hAnsi="Arial"/>
                <w:sz w:val="10"/>
                <w:szCs w:val="10"/>
                <w:color w:val="auto"/>
              </w:rPr>
              <w:t>8</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160" w:hanging="71"/>
        <w:spacing w:after="0"/>
        <w:tabs>
          <w:tab w:leader="none" w:pos="160" w:val="left"/>
        </w:tabs>
        <w:numPr>
          <w:ilvl w:val="0"/>
          <w:numId w:val="59"/>
        </w:numPr>
        <w:rPr>
          <w:rFonts w:ascii="Arial" w:cs="Arial" w:eastAsia="Arial" w:hAnsi="Arial"/>
          <w:sz w:val="19"/>
          <w:szCs w:val="19"/>
          <w:color w:val="auto"/>
          <w:vertAlign w:val="superscript"/>
        </w:rPr>
      </w:pPr>
      <w:r>
        <w:rPr>
          <w:rFonts w:ascii="Arial" w:cs="Arial" w:eastAsia="Arial" w:hAnsi="Arial"/>
          <w:sz w:val="14"/>
          <w:szCs w:val="14"/>
          <w:color w:val="auto"/>
        </w:rPr>
        <w:t>Represents signed leases for which revenue recognition has commenced in accordance with GAAP.</w:t>
      </w:r>
    </w:p>
    <w:p>
      <w:pPr>
        <w:spacing w:after="0" w:line="18" w:lineRule="exact"/>
        <w:rPr>
          <w:sz w:val="20"/>
          <w:szCs w:val="20"/>
          <w:color w:val="auto"/>
        </w:rPr>
      </w:pPr>
    </w:p>
    <w:p>
      <w:pPr>
        <w:ind w:left="180" w:right="240" w:hanging="91"/>
        <w:spacing w:after="0" w:line="227" w:lineRule="auto"/>
        <w:tabs>
          <w:tab w:leader="none" w:pos="178" w:val="left"/>
        </w:tabs>
        <w:numPr>
          <w:ilvl w:val="0"/>
          <w:numId w:val="60"/>
        </w:numPr>
        <w:rPr>
          <w:rFonts w:ascii="Arial" w:cs="Arial" w:eastAsia="Arial" w:hAnsi="Arial"/>
          <w:sz w:val="19"/>
          <w:szCs w:val="19"/>
          <w:color w:val="auto"/>
          <w:vertAlign w:val="superscript"/>
        </w:rPr>
      </w:pPr>
      <w:r>
        <w:rPr>
          <w:rFonts w:ascii="Arial" w:cs="Arial" w:eastAsia="Arial" w:hAnsi="Arial"/>
          <w:sz w:val="14"/>
          <w:szCs w:val="14"/>
          <w:color w:val="auto"/>
        </w:rPr>
        <w:t>Represents signed leases for which revenue recognition has commenced in accordance with GAAP and signed leases for vacant space with future commencement dates. For additional detail, see pages 38-54.</w:t>
      </w:r>
    </w:p>
    <w:p>
      <w:pPr>
        <w:spacing w:after="0" w:line="14" w:lineRule="exact"/>
        <w:rPr>
          <w:sz w:val="20"/>
          <w:szCs w:val="20"/>
          <w:color w:val="auto"/>
        </w:rPr>
      </w:pPr>
    </w:p>
    <w:p>
      <w:pPr>
        <w:ind w:left="160" w:hanging="71"/>
        <w:spacing w:after="0"/>
        <w:tabs>
          <w:tab w:leader="none" w:pos="160" w:val="left"/>
        </w:tabs>
        <w:numPr>
          <w:ilvl w:val="0"/>
          <w:numId w:val="61"/>
        </w:numPr>
        <w:rPr>
          <w:rFonts w:ascii="Arial" w:cs="Arial" w:eastAsia="Arial" w:hAnsi="Arial"/>
          <w:sz w:val="9"/>
          <w:szCs w:val="9"/>
          <w:color w:val="auto"/>
        </w:rPr>
      </w:pPr>
      <w:r>
        <w:rPr>
          <w:rFonts w:ascii="Arial" w:cs="Arial" w:eastAsia="Arial" w:hAnsi="Arial"/>
          <w:sz w:val="14"/>
          <w:szCs w:val="14"/>
          <w:color w:val="auto"/>
        </w:rPr>
        <w:t>See the Definitions and Reconciliations sections of this Supplemental package starting on page 56.</w:t>
      </w:r>
    </w:p>
    <w:p>
      <w:pPr>
        <w:spacing w:after="0" w:line="52" w:lineRule="exact"/>
        <w:rPr>
          <w:rFonts w:ascii="Arial" w:cs="Arial" w:eastAsia="Arial" w:hAnsi="Arial"/>
          <w:sz w:val="9"/>
          <w:szCs w:val="9"/>
          <w:color w:val="auto"/>
        </w:rPr>
      </w:pPr>
    </w:p>
    <w:p>
      <w:pPr>
        <w:ind w:left="80"/>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This is an unconsolidated joint venture property.</w:t>
      </w:r>
    </w:p>
    <w:p>
      <w:pPr>
        <w:spacing w:after="0" w:line="11" w:lineRule="exact"/>
        <w:rPr>
          <w:rFonts w:ascii="Arial" w:cs="Arial" w:eastAsia="Arial" w:hAnsi="Arial"/>
          <w:sz w:val="9"/>
          <w:szCs w:val="9"/>
          <w:color w:val="auto"/>
        </w:rPr>
      </w:pPr>
    </w:p>
    <w:p>
      <w:pPr>
        <w:ind w:left="80"/>
        <w:spacing w:after="0"/>
        <w:rPr>
          <w:rFonts w:ascii="Arial" w:cs="Arial" w:eastAsia="Arial" w:hAnsi="Arial"/>
          <w:sz w:val="9"/>
          <w:szCs w:val="9"/>
          <w:color w:val="auto"/>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This is a retail property.</w:t>
      </w:r>
    </w:p>
    <w:p>
      <w:pPr>
        <w:spacing w:after="0" w:line="9" w:lineRule="exact"/>
        <w:rPr>
          <w:rFonts w:ascii="Arial" w:cs="Arial" w:eastAsia="Arial" w:hAnsi="Arial"/>
          <w:sz w:val="9"/>
          <w:szCs w:val="9"/>
          <w:color w:val="auto"/>
        </w:rPr>
      </w:pPr>
    </w:p>
    <w:p>
      <w:pPr>
        <w:ind w:left="80"/>
        <w:spacing w:after="0" w:line="234" w:lineRule="auto"/>
        <w:rPr>
          <w:rFonts w:ascii="Arial" w:cs="Arial" w:eastAsia="Arial" w:hAnsi="Arial"/>
          <w:sz w:val="9"/>
          <w:szCs w:val="9"/>
          <w:color w:val="auto"/>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Classified as a laboratory/life sciences property.</w:t>
      </w:r>
    </w:p>
    <w:p>
      <w:pPr>
        <w:ind w:left="80"/>
        <w:spacing w:after="0"/>
        <w:rPr>
          <w:rFonts w:ascii="Arial" w:cs="Arial" w:eastAsia="Arial" w:hAnsi="Arial"/>
          <w:sz w:val="9"/>
          <w:szCs w:val="9"/>
          <w:color w:val="auto"/>
        </w:rPr>
      </w:pPr>
      <w:r>
        <w:rPr>
          <w:rFonts w:ascii="Arial" w:cs="Arial" w:eastAsia="Arial" w:hAnsi="Arial"/>
          <w:sz w:val="18"/>
          <w:szCs w:val="18"/>
          <w:color w:val="auto"/>
          <w:vertAlign w:val="superscript"/>
        </w:rPr>
        <w:t>7</w:t>
      </w:r>
      <w:r>
        <w:rPr>
          <w:rFonts w:ascii="Arial" w:cs="Arial" w:eastAsia="Arial" w:hAnsi="Arial"/>
          <w:sz w:val="14"/>
          <w:szCs w:val="14"/>
          <w:color w:val="auto"/>
        </w:rPr>
        <w:t xml:space="preserve"> Not included in the Same Property analysis.</w:t>
      </w:r>
    </w:p>
    <w:p>
      <w:pPr>
        <w:spacing w:after="0" w:line="9" w:lineRule="exact"/>
        <w:rPr>
          <w:rFonts w:ascii="Arial" w:cs="Arial" w:eastAsia="Arial" w:hAnsi="Arial"/>
          <w:sz w:val="9"/>
          <w:szCs w:val="9"/>
          <w:color w:val="auto"/>
        </w:rPr>
      </w:pPr>
    </w:p>
    <w:p>
      <w:pPr>
        <w:ind w:left="80"/>
        <w:spacing w:after="0" w:line="234" w:lineRule="auto"/>
        <w:rPr>
          <w:rFonts w:ascii="Arial" w:cs="Arial" w:eastAsia="Arial" w:hAnsi="Arial"/>
          <w:sz w:val="9"/>
          <w:szCs w:val="9"/>
          <w:color w:val="auto"/>
        </w:rPr>
      </w:pPr>
      <w:r>
        <w:rPr>
          <w:rFonts w:ascii="Arial" w:cs="Arial" w:eastAsia="Arial" w:hAnsi="Arial"/>
          <w:sz w:val="18"/>
          <w:szCs w:val="18"/>
          <w:color w:val="auto"/>
          <w:vertAlign w:val="superscript"/>
        </w:rPr>
        <w:t>8</w:t>
      </w:r>
      <w:r>
        <w:rPr>
          <w:rFonts w:ascii="Arial" w:cs="Arial" w:eastAsia="Arial" w:hAnsi="Arial"/>
          <w:sz w:val="14"/>
          <w:szCs w:val="14"/>
          <w:color w:val="auto"/>
        </w:rPr>
        <w:t xml:space="preserve">  Excludes hotel and residential properties. For additional detail, see page 20.</w:t>
      </w:r>
    </w:p>
    <w:p>
      <w:pPr>
        <w:ind w:left="80"/>
        <w:spacing w:after="0"/>
        <w:rPr>
          <w:rFonts w:ascii="Arial" w:cs="Arial" w:eastAsia="Arial" w:hAnsi="Arial"/>
          <w:sz w:val="9"/>
          <w:szCs w:val="9"/>
          <w:color w:val="auto"/>
        </w:rPr>
      </w:pPr>
      <w:r>
        <w:rPr>
          <w:rFonts w:ascii="Arial" w:cs="Arial" w:eastAsia="Arial" w:hAnsi="Arial"/>
          <w:sz w:val="18"/>
          <w:szCs w:val="18"/>
          <w:color w:val="auto"/>
          <w:vertAlign w:val="superscript"/>
        </w:rPr>
        <w:t>9</w:t>
      </w:r>
      <w:r>
        <w:rPr>
          <w:rFonts w:ascii="Arial" w:cs="Arial" w:eastAsia="Arial" w:hAnsi="Arial"/>
          <w:sz w:val="14"/>
          <w:szCs w:val="14"/>
          <w:color w:val="auto"/>
        </w:rPr>
        <w:t xml:space="preserve"> Reservoir Place consists of approximately 528,000 rentable square feet of which approximately 363,000 square feet is in redevelopment. For additional detail, see page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24</w:t>
      </w:r>
    </w:p>
    <w:p>
      <w:pPr>
        <w:sectPr>
          <w:pgSz w:w="11900" w:h="16838" w:orient="portrait"/>
          <w:cols w:equalWidth="0" w:num="1">
            <w:col w:w="11240"/>
          </w:cols>
          <w:pgMar w:left="320" w:top="27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90"/>
        </w:trPr>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Q3 2026</w:t>
            </w:r>
          </w:p>
        </w:tc>
      </w:tr>
      <w:tr>
        <w:trPr>
          <w:trHeight w:val="245"/>
        </w:trPr>
        <w:tc>
          <w:tcPr>
            <w:tcW w:w="4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7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00497F"/>
              </w:rPr>
              <w:t>Top 20 clients listing and portfolio client diversification</w:t>
            </w:r>
          </w:p>
        </w:tc>
      </w:tr>
      <w:tr>
        <w:trPr>
          <w:trHeight w:val="586"/>
        </w:trPr>
        <w:tc>
          <w:tcPr>
            <w:tcW w:w="4580" w:type="dxa"/>
            <w:vAlign w:val="bottom"/>
            <w:gridSpan w:val="4"/>
          </w:tcPr>
          <w:p>
            <w:pPr>
              <w:spacing w:after="0"/>
              <w:rPr>
                <w:sz w:val="20"/>
                <w:szCs w:val="20"/>
                <w:color w:val="auto"/>
              </w:rPr>
            </w:pPr>
            <w:r>
              <w:rPr>
                <w:rFonts w:ascii="Arial" w:cs="Arial" w:eastAsia="Arial" w:hAnsi="Arial"/>
                <w:sz w:val="14"/>
                <w:szCs w:val="14"/>
                <w:color w:val="auto"/>
              </w:rPr>
              <w:t>as of September 30, 2026</w:t>
            </w: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98"/>
        </w:trPr>
        <w:tc>
          <w:tcPr>
            <w:tcW w:w="45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TOP 20 CLIENTS</w:t>
            </w: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63"/>
        </w:trPr>
        <w:tc>
          <w:tcPr>
            <w:tcW w:w="4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gridSpan w:val="2"/>
          </w:tcPr>
          <w:p>
            <w:pPr>
              <w:spacing w:after="0"/>
              <w:rPr>
                <w:sz w:val="5"/>
                <w:szCs w:val="5"/>
                <w:color w:val="auto"/>
              </w:rPr>
            </w:pPr>
          </w:p>
        </w:tc>
        <w:tc>
          <w:tcPr>
            <w:tcW w:w="2400" w:type="dxa"/>
            <w:vAlign w:val="bottom"/>
            <w:tcBorders>
              <w:bottom w:val="single" w:sz="8" w:color="auto"/>
            </w:tcBorders>
          </w:tcPr>
          <w:p>
            <w:pPr>
              <w:spacing w:after="0"/>
              <w:rPr>
                <w:sz w:val="5"/>
                <w:szCs w:val="5"/>
                <w:color w:val="auto"/>
              </w:rPr>
            </w:pPr>
          </w:p>
        </w:tc>
        <w:tc>
          <w:tcPr>
            <w:tcW w:w="1560" w:type="dxa"/>
            <w:vAlign w:val="bottom"/>
          </w:tcPr>
          <w:p>
            <w:pPr>
              <w:spacing w:after="0"/>
              <w:rPr>
                <w:sz w:val="5"/>
                <w:szCs w:val="5"/>
                <w:color w:val="auto"/>
              </w:rPr>
            </w:pPr>
          </w:p>
        </w:tc>
      </w:tr>
      <w:tr>
        <w:trPr>
          <w:trHeight w:val="207"/>
        </w:trPr>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BXP’s Share of Annualized Rental</w:t>
            </w:r>
          </w:p>
        </w:tc>
        <w:tc>
          <w:tcPr>
            <w:tcW w:w="3960" w:type="dxa"/>
            <w:vAlign w:val="bottom"/>
            <w:gridSpan w:val="2"/>
          </w:tcPr>
          <w:p>
            <w:pPr>
              <w:jc w:val="right"/>
              <w:ind w:right="1508"/>
              <w:spacing w:after="0"/>
              <w:rPr>
                <w:sz w:val="20"/>
                <w:szCs w:val="20"/>
                <w:color w:val="auto"/>
              </w:rPr>
            </w:pPr>
            <w:r>
              <w:rPr>
                <w:rFonts w:ascii="Arial" w:cs="Arial" w:eastAsia="Arial" w:hAnsi="Arial"/>
                <w:sz w:val="14"/>
                <w:szCs w:val="14"/>
                <w:b w:val="1"/>
                <w:bCs w:val="1"/>
                <w:color w:val="auto"/>
              </w:rPr>
              <w:t>Weighted Average Remaining</w:t>
            </w:r>
          </w:p>
        </w:tc>
      </w:tr>
      <w:tr>
        <w:trPr>
          <w:trHeight w:val="211"/>
        </w:trPr>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No.</w:t>
            </w:r>
          </w:p>
        </w:tc>
        <w:tc>
          <w:tcPr>
            <w:tcW w:w="160" w:type="dxa"/>
            <w:vAlign w:val="bottom"/>
          </w:tcPr>
          <w:p>
            <w:pPr>
              <w:spacing w:after="0"/>
              <w:rPr>
                <w:sz w:val="18"/>
                <w:szCs w:val="18"/>
                <w:color w:val="auto"/>
              </w:rPr>
            </w:pPr>
          </w:p>
        </w:tc>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Client</w:t>
            </w:r>
          </w:p>
        </w:tc>
        <w:tc>
          <w:tcPr>
            <w:tcW w:w="240" w:type="dxa"/>
            <w:vAlign w:val="bottom"/>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Obligations </w:t>
            </w:r>
            <w:r>
              <w:rPr>
                <w:rFonts w:ascii="Arial" w:cs="Arial" w:eastAsia="Arial" w:hAnsi="Arial"/>
                <w:sz w:val="9"/>
                <w:szCs w:val="9"/>
                <w:b w:val="1"/>
                <w:bCs w:val="1"/>
                <w:color w:val="auto"/>
              </w:rPr>
              <w:t>1</w:t>
            </w:r>
          </w:p>
        </w:tc>
        <w:tc>
          <w:tcPr>
            <w:tcW w:w="240" w:type="dxa"/>
            <w:vAlign w:val="bottom"/>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 xml:space="preserve">Lease Term (years) </w:t>
            </w:r>
            <w:r>
              <w:rPr>
                <w:rFonts w:ascii="Arial" w:cs="Arial" w:eastAsia="Arial" w:hAnsi="Arial"/>
                <w:sz w:val="9"/>
                <w:szCs w:val="9"/>
                <w:b w:val="1"/>
                <w:bCs w:val="1"/>
                <w:color w:val="auto"/>
              </w:rPr>
              <w:t>2</w:t>
            </w:r>
          </w:p>
        </w:tc>
        <w:tc>
          <w:tcPr>
            <w:tcW w:w="1560" w:type="dxa"/>
            <w:vAlign w:val="bottom"/>
          </w:tcPr>
          <w:p>
            <w:pPr>
              <w:spacing w:after="0"/>
              <w:rPr>
                <w:sz w:val="18"/>
                <w:szCs w:val="18"/>
                <w:color w:val="auto"/>
              </w:rPr>
            </w:pPr>
          </w:p>
        </w:tc>
      </w:tr>
      <w:tr>
        <w:trPr>
          <w:trHeight w:val="203"/>
        </w:trPr>
        <w:tc>
          <w:tcPr>
            <w:tcW w:w="40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Salesforce</w:t>
            </w:r>
          </w:p>
        </w:tc>
        <w:tc>
          <w:tcPr>
            <w:tcW w:w="2460" w:type="dxa"/>
            <w:vAlign w:val="bottom"/>
          </w:tcPr>
          <w:p>
            <w:pPr>
              <w:jc w:val="right"/>
              <w:spacing w:after="0"/>
              <w:rPr>
                <w:sz w:val="20"/>
                <w:szCs w:val="20"/>
                <w:color w:val="auto"/>
              </w:rPr>
            </w:pPr>
            <w:r>
              <w:rPr>
                <w:rFonts w:ascii="Arial" w:cs="Arial" w:eastAsia="Arial" w:hAnsi="Arial"/>
                <w:sz w:val="14"/>
                <w:szCs w:val="14"/>
                <w:color w:val="auto"/>
              </w:rPr>
              <w:t>3.34 %</w:t>
            </w:r>
          </w:p>
        </w:tc>
        <w:tc>
          <w:tcPr>
            <w:tcW w:w="240" w:type="dxa"/>
            <w:vAlign w:val="bottom"/>
          </w:tcPr>
          <w:p>
            <w:pPr>
              <w:spacing w:after="0"/>
              <w:rPr>
                <w:sz w:val="17"/>
                <w:szCs w:val="17"/>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5.5</w:t>
            </w:r>
          </w:p>
        </w:tc>
        <w:tc>
          <w:tcPr>
            <w:tcW w:w="1560" w:type="dxa"/>
            <w:vAlign w:val="bottom"/>
          </w:tcPr>
          <w:p>
            <w:pPr>
              <w:spacing w:after="0"/>
              <w:rPr>
                <w:sz w:val="17"/>
                <w:szCs w:val="17"/>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Google</w:t>
            </w:r>
          </w:p>
        </w:tc>
        <w:tc>
          <w:tcPr>
            <w:tcW w:w="2460" w:type="dxa"/>
            <w:vAlign w:val="bottom"/>
          </w:tcPr>
          <w:p>
            <w:pPr>
              <w:jc w:val="right"/>
              <w:spacing w:after="0"/>
              <w:rPr>
                <w:sz w:val="20"/>
                <w:szCs w:val="20"/>
                <w:color w:val="auto"/>
              </w:rPr>
            </w:pPr>
            <w:r>
              <w:rPr>
                <w:rFonts w:ascii="Arial" w:cs="Arial" w:eastAsia="Arial" w:hAnsi="Arial"/>
                <w:sz w:val="14"/>
                <w:szCs w:val="14"/>
                <w:color w:val="auto"/>
              </w:rPr>
              <w:t>3.17 %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10.6</w:t>
            </w:r>
          </w:p>
        </w:tc>
        <w:tc>
          <w:tcPr>
            <w:tcW w:w="15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Akamai Technologies</w:t>
            </w:r>
          </w:p>
        </w:tc>
        <w:tc>
          <w:tcPr>
            <w:tcW w:w="2460" w:type="dxa"/>
            <w:vAlign w:val="bottom"/>
          </w:tcPr>
          <w:p>
            <w:pPr>
              <w:jc w:val="right"/>
              <w:spacing w:after="0"/>
              <w:rPr>
                <w:sz w:val="20"/>
                <w:szCs w:val="20"/>
                <w:color w:val="auto"/>
              </w:rPr>
            </w:pPr>
            <w:r>
              <w:rPr>
                <w:rFonts w:ascii="Arial" w:cs="Arial" w:eastAsia="Arial" w:hAnsi="Arial"/>
                <w:sz w:val="14"/>
                <w:szCs w:val="14"/>
                <w:color w:val="auto"/>
              </w:rPr>
              <w:t>2.17 %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8.1</w:t>
            </w:r>
          </w:p>
        </w:tc>
        <w:tc>
          <w:tcPr>
            <w:tcW w:w="15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4</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Kirkland &amp; Ellis</w:t>
            </w:r>
          </w:p>
        </w:tc>
        <w:tc>
          <w:tcPr>
            <w:tcW w:w="2460" w:type="dxa"/>
            <w:vAlign w:val="bottom"/>
          </w:tcPr>
          <w:p>
            <w:pPr>
              <w:jc w:val="right"/>
              <w:spacing w:after="0"/>
              <w:rPr>
                <w:sz w:val="20"/>
                <w:szCs w:val="20"/>
                <w:color w:val="auto"/>
              </w:rPr>
            </w:pPr>
            <w:r>
              <w:rPr>
                <w:rFonts w:ascii="Arial" w:cs="Arial" w:eastAsia="Arial" w:hAnsi="Arial"/>
                <w:sz w:val="14"/>
                <w:szCs w:val="14"/>
                <w:color w:val="auto"/>
              </w:rPr>
              <w:t>2.08 %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11.4</w:t>
            </w:r>
          </w:p>
        </w:tc>
        <w:tc>
          <w:tcPr>
            <w:tcW w:w="15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Biogen</w:t>
            </w:r>
          </w:p>
        </w:tc>
        <w:tc>
          <w:tcPr>
            <w:tcW w:w="2460" w:type="dxa"/>
            <w:vAlign w:val="bottom"/>
          </w:tcPr>
          <w:p>
            <w:pPr>
              <w:jc w:val="right"/>
              <w:spacing w:after="0"/>
              <w:rPr>
                <w:sz w:val="20"/>
                <w:szCs w:val="20"/>
                <w:color w:val="auto"/>
              </w:rPr>
            </w:pPr>
            <w:r>
              <w:rPr>
                <w:rFonts w:ascii="Arial" w:cs="Arial" w:eastAsia="Arial" w:hAnsi="Arial"/>
                <w:sz w:val="14"/>
                <w:szCs w:val="14"/>
                <w:color w:val="auto"/>
              </w:rPr>
              <w:t>1.81 %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1.6</w:t>
            </w:r>
          </w:p>
        </w:tc>
        <w:tc>
          <w:tcPr>
            <w:tcW w:w="15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6</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Millennium Management</w:t>
            </w:r>
          </w:p>
        </w:tc>
        <w:tc>
          <w:tcPr>
            <w:tcW w:w="2460" w:type="dxa"/>
            <w:vAlign w:val="bottom"/>
          </w:tcPr>
          <w:p>
            <w:pPr>
              <w:jc w:val="right"/>
              <w:spacing w:after="0"/>
              <w:rPr>
                <w:sz w:val="20"/>
                <w:szCs w:val="20"/>
                <w:color w:val="auto"/>
              </w:rPr>
            </w:pPr>
            <w:r>
              <w:rPr>
                <w:rFonts w:ascii="Arial" w:cs="Arial" w:eastAsia="Arial" w:hAnsi="Arial"/>
                <w:sz w:val="14"/>
                <w:szCs w:val="14"/>
                <w:color w:val="auto"/>
              </w:rPr>
              <w:t>1.81 %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9.5</w:t>
            </w:r>
          </w:p>
        </w:tc>
        <w:tc>
          <w:tcPr>
            <w:tcW w:w="15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AstraZeneca Pharmaceuticals</w:t>
            </w:r>
          </w:p>
        </w:tc>
        <w:tc>
          <w:tcPr>
            <w:tcW w:w="2460" w:type="dxa"/>
            <w:vAlign w:val="bottom"/>
          </w:tcPr>
          <w:p>
            <w:pPr>
              <w:jc w:val="right"/>
              <w:spacing w:after="0"/>
              <w:rPr>
                <w:sz w:val="20"/>
                <w:szCs w:val="20"/>
                <w:color w:val="auto"/>
              </w:rPr>
            </w:pPr>
            <w:r>
              <w:rPr>
                <w:rFonts w:ascii="Arial" w:cs="Arial" w:eastAsia="Arial" w:hAnsi="Arial"/>
                <w:sz w:val="14"/>
                <w:szCs w:val="14"/>
                <w:color w:val="auto"/>
              </w:rPr>
              <w:t>1.67 %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14.5</w:t>
            </w:r>
          </w:p>
        </w:tc>
        <w:tc>
          <w:tcPr>
            <w:tcW w:w="15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Fannie Mae</w:t>
            </w:r>
          </w:p>
        </w:tc>
        <w:tc>
          <w:tcPr>
            <w:tcW w:w="2460" w:type="dxa"/>
            <w:vAlign w:val="bottom"/>
          </w:tcPr>
          <w:p>
            <w:pPr>
              <w:jc w:val="right"/>
              <w:spacing w:after="0"/>
              <w:rPr>
                <w:sz w:val="20"/>
                <w:szCs w:val="20"/>
                <w:color w:val="auto"/>
              </w:rPr>
            </w:pPr>
            <w:r>
              <w:rPr>
                <w:rFonts w:ascii="Arial" w:cs="Arial" w:eastAsia="Arial" w:hAnsi="Arial"/>
                <w:sz w:val="14"/>
                <w:szCs w:val="14"/>
                <w:color w:val="auto"/>
              </w:rPr>
              <w:t>1.53 %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10.9</w:t>
            </w:r>
          </w:p>
        </w:tc>
        <w:tc>
          <w:tcPr>
            <w:tcW w:w="15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Weil Gotshal &amp; Manges</w:t>
            </w:r>
          </w:p>
        </w:tc>
        <w:tc>
          <w:tcPr>
            <w:tcW w:w="2460" w:type="dxa"/>
            <w:vAlign w:val="bottom"/>
          </w:tcPr>
          <w:p>
            <w:pPr>
              <w:jc w:val="right"/>
              <w:spacing w:after="0"/>
              <w:rPr>
                <w:sz w:val="20"/>
                <w:szCs w:val="20"/>
                <w:color w:val="auto"/>
              </w:rPr>
            </w:pPr>
            <w:r>
              <w:rPr>
                <w:rFonts w:ascii="Arial" w:cs="Arial" w:eastAsia="Arial" w:hAnsi="Arial"/>
                <w:sz w:val="14"/>
                <w:szCs w:val="14"/>
                <w:color w:val="auto"/>
              </w:rPr>
              <w:t>1.21 %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7.9</w:t>
            </w:r>
          </w:p>
        </w:tc>
        <w:tc>
          <w:tcPr>
            <w:tcW w:w="15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Microsoft</w:t>
            </w:r>
          </w:p>
        </w:tc>
        <w:tc>
          <w:tcPr>
            <w:tcW w:w="2460" w:type="dxa"/>
            <w:vAlign w:val="bottom"/>
          </w:tcPr>
          <w:p>
            <w:pPr>
              <w:jc w:val="right"/>
              <w:spacing w:after="0"/>
              <w:rPr>
                <w:sz w:val="20"/>
                <w:szCs w:val="20"/>
                <w:color w:val="auto"/>
              </w:rPr>
            </w:pPr>
            <w:r>
              <w:rPr>
                <w:rFonts w:ascii="Arial" w:cs="Arial" w:eastAsia="Arial" w:hAnsi="Arial"/>
                <w:sz w:val="14"/>
                <w:szCs w:val="14"/>
                <w:color w:val="auto"/>
              </w:rPr>
              <w:t>1.11 %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7.1</w:t>
            </w:r>
          </w:p>
        </w:tc>
        <w:tc>
          <w:tcPr>
            <w:tcW w:w="15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11</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Snap</w:t>
            </w:r>
          </w:p>
        </w:tc>
        <w:tc>
          <w:tcPr>
            <w:tcW w:w="2460" w:type="dxa"/>
            <w:vAlign w:val="bottom"/>
          </w:tcPr>
          <w:p>
            <w:pPr>
              <w:jc w:val="right"/>
              <w:spacing w:after="0"/>
              <w:rPr>
                <w:sz w:val="20"/>
                <w:szCs w:val="20"/>
                <w:color w:val="auto"/>
              </w:rPr>
            </w:pPr>
            <w:r>
              <w:rPr>
                <w:rFonts w:ascii="Arial" w:cs="Arial" w:eastAsia="Arial" w:hAnsi="Arial"/>
                <w:sz w:val="14"/>
                <w:szCs w:val="14"/>
                <w:color w:val="auto"/>
              </w:rPr>
              <w:t>1.04 %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9.5</w:t>
            </w:r>
          </w:p>
        </w:tc>
        <w:tc>
          <w:tcPr>
            <w:tcW w:w="15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Ropes &amp; Gray</w:t>
            </w:r>
          </w:p>
        </w:tc>
        <w:tc>
          <w:tcPr>
            <w:tcW w:w="2460" w:type="dxa"/>
            <w:vAlign w:val="bottom"/>
          </w:tcPr>
          <w:p>
            <w:pPr>
              <w:jc w:val="right"/>
              <w:spacing w:after="0"/>
              <w:rPr>
                <w:sz w:val="20"/>
                <w:szCs w:val="20"/>
                <w:color w:val="auto"/>
              </w:rPr>
            </w:pPr>
            <w:r>
              <w:rPr>
                <w:rFonts w:ascii="Arial" w:cs="Arial" w:eastAsia="Arial" w:hAnsi="Arial"/>
                <w:sz w:val="14"/>
                <w:szCs w:val="14"/>
                <w:color w:val="auto"/>
              </w:rPr>
              <w:t>1.02 %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14.6</w:t>
            </w:r>
          </w:p>
        </w:tc>
        <w:tc>
          <w:tcPr>
            <w:tcW w:w="15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Wellington Management</w:t>
            </w:r>
          </w:p>
        </w:tc>
        <w:tc>
          <w:tcPr>
            <w:tcW w:w="2460" w:type="dxa"/>
            <w:vAlign w:val="bottom"/>
          </w:tcPr>
          <w:p>
            <w:pPr>
              <w:jc w:val="right"/>
              <w:spacing w:after="0"/>
              <w:rPr>
                <w:sz w:val="20"/>
                <w:szCs w:val="20"/>
                <w:color w:val="auto"/>
              </w:rPr>
            </w:pPr>
            <w:r>
              <w:rPr>
                <w:rFonts w:ascii="Arial" w:cs="Arial" w:eastAsia="Arial" w:hAnsi="Arial"/>
                <w:sz w:val="14"/>
                <w:szCs w:val="14"/>
                <w:color w:val="auto"/>
              </w:rPr>
              <w:t>1.02 %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9.2</w:t>
            </w:r>
          </w:p>
        </w:tc>
        <w:tc>
          <w:tcPr>
            <w:tcW w:w="15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Arnold &amp; Porter Kaye Scholer</w:t>
            </w:r>
          </w:p>
        </w:tc>
        <w:tc>
          <w:tcPr>
            <w:tcW w:w="2460" w:type="dxa"/>
            <w:vAlign w:val="bottom"/>
          </w:tcPr>
          <w:p>
            <w:pPr>
              <w:jc w:val="right"/>
              <w:spacing w:after="0"/>
              <w:rPr>
                <w:sz w:val="20"/>
                <w:szCs w:val="20"/>
                <w:color w:val="auto"/>
              </w:rPr>
            </w:pPr>
            <w:r>
              <w:rPr>
                <w:rFonts w:ascii="Arial" w:cs="Arial" w:eastAsia="Arial" w:hAnsi="Arial"/>
                <w:sz w:val="14"/>
                <w:szCs w:val="14"/>
                <w:color w:val="auto"/>
              </w:rPr>
              <w:t>1.01 %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8.2</w:t>
            </w:r>
          </w:p>
        </w:tc>
        <w:tc>
          <w:tcPr>
            <w:tcW w:w="15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15</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Allen Overy Shearman Sterling</w:t>
            </w:r>
          </w:p>
        </w:tc>
        <w:tc>
          <w:tcPr>
            <w:tcW w:w="2460" w:type="dxa"/>
            <w:vAlign w:val="bottom"/>
          </w:tcPr>
          <w:p>
            <w:pPr>
              <w:jc w:val="right"/>
              <w:spacing w:after="0"/>
              <w:rPr>
                <w:sz w:val="20"/>
                <w:szCs w:val="20"/>
                <w:color w:val="auto"/>
              </w:rPr>
            </w:pPr>
            <w:r>
              <w:rPr>
                <w:rFonts w:ascii="Arial" w:cs="Arial" w:eastAsia="Arial" w:hAnsi="Arial"/>
                <w:sz w:val="14"/>
                <w:szCs w:val="14"/>
                <w:color w:val="auto"/>
              </w:rPr>
              <w:t>0.96 %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15.6</w:t>
            </w:r>
          </w:p>
        </w:tc>
        <w:tc>
          <w:tcPr>
            <w:tcW w:w="15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Bain Capital</w:t>
            </w:r>
          </w:p>
        </w:tc>
        <w:tc>
          <w:tcPr>
            <w:tcW w:w="2460" w:type="dxa"/>
            <w:vAlign w:val="bottom"/>
          </w:tcPr>
          <w:p>
            <w:pPr>
              <w:jc w:val="right"/>
              <w:spacing w:after="0"/>
              <w:rPr>
                <w:sz w:val="20"/>
                <w:szCs w:val="20"/>
                <w:color w:val="auto"/>
              </w:rPr>
            </w:pPr>
            <w:r>
              <w:rPr>
                <w:rFonts w:ascii="Arial" w:cs="Arial" w:eastAsia="Arial" w:hAnsi="Arial"/>
                <w:sz w:val="14"/>
                <w:szCs w:val="14"/>
                <w:color w:val="auto"/>
              </w:rPr>
              <w:t>0.93 %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5.3</w:t>
            </w:r>
          </w:p>
        </w:tc>
        <w:tc>
          <w:tcPr>
            <w:tcW w:w="15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17</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Morrison &amp; Foerster</w:t>
            </w:r>
          </w:p>
        </w:tc>
        <w:tc>
          <w:tcPr>
            <w:tcW w:w="2460" w:type="dxa"/>
            <w:vAlign w:val="bottom"/>
          </w:tcPr>
          <w:p>
            <w:pPr>
              <w:jc w:val="right"/>
              <w:spacing w:after="0"/>
              <w:rPr>
                <w:sz w:val="20"/>
                <w:szCs w:val="20"/>
                <w:color w:val="auto"/>
              </w:rPr>
            </w:pPr>
            <w:r>
              <w:rPr>
                <w:rFonts w:ascii="Arial" w:cs="Arial" w:eastAsia="Arial" w:hAnsi="Arial"/>
                <w:sz w:val="14"/>
                <w:szCs w:val="14"/>
                <w:color w:val="auto"/>
              </w:rPr>
              <w:t>0.92 %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15.5</w:t>
            </w:r>
          </w:p>
        </w:tc>
        <w:tc>
          <w:tcPr>
            <w:tcW w:w="15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18</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Starr</w:t>
            </w:r>
          </w:p>
        </w:tc>
        <w:tc>
          <w:tcPr>
            <w:tcW w:w="2460" w:type="dxa"/>
            <w:vAlign w:val="bottom"/>
          </w:tcPr>
          <w:p>
            <w:pPr>
              <w:jc w:val="right"/>
              <w:spacing w:after="0"/>
              <w:rPr>
                <w:sz w:val="20"/>
                <w:szCs w:val="20"/>
                <w:color w:val="auto"/>
              </w:rPr>
            </w:pPr>
            <w:r>
              <w:rPr>
                <w:rFonts w:ascii="Arial" w:cs="Arial" w:eastAsia="Arial" w:hAnsi="Arial"/>
                <w:sz w:val="14"/>
                <w:szCs w:val="14"/>
                <w:color w:val="auto"/>
              </w:rPr>
              <w:t>0.85 %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2.9</w:t>
            </w:r>
          </w:p>
        </w:tc>
        <w:tc>
          <w:tcPr>
            <w:tcW w:w="1560" w:type="dxa"/>
            <w:vAlign w:val="bottom"/>
          </w:tcPr>
          <w:p>
            <w:pPr>
              <w:spacing w:after="0"/>
              <w:rPr>
                <w:sz w:val="18"/>
                <w:szCs w:val="18"/>
                <w:color w:val="auto"/>
              </w:rPr>
            </w:pPr>
          </w:p>
        </w:tc>
      </w:tr>
      <w:tr>
        <w:trPr>
          <w:trHeight w:val="216"/>
        </w:trPr>
        <w:tc>
          <w:tcPr>
            <w:tcW w:w="400" w:type="dxa"/>
            <w:vAlign w:val="bottom"/>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8"/>
                <w:szCs w:val="18"/>
                <w:color w:val="auto"/>
              </w:rPr>
            </w:pPr>
          </w:p>
        </w:tc>
        <w:tc>
          <w:tcPr>
            <w:tcW w:w="4020" w:type="dxa"/>
            <w:vAlign w:val="bottom"/>
            <w:gridSpan w:val="2"/>
          </w:tcPr>
          <w:p>
            <w:pPr>
              <w:ind w:left="20"/>
              <w:spacing w:after="0"/>
              <w:rPr>
                <w:sz w:val="20"/>
                <w:szCs w:val="20"/>
                <w:color w:val="auto"/>
              </w:rPr>
            </w:pPr>
            <w:r>
              <w:rPr>
                <w:rFonts w:ascii="Arial" w:cs="Arial" w:eastAsia="Arial" w:hAnsi="Arial"/>
                <w:sz w:val="14"/>
                <w:szCs w:val="14"/>
                <w:color w:val="auto"/>
              </w:rPr>
              <w:t>Leidos</w:t>
            </w:r>
          </w:p>
        </w:tc>
        <w:tc>
          <w:tcPr>
            <w:tcW w:w="2460" w:type="dxa"/>
            <w:vAlign w:val="bottom"/>
          </w:tcPr>
          <w:p>
            <w:pPr>
              <w:jc w:val="right"/>
              <w:spacing w:after="0"/>
              <w:rPr>
                <w:sz w:val="20"/>
                <w:szCs w:val="20"/>
                <w:color w:val="auto"/>
              </w:rPr>
            </w:pPr>
            <w:r>
              <w:rPr>
                <w:rFonts w:ascii="Arial" w:cs="Arial" w:eastAsia="Arial" w:hAnsi="Arial"/>
                <w:sz w:val="14"/>
                <w:szCs w:val="14"/>
                <w:color w:val="auto"/>
              </w:rPr>
              <w:t>0.84 %</w:t>
            </w:r>
          </w:p>
        </w:tc>
        <w:tc>
          <w:tcPr>
            <w:tcW w:w="240" w:type="dxa"/>
            <w:vAlign w:val="bottom"/>
          </w:tcPr>
          <w:p>
            <w:pPr>
              <w:spacing w:after="0"/>
              <w:rPr>
                <w:sz w:val="18"/>
                <w:szCs w:val="18"/>
                <w:color w:val="auto"/>
              </w:rPr>
            </w:pPr>
          </w:p>
        </w:tc>
        <w:tc>
          <w:tcPr>
            <w:tcW w:w="2400" w:type="dxa"/>
            <w:vAlign w:val="bottom"/>
          </w:tcPr>
          <w:p>
            <w:pPr>
              <w:jc w:val="right"/>
              <w:spacing w:after="0"/>
              <w:rPr>
                <w:sz w:val="20"/>
                <w:szCs w:val="20"/>
                <w:color w:val="auto"/>
              </w:rPr>
            </w:pPr>
            <w:r>
              <w:rPr>
                <w:rFonts w:ascii="Arial" w:cs="Arial" w:eastAsia="Arial" w:hAnsi="Arial"/>
                <w:sz w:val="14"/>
                <w:szCs w:val="14"/>
                <w:color w:val="auto"/>
              </w:rPr>
              <w:t>6.6</w:t>
            </w:r>
          </w:p>
        </w:tc>
        <w:tc>
          <w:tcPr>
            <w:tcW w:w="1560" w:type="dxa"/>
            <w:vAlign w:val="bottom"/>
          </w:tcPr>
          <w:p>
            <w:pPr>
              <w:spacing w:after="0"/>
              <w:rPr>
                <w:sz w:val="18"/>
                <w:szCs w:val="18"/>
                <w:color w:val="auto"/>
              </w:rPr>
            </w:pPr>
          </w:p>
        </w:tc>
      </w:tr>
      <w:tr>
        <w:trPr>
          <w:trHeight w:val="220"/>
        </w:trPr>
        <w:tc>
          <w:tcPr>
            <w:tcW w:w="400" w:type="dxa"/>
            <w:vAlign w:val="bottom"/>
          </w:tcPr>
          <w:p>
            <w:pPr>
              <w:jc w:val="right"/>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9"/>
                <w:szCs w:val="19"/>
                <w:color w:val="auto"/>
              </w:rPr>
            </w:pPr>
          </w:p>
        </w:tc>
        <w:tc>
          <w:tcPr>
            <w:tcW w:w="4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Aramis (Estee Lauder)</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0.82 %</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w:t>
            </w:r>
          </w:p>
        </w:tc>
        <w:tc>
          <w:tcPr>
            <w:tcW w:w="1560" w:type="dxa"/>
            <w:vAlign w:val="bottom"/>
          </w:tcPr>
          <w:p>
            <w:pPr>
              <w:spacing w:after="0"/>
              <w:rPr>
                <w:sz w:val="19"/>
                <w:szCs w:val="19"/>
                <w:color w:val="auto"/>
              </w:rPr>
            </w:pPr>
          </w:p>
        </w:tc>
      </w:tr>
      <w:tr>
        <w:trPr>
          <w:trHeight w:val="209"/>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BXP’s Share of Annualized Rental Obligations</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29.31 %</w:t>
            </w: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 xml:space="preserve">BXP’s Share of Square Feet </w:t>
            </w:r>
            <w:r>
              <w:rPr>
                <w:rFonts w:ascii="Arial" w:cs="Arial" w:eastAsia="Arial" w:hAnsi="Arial"/>
                <w:sz w:val="9"/>
                <w:szCs w:val="9"/>
                <w:color w:val="auto"/>
              </w:rPr>
              <w:t>1</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22.74 %</w:t>
            </w: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color w:val="auto"/>
              </w:rPr>
              <w:t>Weighted Average Remaining Lease Term (years)</w:t>
            </w:r>
          </w:p>
        </w:tc>
        <w:tc>
          <w:tcPr>
            <w:tcW w:w="24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-4388485</wp:posOffset>
            </wp:positionV>
            <wp:extent cx="257175"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NOTABLE SIGNED DEALS </w:t>
      </w:r>
      <w:r>
        <w:rPr>
          <w:rFonts w:ascii="Arial" w:cs="Arial" w:eastAsia="Arial" w:hAnsi="Arial"/>
          <w:sz w:val="18"/>
          <w:szCs w:val="18"/>
          <w:b w:val="1"/>
          <w:bCs w:val="1"/>
          <w:i w:val="1"/>
          <w:iCs w:val="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613791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37910" cy="1714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Client</w:t>
            </w:r>
          </w:p>
        </w:tc>
        <w:tc>
          <w:tcPr>
            <w:tcW w:w="240" w:type="dxa"/>
            <w:vAlign w:val="bottom"/>
          </w:tcPr>
          <w:p>
            <w:pPr>
              <w:spacing w:after="0"/>
              <w:rPr>
                <w:sz w:val="17"/>
                <w:szCs w:val="17"/>
                <w:color w:val="auto"/>
              </w:rPr>
            </w:pPr>
          </w:p>
        </w:tc>
        <w:tc>
          <w:tcPr>
            <w:tcW w:w="3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Property</w:t>
            </w:r>
          </w:p>
        </w:tc>
        <w:tc>
          <w:tcPr>
            <w:tcW w:w="220" w:type="dxa"/>
            <w:vAlign w:val="bottom"/>
          </w:tcPr>
          <w:p>
            <w:pPr>
              <w:spacing w:after="0"/>
              <w:rPr>
                <w:sz w:val="17"/>
                <w:szCs w:val="17"/>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Square Feet</w:t>
            </w:r>
          </w:p>
        </w:tc>
      </w:tr>
      <w:tr>
        <w:trPr>
          <w:trHeight w:val="228"/>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Boston Dynamics</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 xml:space="preserve">Reservoir Place </w:t>
            </w:r>
            <w:r>
              <w:rPr>
                <w:rFonts w:ascii="Arial" w:cs="Arial" w:eastAsia="Arial" w:hAnsi="Arial"/>
                <w:sz w:val="18"/>
                <w:szCs w:val="18"/>
                <w:color w:val="auto"/>
                <w:vertAlign w:val="superscript"/>
              </w:rPr>
              <w:t>4</w:t>
            </w:r>
          </w:p>
        </w:tc>
        <w:tc>
          <w:tcPr>
            <w:tcW w:w="2060" w:type="dxa"/>
            <w:vAlign w:val="bottom"/>
          </w:tcPr>
          <w:p>
            <w:pPr>
              <w:jc w:val="right"/>
              <w:ind w:right="8"/>
              <w:spacing w:after="0"/>
              <w:rPr>
                <w:sz w:val="20"/>
                <w:szCs w:val="20"/>
                <w:color w:val="auto"/>
              </w:rPr>
            </w:pPr>
            <w:r>
              <w:rPr>
                <w:rFonts w:ascii="Arial" w:cs="Arial" w:eastAsia="Arial" w:hAnsi="Arial"/>
                <w:sz w:val="14"/>
                <w:szCs w:val="14"/>
                <w:color w:val="auto"/>
              </w:rPr>
              <w:t>322,000</w:t>
            </w:r>
          </w:p>
        </w:tc>
      </w:tr>
      <w:tr>
        <w:trPr>
          <w:trHeight w:val="190"/>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Starr</w:t>
            </w:r>
          </w:p>
        </w:tc>
        <w:tc>
          <w:tcPr>
            <w:tcW w:w="280" w:type="dxa"/>
            <w:vAlign w:val="bottom"/>
          </w:tcPr>
          <w:p>
            <w:pPr>
              <w:ind w:left="20"/>
              <w:spacing w:after="0"/>
              <w:rPr>
                <w:sz w:val="20"/>
                <w:szCs w:val="20"/>
                <w:color w:val="auto"/>
              </w:rPr>
            </w:pPr>
            <w:r>
              <w:rPr>
                <w:rFonts w:ascii="Arial" w:cs="Arial" w:eastAsia="Arial" w:hAnsi="Arial"/>
                <w:sz w:val="14"/>
                <w:szCs w:val="14"/>
                <w:color w:val="auto"/>
              </w:rPr>
              <w:t>343</w:t>
            </w:r>
          </w:p>
        </w:tc>
        <w:tc>
          <w:tcPr>
            <w:tcW w:w="2940" w:type="dxa"/>
            <w:vAlign w:val="bottom"/>
            <w:gridSpan w:val="2"/>
          </w:tcPr>
          <w:p>
            <w:pPr>
              <w:ind w:left="20"/>
              <w:spacing w:after="0"/>
              <w:rPr>
                <w:sz w:val="20"/>
                <w:szCs w:val="20"/>
                <w:color w:val="auto"/>
              </w:rPr>
            </w:pPr>
            <w:r>
              <w:rPr>
                <w:rFonts w:ascii="Arial" w:cs="Arial" w:eastAsia="Arial" w:hAnsi="Arial"/>
                <w:sz w:val="14"/>
                <w:szCs w:val="14"/>
                <w:color w:val="auto"/>
              </w:rPr>
              <w:t>Madison Avenue</w:t>
            </w:r>
          </w:p>
        </w:tc>
        <w:tc>
          <w:tcPr>
            <w:tcW w:w="2060" w:type="dxa"/>
            <w:vAlign w:val="bottom"/>
          </w:tcPr>
          <w:p>
            <w:pPr>
              <w:jc w:val="right"/>
              <w:ind w:right="8"/>
              <w:spacing w:after="0"/>
              <w:rPr>
                <w:sz w:val="20"/>
                <w:szCs w:val="20"/>
                <w:color w:val="auto"/>
              </w:rPr>
            </w:pPr>
            <w:r>
              <w:rPr>
                <w:rFonts w:ascii="Arial" w:cs="Arial" w:eastAsia="Arial" w:hAnsi="Arial"/>
                <w:sz w:val="14"/>
                <w:szCs w:val="14"/>
                <w:color w:val="auto"/>
              </w:rPr>
              <w:t>321,000</w:t>
            </w: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Goodwin Procter</w:t>
            </w:r>
          </w:p>
        </w:tc>
        <w:tc>
          <w:tcPr>
            <w:tcW w:w="280" w:type="dxa"/>
            <w:vAlign w:val="bottom"/>
          </w:tcPr>
          <w:p>
            <w:pPr>
              <w:ind w:left="20"/>
              <w:spacing w:after="0"/>
              <w:rPr>
                <w:sz w:val="20"/>
                <w:szCs w:val="20"/>
                <w:color w:val="auto"/>
              </w:rPr>
            </w:pPr>
            <w:r>
              <w:rPr>
                <w:rFonts w:ascii="Arial" w:cs="Arial" w:eastAsia="Arial" w:hAnsi="Arial"/>
                <w:sz w:val="14"/>
                <w:szCs w:val="14"/>
                <w:color w:val="auto"/>
              </w:rPr>
              <w:t>200</w:t>
            </w:r>
          </w:p>
        </w:tc>
        <w:tc>
          <w:tcPr>
            <w:tcW w:w="2940" w:type="dxa"/>
            <w:vAlign w:val="bottom"/>
            <w:gridSpan w:val="2"/>
          </w:tcPr>
          <w:p>
            <w:pPr>
              <w:ind w:left="20"/>
              <w:spacing w:after="0"/>
              <w:rPr>
                <w:sz w:val="20"/>
                <w:szCs w:val="20"/>
                <w:color w:val="auto"/>
              </w:rPr>
            </w:pPr>
            <w:r>
              <w:rPr>
                <w:rFonts w:ascii="Arial" w:cs="Arial" w:eastAsia="Arial" w:hAnsi="Arial"/>
                <w:sz w:val="14"/>
                <w:szCs w:val="14"/>
                <w:color w:val="auto"/>
              </w:rPr>
              <w:t>Fifth Avenue</w:t>
            </w:r>
          </w:p>
        </w:tc>
        <w:tc>
          <w:tcPr>
            <w:tcW w:w="2060" w:type="dxa"/>
            <w:vAlign w:val="bottom"/>
          </w:tcPr>
          <w:p>
            <w:pPr>
              <w:jc w:val="right"/>
              <w:ind w:right="8"/>
              <w:spacing w:after="0"/>
              <w:rPr>
                <w:sz w:val="20"/>
                <w:szCs w:val="20"/>
                <w:color w:val="auto"/>
              </w:rPr>
            </w:pPr>
            <w:r>
              <w:rPr>
                <w:rFonts w:ascii="Arial" w:cs="Arial" w:eastAsia="Arial" w:hAnsi="Arial"/>
                <w:sz w:val="14"/>
                <w:szCs w:val="14"/>
                <w:color w:val="auto"/>
              </w:rPr>
              <w:t>310,000</w:t>
            </w:r>
          </w:p>
        </w:tc>
      </w:tr>
      <w:tr>
        <w:trPr>
          <w:trHeight w:val="242"/>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 xml:space="preserve">Sidley Austin </w:t>
            </w:r>
            <w:r>
              <w:rPr>
                <w:rFonts w:ascii="Arial" w:cs="Arial" w:eastAsia="Arial" w:hAnsi="Arial"/>
                <w:sz w:val="18"/>
                <w:szCs w:val="18"/>
                <w:color w:val="auto"/>
                <w:vertAlign w:val="superscript"/>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2100 M Street</w:t>
            </w:r>
          </w:p>
        </w:tc>
        <w:tc>
          <w:tcPr>
            <w:tcW w:w="2060" w:type="dxa"/>
            <w:vAlign w:val="bottom"/>
          </w:tcPr>
          <w:p>
            <w:pPr>
              <w:jc w:val="right"/>
              <w:ind w:right="8"/>
              <w:spacing w:after="0"/>
              <w:rPr>
                <w:sz w:val="20"/>
                <w:szCs w:val="20"/>
                <w:color w:val="auto"/>
              </w:rPr>
            </w:pPr>
            <w:r>
              <w:rPr>
                <w:rFonts w:ascii="Arial" w:cs="Arial" w:eastAsia="Arial" w:hAnsi="Arial"/>
                <w:sz w:val="14"/>
                <w:szCs w:val="14"/>
                <w:color w:val="auto"/>
              </w:rPr>
              <w:t>234,000</w:t>
            </w:r>
          </w:p>
        </w:tc>
      </w:tr>
      <w:tr>
        <w:trPr>
          <w:trHeight w:val="190"/>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Google</w:t>
            </w:r>
          </w:p>
        </w:tc>
        <w:tc>
          <w:tcPr>
            <w:tcW w:w="280" w:type="dxa"/>
            <w:vAlign w:val="bottom"/>
          </w:tcPr>
          <w:p>
            <w:pPr>
              <w:ind w:left="20"/>
              <w:spacing w:after="0"/>
              <w:rPr>
                <w:sz w:val="20"/>
                <w:szCs w:val="20"/>
                <w:color w:val="auto"/>
              </w:rPr>
            </w:pPr>
            <w:r>
              <w:rPr>
                <w:rFonts w:ascii="Arial" w:cs="Arial" w:eastAsia="Arial" w:hAnsi="Arial"/>
                <w:sz w:val="14"/>
                <w:szCs w:val="14"/>
                <w:color w:val="auto"/>
              </w:rPr>
              <w:t>500</w:t>
            </w:r>
          </w:p>
        </w:tc>
        <w:tc>
          <w:tcPr>
            <w:tcW w:w="2940" w:type="dxa"/>
            <w:vAlign w:val="bottom"/>
            <w:gridSpan w:val="2"/>
          </w:tcPr>
          <w:p>
            <w:pPr>
              <w:ind w:left="20"/>
              <w:spacing w:after="0"/>
              <w:rPr>
                <w:sz w:val="20"/>
                <w:szCs w:val="20"/>
                <w:color w:val="auto"/>
              </w:rPr>
            </w:pPr>
            <w:r>
              <w:rPr>
                <w:rFonts w:ascii="Arial" w:cs="Arial" w:eastAsia="Arial" w:hAnsi="Arial"/>
                <w:sz w:val="14"/>
                <w:szCs w:val="14"/>
                <w:color w:val="auto"/>
              </w:rPr>
              <w:t>North Capitol Street, N.W.</w:t>
            </w:r>
          </w:p>
        </w:tc>
        <w:tc>
          <w:tcPr>
            <w:tcW w:w="2060" w:type="dxa"/>
            <w:vAlign w:val="bottom"/>
          </w:tcPr>
          <w:p>
            <w:pPr>
              <w:jc w:val="right"/>
              <w:ind w:right="8"/>
              <w:spacing w:after="0"/>
              <w:rPr>
                <w:sz w:val="20"/>
                <w:szCs w:val="20"/>
                <w:color w:val="auto"/>
              </w:rPr>
            </w:pPr>
            <w:r>
              <w:rPr>
                <w:rFonts w:ascii="Arial" w:cs="Arial" w:eastAsia="Arial" w:hAnsi="Arial"/>
                <w:sz w:val="14"/>
                <w:szCs w:val="14"/>
                <w:color w:val="auto"/>
              </w:rPr>
              <w:t>206,000</w:t>
            </w: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McDermott Will &amp; Schulte</w:t>
            </w:r>
          </w:p>
        </w:tc>
        <w:tc>
          <w:tcPr>
            <w:tcW w:w="280" w:type="dxa"/>
            <w:vAlign w:val="bottom"/>
          </w:tcPr>
          <w:p>
            <w:pPr>
              <w:ind w:left="20"/>
              <w:spacing w:after="0"/>
              <w:rPr>
                <w:sz w:val="20"/>
                <w:szCs w:val="20"/>
                <w:color w:val="auto"/>
              </w:rPr>
            </w:pPr>
            <w:r>
              <w:rPr>
                <w:rFonts w:ascii="Arial" w:cs="Arial" w:eastAsia="Arial" w:hAnsi="Arial"/>
                <w:sz w:val="14"/>
                <w:szCs w:val="14"/>
                <w:color w:val="auto"/>
              </w:rPr>
              <w:t>725</w:t>
            </w:r>
          </w:p>
        </w:tc>
        <w:tc>
          <w:tcPr>
            <w:tcW w:w="2940" w:type="dxa"/>
            <w:vAlign w:val="bottom"/>
            <w:gridSpan w:val="2"/>
          </w:tcPr>
          <w:p>
            <w:pPr>
              <w:ind w:left="20"/>
              <w:spacing w:after="0"/>
              <w:rPr>
                <w:sz w:val="20"/>
                <w:szCs w:val="20"/>
                <w:color w:val="auto"/>
              </w:rPr>
            </w:pPr>
            <w:r>
              <w:rPr>
                <w:rFonts w:ascii="Arial" w:cs="Arial" w:eastAsia="Arial" w:hAnsi="Arial"/>
                <w:sz w:val="14"/>
                <w:szCs w:val="14"/>
                <w:color w:val="auto"/>
              </w:rPr>
              <w:t>12th Street</w:t>
            </w:r>
          </w:p>
        </w:tc>
        <w:tc>
          <w:tcPr>
            <w:tcW w:w="2060" w:type="dxa"/>
            <w:vAlign w:val="bottom"/>
          </w:tcPr>
          <w:p>
            <w:pPr>
              <w:jc w:val="right"/>
              <w:ind w:right="8"/>
              <w:spacing w:after="0"/>
              <w:rPr>
                <w:sz w:val="20"/>
                <w:szCs w:val="20"/>
                <w:color w:val="auto"/>
              </w:rPr>
            </w:pPr>
            <w:r>
              <w:rPr>
                <w:rFonts w:ascii="Arial" w:cs="Arial" w:eastAsia="Arial" w:hAnsi="Arial"/>
                <w:sz w:val="14"/>
                <w:szCs w:val="14"/>
                <w:color w:val="auto"/>
              </w:rPr>
              <w:t>152,000</w:t>
            </w: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McDermott Will &amp; Schulte</w:t>
            </w:r>
          </w:p>
        </w:tc>
        <w:tc>
          <w:tcPr>
            <w:tcW w:w="280" w:type="dxa"/>
            <w:vAlign w:val="bottom"/>
          </w:tcPr>
          <w:p>
            <w:pPr>
              <w:ind w:left="20"/>
              <w:spacing w:after="0"/>
              <w:rPr>
                <w:sz w:val="20"/>
                <w:szCs w:val="20"/>
                <w:color w:val="auto"/>
              </w:rPr>
            </w:pPr>
            <w:r>
              <w:rPr>
                <w:rFonts w:ascii="Arial" w:cs="Arial" w:eastAsia="Arial" w:hAnsi="Arial"/>
                <w:sz w:val="14"/>
                <w:szCs w:val="14"/>
                <w:color w:val="auto"/>
              </w:rPr>
              <w:t>343</w:t>
            </w:r>
          </w:p>
        </w:tc>
        <w:tc>
          <w:tcPr>
            <w:tcW w:w="2940" w:type="dxa"/>
            <w:vAlign w:val="bottom"/>
            <w:gridSpan w:val="2"/>
          </w:tcPr>
          <w:p>
            <w:pPr>
              <w:ind w:left="20"/>
              <w:spacing w:after="0"/>
              <w:rPr>
                <w:sz w:val="20"/>
                <w:szCs w:val="20"/>
                <w:color w:val="auto"/>
              </w:rPr>
            </w:pPr>
            <w:r>
              <w:rPr>
                <w:rFonts w:ascii="Arial" w:cs="Arial" w:eastAsia="Arial" w:hAnsi="Arial"/>
                <w:sz w:val="14"/>
                <w:szCs w:val="14"/>
                <w:color w:val="auto"/>
              </w:rPr>
              <w:t>Madison Avenue</w:t>
            </w:r>
          </w:p>
        </w:tc>
        <w:tc>
          <w:tcPr>
            <w:tcW w:w="2060" w:type="dxa"/>
            <w:vAlign w:val="bottom"/>
          </w:tcPr>
          <w:p>
            <w:pPr>
              <w:jc w:val="right"/>
              <w:ind w:right="8"/>
              <w:spacing w:after="0"/>
              <w:rPr>
                <w:sz w:val="20"/>
                <w:szCs w:val="20"/>
                <w:color w:val="auto"/>
              </w:rPr>
            </w:pPr>
            <w:r>
              <w:rPr>
                <w:rFonts w:ascii="Arial" w:cs="Arial" w:eastAsia="Arial" w:hAnsi="Arial"/>
                <w:sz w:val="14"/>
                <w:szCs w:val="14"/>
                <w:color w:val="auto"/>
              </w:rPr>
              <w:t>148,000</w:t>
            </w:r>
          </w:p>
        </w:tc>
      </w:tr>
      <w:tr>
        <w:trPr>
          <w:trHeight w:val="216"/>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Cooley</w:t>
            </w:r>
          </w:p>
        </w:tc>
        <w:tc>
          <w:tcPr>
            <w:tcW w:w="280" w:type="dxa"/>
            <w:vAlign w:val="bottom"/>
          </w:tcPr>
          <w:p>
            <w:pPr>
              <w:ind w:left="20"/>
              <w:spacing w:after="0"/>
              <w:rPr>
                <w:sz w:val="20"/>
                <w:szCs w:val="20"/>
                <w:color w:val="auto"/>
              </w:rPr>
            </w:pPr>
            <w:r>
              <w:rPr>
                <w:rFonts w:ascii="Arial" w:cs="Arial" w:eastAsia="Arial" w:hAnsi="Arial"/>
                <w:sz w:val="14"/>
                <w:szCs w:val="14"/>
                <w:color w:val="auto"/>
              </w:rPr>
              <w:t>725</w:t>
            </w:r>
          </w:p>
        </w:tc>
        <w:tc>
          <w:tcPr>
            <w:tcW w:w="2940" w:type="dxa"/>
            <w:vAlign w:val="bottom"/>
            <w:gridSpan w:val="2"/>
          </w:tcPr>
          <w:p>
            <w:pPr>
              <w:ind w:left="20"/>
              <w:spacing w:after="0"/>
              <w:rPr>
                <w:sz w:val="20"/>
                <w:szCs w:val="20"/>
                <w:color w:val="auto"/>
              </w:rPr>
            </w:pPr>
            <w:r>
              <w:rPr>
                <w:rFonts w:ascii="Arial" w:cs="Arial" w:eastAsia="Arial" w:hAnsi="Arial"/>
                <w:sz w:val="14"/>
                <w:szCs w:val="14"/>
                <w:color w:val="auto"/>
              </w:rPr>
              <w:t>12th Street</w:t>
            </w:r>
          </w:p>
        </w:tc>
        <w:tc>
          <w:tcPr>
            <w:tcW w:w="2060" w:type="dxa"/>
            <w:vAlign w:val="bottom"/>
          </w:tcPr>
          <w:p>
            <w:pPr>
              <w:jc w:val="right"/>
              <w:ind w:right="8"/>
              <w:spacing w:after="0"/>
              <w:rPr>
                <w:sz w:val="20"/>
                <w:szCs w:val="20"/>
                <w:color w:val="auto"/>
              </w:rPr>
            </w:pPr>
            <w:r>
              <w:rPr>
                <w:rFonts w:ascii="Arial" w:cs="Arial" w:eastAsia="Arial" w:hAnsi="Arial"/>
                <w:sz w:val="14"/>
                <w:szCs w:val="14"/>
                <w:color w:val="auto"/>
              </w:rPr>
              <w:t>141,000</w:t>
            </w:r>
          </w:p>
        </w:tc>
      </w:tr>
    </w:tbl>
    <w:p>
      <w:pPr>
        <w:spacing w:after="0" w:line="22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CLIENT DIVERSIFICATION </w:t>
      </w:r>
      <w:r>
        <w:rPr>
          <w:rFonts w:ascii="Arial" w:cs="Arial" w:eastAsia="Arial" w:hAnsi="Arial"/>
          <w:sz w:val="18"/>
          <w:szCs w:val="18"/>
          <w:b w:val="1"/>
          <w:bCs w:val="1"/>
          <w:i w:val="1"/>
          <w:i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6137910" cy="2186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13791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62"/>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56.</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Based on BXP’s Share of Annualized Rental Obligations.</w:t>
      </w:r>
    </w:p>
    <w:p>
      <w:pPr>
        <w:spacing w:after="0" w:line="1" w:lineRule="exact"/>
        <w:rPr>
          <w:sz w:val="20"/>
          <w:szCs w:val="20"/>
          <w:color w:val="auto"/>
        </w:rPr>
      </w:pPr>
    </w:p>
    <w:p>
      <w:pPr>
        <w:ind w:left="80" w:right="20" w:hanging="72"/>
        <w:spacing w:after="0" w:line="226" w:lineRule="auto"/>
        <w:tabs>
          <w:tab w:leader="none" w:pos="78"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Represents leases signed with occupancy commencing in the future on vacant in-service space or properties under development or redevelopment. The number of square feet is an estimate.</w:t>
      </w:r>
    </w:p>
    <w:p>
      <w:pPr>
        <w:ind w:left="80" w:hanging="72"/>
        <w:spacing w:after="0" w:line="237" w:lineRule="auto"/>
        <w:tabs>
          <w:tab w:leader="none" w:pos="80"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Lease executed is for the portion of Reservoir Place under redevelopment. For additional detail, see page 15.</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5 </w:t>
      </w:r>
      <w:r>
        <w:rPr>
          <w:rFonts w:ascii="Arial" w:cs="Arial" w:eastAsia="Arial" w:hAnsi="Arial"/>
          <w:sz w:val="14"/>
          <w:szCs w:val="14"/>
          <w:color w:val="auto"/>
        </w:rPr>
        <w:t>The lease and the commencement of the development are subject to various conditions.</w:t>
      </w:r>
    </w:p>
    <w:p>
      <w:pPr>
        <w:sectPr>
          <w:pgSz w:w="11900" w:h="16838" w:orient="portrait"/>
          <w:cols w:equalWidth="0" w:num="1">
            <w:col w:w="11240"/>
          </w:cols>
          <w:pgMar w:left="320" w:top="279" w:right="339" w:bottom="606" w:gutter="0" w:footer="0" w:header="0"/>
        </w:sectPr>
      </w:pPr>
    </w:p>
    <w:p>
      <w:pPr>
        <w:spacing w:after="0" w:line="28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40"/>
          </w:cols>
          <w:pgMar w:left="320" w:top="279" w:right="339" w:bottom="606" w:gutter="0" w:footer="0" w:header="0"/>
          <w:type w:val="continuous"/>
        </w:sectPr>
      </w:pPr>
    </w:p>
    <w:bookmarkStart w:id="33" w:name="page34"/>
    <w:bookmarkEnd w:id="33"/>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Occupancy by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TOTAL IN-SERVICE OFFICE PROPERTIES </w:t>
      </w:r>
      <w:r>
        <w:rPr>
          <w:rFonts w:ascii="Arial" w:cs="Arial" w:eastAsia="Arial" w:hAnsi="Arial"/>
          <w:sz w:val="18"/>
          <w:szCs w:val="18"/>
          <w:b w:val="1"/>
          <w:bCs w:val="1"/>
          <w:i w:val="1"/>
          <w:iCs w:val="1"/>
          <w:color w:val="auto"/>
          <w:vertAlign w:val="superscript"/>
        </w:rPr>
        <w:t>1</w:t>
      </w:r>
      <w:r>
        <w:rPr>
          <w:rFonts w:ascii="Arial" w:cs="Arial" w:eastAsia="Arial" w:hAnsi="Arial"/>
          <w:sz w:val="14"/>
          <w:szCs w:val="14"/>
          <w:b w:val="1"/>
          <w:bCs w:val="1"/>
          <w:i w:val="1"/>
          <w:iCs w:val="1"/>
          <w:color w:val="auto"/>
        </w:rPr>
        <w:t xml:space="preserve"> - Quarter-over-Quarter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0628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6285" cy="17145"/>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CBD</w:t>
            </w:r>
          </w:p>
        </w:tc>
        <w:tc>
          <w:tcPr>
            <w:tcW w:w="10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Suburban</w:t>
            </w:r>
          </w:p>
        </w:tc>
        <w:tc>
          <w:tcPr>
            <w:tcW w:w="9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Total</w:t>
            </w:r>
          </w:p>
        </w:tc>
        <w:tc>
          <w:tcPr>
            <w:tcW w:w="1080" w:type="dxa"/>
            <w:vAlign w:val="bottom"/>
            <w:tcBorders>
              <w:bottom w:val="single" w:sz="8" w:color="auto"/>
            </w:tcBorders>
          </w:tcPr>
          <w:p>
            <w:pPr>
              <w:spacing w:after="0"/>
              <w:rPr>
                <w:sz w:val="17"/>
                <w:szCs w:val="17"/>
                <w:color w:val="auto"/>
              </w:rPr>
            </w:pPr>
          </w:p>
        </w:tc>
      </w:tr>
      <w:tr>
        <w:trPr>
          <w:trHeight w:val="210"/>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30-Sep-26</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30-Jun-26</w:t>
            </w:r>
          </w:p>
        </w:tc>
        <w:tc>
          <w:tcPr>
            <w:tcW w:w="280" w:type="dxa"/>
            <w:vAlign w:val="bottom"/>
          </w:tcPr>
          <w:p>
            <w:pPr>
              <w:spacing w:after="0"/>
              <w:rPr>
                <w:sz w:val="18"/>
                <w:szCs w:val="18"/>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30-Sep-26</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30-Jun-26</w:t>
            </w:r>
          </w:p>
        </w:tc>
        <w:tc>
          <w:tcPr>
            <w:tcW w:w="300" w:type="dxa"/>
            <w:vAlign w:val="bottom"/>
          </w:tcPr>
          <w:p>
            <w:pPr>
              <w:spacing w:after="0"/>
              <w:rPr>
                <w:sz w:val="18"/>
                <w:szCs w:val="18"/>
                <w:color w:val="auto"/>
              </w:rPr>
            </w:pPr>
          </w:p>
        </w:tc>
        <w:tc>
          <w:tcPr>
            <w:tcW w:w="12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30-Sep-26</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30-Jun-26</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Boston</w:t>
            </w:r>
          </w:p>
        </w:tc>
        <w:tc>
          <w:tcPr>
            <w:tcW w:w="1240" w:type="dxa"/>
            <w:vAlign w:val="bottom"/>
          </w:tcPr>
          <w:p>
            <w:pPr>
              <w:jc w:val="right"/>
              <w:spacing w:after="0"/>
              <w:rPr>
                <w:sz w:val="20"/>
                <w:szCs w:val="20"/>
                <w:color w:val="auto"/>
              </w:rPr>
            </w:pPr>
            <w:r>
              <w:rPr>
                <w:rFonts w:ascii="Arial" w:cs="Arial" w:eastAsia="Arial" w:hAnsi="Arial"/>
                <w:sz w:val="14"/>
                <w:szCs w:val="14"/>
                <w:color w:val="auto"/>
              </w:rPr>
              <w:t>97.4 %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97.6 %</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81.5 %</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79.0 %</w:t>
            </w:r>
          </w:p>
        </w:tc>
        <w:tc>
          <w:tcPr>
            <w:tcW w:w="3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93.4 %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92.9 %</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Los Angeles</w:t>
            </w:r>
          </w:p>
        </w:tc>
        <w:tc>
          <w:tcPr>
            <w:tcW w:w="1240" w:type="dxa"/>
            <w:vAlign w:val="bottom"/>
          </w:tcPr>
          <w:p>
            <w:pPr>
              <w:jc w:val="right"/>
              <w:spacing w:after="0"/>
              <w:rPr>
                <w:sz w:val="20"/>
                <w:szCs w:val="20"/>
                <w:color w:val="auto"/>
              </w:rPr>
            </w:pPr>
            <w:r>
              <w:rPr>
                <w:rFonts w:ascii="Arial" w:cs="Arial" w:eastAsia="Arial" w:hAnsi="Arial"/>
                <w:sz w:val="14"/>
                <w:szCs w:val="14"/>
                <w:color w:val="auto"/>
              </w:rPr>
              <w:t>90.0 %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88.2 %</w:t>
            </w:r>
          </w:p>
        </w:tc>
        <w:tc>
          <w:tcPr>
            <w:tcW w:w="280" w:type="dxa"/>
            <w:vAlign w:val="bottom"/>
          </w:tcPr>
          <w:p>
            <w:pPr>
              <w:spacing w:after="0"/>
              <w:rPr>
                <w:sz w:val="18"/>
                <w:szCs w:val="18"/>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color w:val="auto"/>
              </w:rPr>
              <w:t>— %</w:t>
            </w:r>
          </w:p>
        </w:tc>
        <w:tc>
          <w:tcPr>
            <w:tcW w:w="1280" w:type="dxa"/>
            <w:vAlign w:val="bottom"/>
            <w:gridSpan w:val="2"/>
          </w:tcPr>
          <w:p>
            <w:pPr>
              <w:jc w:val="right"/>
              <w:ind w:right="320"/>
              <w:spacing w:after="0"/>
              <w:rPr>
                <w:sz w:val="20"/>
                <w:szCs w:val="20"/>
                <w:color w:val="auto"/>
              </w:rPr>
            </w:pPr>
            <w:r>
              <w:rPr>
                <w:rFonts w:ascii="Arial" w:cs="Arial" w:eastAsia="Arial" w:hAnsi="Arial"/>
                <w:sz w:val="14"/>
                <w:szCs w:val="14"/>
                <w:color w:val="auto"/>
              </w:rPr>
              <w:t>— %</w:t>
            </w:r>
          </w:p>
        </w:tc>
        <w:tc>
          <w:tcPr>
            <w:tcW w:w="1260" w:type="dxa"/>
            <w:vAlign w:val="bottom"/>
          </w:tcPr>
          <w:p>
            <w:pPr>
              <w:jc w:val="right"/>
              <w:spacing w:after="0"/>
              <w:rPr>
                <w:sz w:val="20"/>
                <w:szCs w:val="20"/>
                <w:color w:val="auto"/>
              </w:rPr>
            </w:pPr>
            <w:r>
              <w:rPr>
                <w:rFonts w:ascii="Arial" w:cs="Arial" w:eastAsia="Arial" w:hAnsi="Arial"/>
                <w:sz w:val="14"/>
                <w:szCs w:val="14"/>
                <w:color w:val="auto"/>
              </w:rPr>
              <w:t>90.0 %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88.2 %</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New York</w:t>
            </w:r>
          </w:p>
        </w:tc>
        <w:tc>
          <w:tcPr>
            <w:tcW w:w="1240" w:type="dxa"/>
            <w:vAlign w:val="bottom"/>
          </w:tcPr>
          <w:p>
            <w:pPr>
              <w:jc w:val="right"/>
              <w:spacing w:after="0"/>
              <w:rPr>
                <w:sz w:val="20"/>
                <w:szCs w:val="20"/>
                <w:color w:val="auto"/>
              </w:rPr>
            </w:pPr>
            <w:r>
              <w:rPr>
                <w:rFonts w:ascii="Arial" w:cs="Arial" w:eastAsia="Arial" w:hAnsi="Arial"/>
                <w:sz w:val="14"/>
                <w:szCs w:val="14"/>
                <w:color w:val="auto"/>
              </w:rPr>
              <w:t>89.8 %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88.9 %</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75.4 %</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75.8 %</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87.3 %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86.7 %</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San Francisco</w:t>
            </w:r>
          </w:p>
        </w:tc>
        <w:tc>
          <w:tcPr>
            <w:tcW w:w="1240" w:type="dxa"/>
            <w:vAlign w:val="bottom"/>
          </w:tcPr>
          <w:p>
            <w:pPr>
              <w:jc w:val="right"/>
              <w:spacing w:after="0"/>
              <w:rPr>
                <w:sz w:val="20"/>
                <w:szCs w:val="20"/>
                <w:color w:val="auto"/>
              </w:rPr>
            </w:pPr>
            <w:r>
              <w:rPr>
                <w:rFonts w:ascii="Arial" w:cs="Arial" w:eastAsia="Arial" w:hAnsi="Arial"/>
                <w:sz w:val="14"/>
                <w:szCs w:val="14"/>
                <w:color w:val="auto"/>
              </w:rPr>
              <w:t>84.4 %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82.5 %</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57.4 %</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57.4 %</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81.4 %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79.7 %</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Seattle</w:t>
            </w:r>
          </w:p>
        </w:tc>
        <w:tc>
          <w:tcPr>
            <w:tcW w:w="1240" w:type="dxa"/>
            <w:vAlign w:val="bottom"/>
          </w:tcPr>
          <w:p>
            <w:pPr>
              <w:jc w:val="right"/>
              <w:spacing w:after="0"/>
              <w:rPr>
                <w:sz w:val="20"/>
                <w:szCs w:val="20"/>
                <w:color w:val="auto"/>
              </w:rPr>
            </w:pPr>
            <w:r>
              <w:rPr>
                <w:rFonts w:ascii="Arial" w:cs="Arial" w:eastAsia="Arial" w:hAnsi="Arial"/>
                <w:sz w:val="14"/>
                <w:szCs w:val="14"/>
                <w:color w:val="auto"/>
              </w:rPr>
              <w:t>87.0 %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81.9 %</w:t>
            </w:r>
          </w:p>
        </w:tc>
        <w:tc>
          <w:tcPr>
            <w:tcW w:w="280" w:type="dxa"/>
            <w:vAlign w:val="bottom"/>
          </w:tcPr>
          <w:p>
            <w:pPr>
              <w:spacing w:after="0"/>
              <w:rPr>
                <w:sz w:val="18"/>
                <w:szCs w:val="18"/>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color w:val="auto"/>
              </w:rPr>
              <w:t>— %</w:t>
            </w:r>
          </w:p>
        </w:tc>
        <w:tc>
          <w:tcPr>
            <w:tcW w:w="1280" w:type="dxa"/>
            <w:vAlign w:val="bottom"/>
            <w:gridSpan w:val="2"/>
          </w:tcPr>
          <w:p>
            <w:pPr>
              <w:jc w:val="right"/>
              <w:ind w:right="320"/>
              <w:spacing w:after="0"/>
              <w:rPr>
                <w:sz w:val="20"/>
                <w:szCs w:val="20"/>
                <w:color w:val="auto"/>
              </w:rPr>
            </w:pPr>
            <w:r>
              <w:rPr>
                <w:rFonts w:ascii="Arial" w:cs="Arial" w:eastAsia="Arial" w:hAnsi="Arial"/>
                <w:sz w:val="14"/>
                <w:szCs w:val="14"/>
                <w:color w:val="auto"/>
              </w:rPr>
              <w:t>— %</w:t>
            </w:r>
          </w:p>
        </w:tc>
        <w:tc>
          <w:tcPr>
            <w:tcW w:w="1260" w:type="dxa"/>
            <w:vAlign w:val="bottom"/>
          </w:tcPr>
          <w:p>
            <w:pPr>
              <w:jc w:val="right"/>
              <w:spacing w:after="0"/>
              <w:rPr>
                <w:sz w:val="20"/>
                <w:szCs w:val="20"/>
                <w:color w:val="auto"/>
              </w:rPr>
            </w:pPr>
            <w:r>
              <w:rPr>
                <w:rFonts w:ascii="Arial" w:cs="Arial" w:eastAsia="Arial" w:hAnsi="Arial"/>
                <w:sz w:val="14"/>
                <w:szCs w:val="14"/>
                <w:color w:val="auto"/>
              </w:rPr>
              <w:t>87.0 %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81.9 %</w:t>
            </w:r>
          </w:p>
        </w:tc>
      </w:tr>
      <w:tr>
        <w:trPr>
          <w:trHeight w:val="220"/>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Washington, DC</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93.1 %</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91.5 %</w:t>
            </w:r>
          </w:p>
        </w:tc>
        <w:tc>
          <w:tcPr>
            <w:tcW w:w="2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52.8 %</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44.6 %</w:t>
            </w:r>
          </w:p>
        </w:tc>
        <w:tc>
          <w:tcPr>
            <w:tcW w:w="30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92.2 %</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90.5 %</w:t>
            </w:r>
          </w:p>
        </w:tc>
      </w:tr>
      <w:tr>
        <w:trPr>
          <w:trHeight w:val="209"/>
        </w:trPr>
        <w:tc>
          <w:tcPr>
            <w:tcW w:w="2500" w:type="dxa"/>
            <w:vAlign w:val="bottom"/>
            <w:gridSpan w:val="2"/>
          </w:tcPr>
          <w:p>
            <w:pPr>
              <w:ind w:left="140"/>
              <w:spacing w:after="0"/>
              <w:rPr>
                <w:sz w:val="20"/>
                <w:szCs w:val="20"/>
                <w:color w:val="auto"/>
              </w:rPr>
            </w:pPr>
            <w:r>
              <w:rPr>
                <w:rFonts w:ascii="Arial" w:cs="Arial" w:eastAsia="Arial" w:hAnsi="Arial"/>
                <w:sz w:val="14"/>
                <w:szCs w:val="14"/>
                <w:color w:val="auto"/>
              </w:rPr>
              <w:t>Total Portfolio</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91.8 %</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90.7 %</w:t>
            </w:r>
          </w:p>
        </w:tc>
        <w:tc>
          <w:tcPr>
            <w:tcW w:w="2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76.5 %</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75.1 %</w:t>
            </w:r>
          </w:p>
        </w:tc>
        <w:tc>
          <w:tcPr>
            <w:tcW w:w="3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89.4 %</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60325</wp:posOffset>
            </wp:positionV>
            <wp:extent cx="5709285" cy="18859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0928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SAME PROPERTY OFFICE PROPERTIES </w:t>
      </w:r>
      <w:r>
        <w:rPr>
          <w:rFonts w:ascii="Arial" w:cs="Arial" w:eastAsia="Arial" w:hAnsi="Arial"/>
          <w:sz w:val="9"/>
          <w:szCs w:val="9"/>
          <w:b w:val="1"/>
          <w:bCs w:val="1"/>
          <w:i w:val="1"/>
          <w:iCs w:val="1"/>
          <w:color w:val="auto"/>
        </w:rPr>
        <w:t>1, 2</w:t>
      </w:r>
      <w:r>
        <w:rPr>
          <w:rFonts w:ascii="Arial" w:cs="Arial" w:eastAsia="Arial" w:hAnsi="Arial"/>
          <w:sz w:val="14"/>
          <w:szCs w:val="14"/>
          <w:b w:val="1"/>
          <w:bCs w:val="1"/>
          <w:i w:val="1"/>
          <w:iCs w:val="1"/>
          <w:color w:val="auto"/>
        </w:rPr>
        <w:t xml:space="preserve"> -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CBD</w:t>
            </w:r>
          </w:p>
        </w:tc>
        <w:tc>
          <w:tcPr>
            <w:tcW w:w="10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7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Suburban</w:t>
            </w:r>
          </w:p>
        </w:tc>
        <w:tc>
          <w:tcPr>
            <w:tcW w:w="9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Total</w:t>
            </w:r>
          </w:p>
        </w:tc>
        <w:tc>
          <w:tcPr>
            <w:tcW w:w="1100" w:type="dxa"/>
            <w:vAlign w:val="bottom"/>
            <w:tcBorders>
              <w:bottom w:val="single" w:sz="8" w:color="auto"/>
            </w:tcBorders>
          </w:tcPr>
          <w:p>
            <w:pPr>
              <w:spacing w:after="0"/>
              <w:rPr>
                <w:sz w:val="17"/>
                <w:szCs w:val="17"/>
                <w:color w:val="auto"/>
              </w:rPr>
            </w:pPr>
          </w:p>
        </w:tc>
      </w:tr>
      <w:tr>
        <w:trPr>
          <w:trHeight w:val="209"/>
        </w:trPr>
        <w:tc>
          <w:tcPr>
            <w:tcW w:w="2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8"/>
                <w:szCs w:val="18"/>
                <w:color w:val="auto"/>
              </w:rPr>
            </w:pPr>
          </w:p>
        </w:tc>
        <w:tc>
          <w:tcPr>
            <w:tcW w:w="12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30-Sep-26</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30-Sep-25</w:t>
            </w:r>
          </w:p>
        </w:tc>
        <w:tc>
          <w:tcPr>
            <w:tcW w:w="280" w:type="dxa"/>
            <w:vAlign w:val="bottom"/>
          </w:tcPr>
          <w:p>
            <w:pPr>
              <w:spacing w:after="0"/>
              <w:rPr>
                <w:sz w:val="18"/>
                <w:szCs w:val="18"/>
                <w:color w:val="auto"/>
              </w:rPr>
            </w:pPr>
          </w:p>
        </w:tc>
        <w:tc>
          <w:tcPr>
            <w:tcW w:w="12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30-Sep-26</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30-Sep-25</w:t>
            </w:r>
          </w:p>
        </w:tc>
        <w:tc>
          <w:tcPr>
            <w:tcW w:w="300" w:type="dxa"/>
            <w:vAlign w:val="bottom"/>
          </w:tcPr>
          <w:p>
            <w:pPr>
              <w:spacing w:after="0"/>
              <w:rPr>
                <w:sz w:val="18"/>
                <w:szCs w:val="18"/>
                <w:color w:val="auto"/>
              </w:rPr>
            </w:pPr>
          </w:p>
        </w:tc>
        <w:tc>
          <w:tcPr>
            <w:tcW w:w="12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30-Sep-26</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30-Sep-25</w:t>
            </w:r>
          </w:p>
        </w:tc>
      </w:tr>
      <w:tr>
        <w:trPr>
          <w:trHeight w:val="203"/>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Boston</w:t>
            </w:r>
          </w:p>
        </w:tc>
        <w:tc>
          <w:tcPr>
            <w:tcW w:w="1240" w:type="dxa"/>
            <w:vAlign w:val="bottom"/>
          </w:tcPr>
          <w:p>
            <w:pPr>
              <w:jc w:val="right"/>
              <w:spacing w:after="0"/>
              <w:rPr>
                <w:sz w:val="20"/>
                <w:szCs w:val="20"/>
                <w:color w:val="auto"/>
              </w:rPr>
            </w:pPr>
            <w:r>
              <w:rPr>
                <w:rFonts w:ascii="Arial" w:cs="Arial" w:eastAsia="Arial" w:hAnsi="Arial"/>
                <w:sz w:val="14"/>
                <w:szCs w:val="14"/>
                <w:color w:val="auto"/>
              </w:rPr>
              <w:t>97.3 %</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97.3 %</w:t>
            </w:r>
          </w:p>
        </w:tc>
        <w:tc>
          <w:tcPr>
            <w:tcW w:w="2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81.5 %</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74.4 %</w:t>
            </w:r>
          </w:p>
        </w:tc>
        <w:tc>
          <w:tcPr>
            <w:tcW w:w="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93.2 %</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91.3 %</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Los Angeles</w:t>
            </w:r>
          </w:p>
        </w:tc>
        <w:tc>
          <w:tcPr>
            <w:tcW w:w="1240" w:type="dxa"/>
            <w:vAlign w:val="bottom"/>
          </w:tcPr>
          <w:p>
            <w:pPr>
              <w:jc w:val="right"/>
              <w:spacing w:after="0"/>
              <w:rPr>
                <w:sz w:val="20"/>
                <w:szCs w:val="20"/>
                <w:color w:val="auto"/>
              </w:rPr>
            </w:pPr>
            <w:r>
              <w:rPr>
                <w:rFonts w:ascii="Arial" w:cs="Arial" w:eastAsia="Arial" w:hAnsi="Arial"/>
                <w:sz w:val="14"/>
                <w:szCs w:val="14"/>
                <w:color w:val="auto"/>
              </w:rPr>
              <w:t>90.0 %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87.5 %</w:t>
            </w:r>
          </w:p>
        </w:tc>
        <w:tc>
          <w:tcPr>
            <w:tcW w:w="280" w:type="dxa"/>
            <w:vAlign w:val="bottom"/>
          </w:tcPr>
          <w:p>
            <w:pPr>
              <w:spacing w:after="0"/>
              <w:rPr>
                <w:sz w:val="18"/>
                <w:szCs w:val="18"/>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color w:val="auto"/>
              </w:rPr>
              <w:t>— %</w:t>
            </w: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 %</w:t>
            </w:r>
          </w:p>
        </w:tc>
        <w:tc>
          <w:tcPr>
            <w:tcW w:w="1280" w:type="dxa"/>
            <w:vAlign w:val="bottom"/>
          </w:tcPr>
          <w:p>
            <w:pPr>
              <w:jc w:val="right"/>
              <w:spacing w:after="0"/>
              <w:rPr>
                <w:sz w:val="20"/>
                <w:szCs w:val="20"/>
                <w:color w:val="auto"/>
              </w:rPr>
            </w:pPr>
            <w:r>
              <w:rPr>
                <w:rFonts w:ascii="Arial" w:cs="Arial" w:eastAsia="Arial" w:hAnsi="Arial"/>
                <w:sz w:val="14"/>
                <w:szCs w:val="14"/>
                <w:color w:val="auto"/>
              </w:rPr>
              <w:t>90.0 %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87.5 %</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New York</w:t>
            </w:r>
          </w:p>
        </w:tc>
        <w:tc>
          <w:tcPr>
            <w:tcW w:w="1240" w:type="dxa"/>
            <w:vAlign w:val="bottom"/>
          </w:tcPr>
          <w:p>
            <w:pPr>
              <w:jc w:val="right"/>
              <w:spacing w:after="0"/>
              <w:rPr>
                <w:sz w:val="20"/>
                <w:szCs w:val="20"/>
                <w:color w:val="auto"/>
              </w:rPr>
            </w:pPr>
            <w:r>
              <w:rPr>
                <w:rFonts w:ascii="Arial" w:cs="Arial" w:eastAsia="Arial" w:hAnsi="Arial"/>
                <w:sz w:val="14"/>
                <w:szCs w:val="14"/>
                <w:color w:val="auto"/>
              </w:rPr>
              <w:t>90.4 %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87.3 %</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75.4 %</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72.6 %</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87.8 %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84.8 %</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San Francisco</w:t>
            </w:r>
          </w:p>
        </w:tc>
        <w:tc>
          <w:tcPr>
            <w:tcW w:w="1240" w:type="dxa"/>
            <w:vAlign w:val="bottom"/>
          </w:tcPr>
          <w:p>
            <w:pPr>
              <w:jc w:val="right"/>
              <w:spacing w:after="0"/>
              <w:rPr>
                <w:sz w:val="20"/>
                <w:szCs w:val="20"/>
                <w:color w:val="auto"/>
              </w:rPr>
            </w:pPr>
            <w:r>
              <w:rPr>
                <w:rFonts w:ascii="Arial" w:cs="Arial" w:eastAsia="Arial" w:hAnsi="Arial"/>
                <w:sz w:val="14"/>
                <w:szCs w:val="14"/>
                <w:color w:val="auto"/>
              </w:rPr>
              <w:t>84.4 %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80.7 %</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57.4 %</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58.8 %</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81.4 %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78.3 %</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Seattle</w:t>
            </w:r>
          </w:p>
        </w:tc>
        <w:tc>
          <w:tcPr>
            <w:tcW w:w="1240" w:type="dxa"/>
            <w:vAlign w:val="bottom"/>
          </w:tcPr>
          <w:p>
            <w:pPr>
              <w:jc w:val="right"/>
              <w:spacing w:after="0"/>
              <w:rPr>
                <w:sz w:val="20"/>
                <w:szCs w:val="20"/>
                <w:color w:val="auto"/>
              </w:rPr>
            </w:pPr>
            <w:r>
              <w:rPr>
                <w:rFonts w:ascii="Arial" w:cs="Arial" w:eastAsia="Arial" w:hAnsi="Arial"/>
                <w:sz w:val="14"/>
                <w:szCs w:val="14"/>
                <w:color w:val="auto"/>
              </w:rPr>
              <w:t>87.0 %</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82.6 %</w:t>
            </w:r>
          </w:p>
        </w:tc>
        <w:tc>
          <w:tcPr>
            <w:tcW w:w="280" w:type="dxa"/>
            <w:vAlign w:val="bottom"/>
          </w:tcPr>
          <w:p>
            <w:pPr>
              <w:spacing w:after="0"/>
              <w:rPr>
                <w:sz w:val="18"/>
                <w:szCs w:val="18"/>
                <w:color w:val="auto"/>
              </w:rPr>
            </w:pPr>
          </w:p>
        </w:tc>
        <w:tc>
          <w:tcPr>
            <w:tcW w:w="1720" w:type="dxa"/>
            <w:vAlign w:val="bottom"/>
            <w:gridSpan w:val="3"/>
          </w:tcPr>
          <w:p>
            <w:pPr>
              <w:jc w:val="right"/>
              <w:ind w:right="480"/>
              <w:spacing w:after="0"/>
              <w:rPr>
                <w:sz w:val="20"/>
                <w:szCs w:val="20"/>
                <w:color w:val="auto"/>
              </w:rPr>
            </w:pPr>
            <w:r>
              <w:rPr>
                <w:rFonts w:ascii="Arial" w:cs="Arial" w:eastAsia="Arial" w:hAnsi="Arial"/>
                <w:sz w:val="14"/>
                <w:szCs w:val="14"/>
                <w:color w:val="auto"/>
              </w:rPr>
              <w:t>— %</w:t>
            </w:r>
          </w:p>
        </w:tc>
        <w:tc>
          <w:tcPr>
            <w:tcW w:w="1280" w:type="dxa"/>
            <w:vAlign w:val="bottom"/>
            <w:gridSpan w:val="2"/>
          </w:tcPr>
          <w:p>
            <w:pPr>
              <w:jc w:val="right"/>
              <w:ind w:right="300"/>
              <w:spacing w:after="0"/>
              <w:rPr>
                <w:sz w:val="20"/>
                <w:szCs w:val="20"/>
                <w:color w:val="auto"/>
              </w:rPr>
            </w:pPr>
            <w:r>
              <w:rPr>
                <w:rFonts w:ascii="Arial" w:cs="Arial" w:eastAsia="Arial" w:hAnsi="Arial"/>
                <w:sz w:val="14"/>
                <w:szCs w:val="14"/>
                <w:color w:val="auto"/>
              </w:rPr>
              <w:t>— %</w:t>
            </w:r>
          </w:p>
        </w:tc>
        <w:tc>
          <w:tcPr>
            <w:tcW w:w="1280" w:type="dxa"/>
            <w:vAlign w:val="bottom"/>
          </w:tcPr>
          <w:p>
            <w:pPr>
              <w:jc w:val="right"/>
              <w:spacing w:after="0"/>
              <w:rPr>
                <w:sz w:val="20"/>
                <w:szCs w:val="20"/>
                <w:color w:val="auto"/>
              </w:rPr>
            </w:pPr>
            <w:r>
              <w:rPr>
                <w:rFonts w:ascii="Arial" w:cs="Arial" w:eastAsia="Arial" w:hAnsi="Arial"/>
                <w:sz w:val="14"/>
                <w:szCs w:val="14"/>
                <w:color w:val="auto"/>
              </w:rPr>
              <w:t>87.0 %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82.6 %</w:t>
            </w:r>
          </w:p>
        </w:tc>
      </w:tr>
      <w:tr>
        <w:trPr>
          <w:trHeight w:val="220"/>
        </w:trPr>
        <w:tc>
          <w:tcPr>
            <w:tcW w:w="2500" w:type="dxa"/>
            <w:vAlign w:val="bottom"/>
            <w:gridSpan w:val="2"/>
          </w:tcPr>
          <w:p>
            <w:pPr>
              <w:ind w:left="20"/>
              <w:spacing w:after="0"/>
              <w:rPr>
                <w:sz w:val="20"/>
                <w:szCs w:val="20"/>
                <w:color w:val="auto"/>
              </w:rPr>
            </w:pPr>
            <w:r>
              <w:rPr>
                <w:rFonts w:ascii="Arial" w:cs="Arial" w:eastAsia="Arial" w:hAnsi="Arial"/>
                <w:sz w:val="14"/>
                <w:szCs w:val="14"/>
                <w:color w:val="auto"/>
              </w:rPr>
              <w:t>Washington, DC</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93.4 %</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93.0 %</w:t>
            </w:r>
          </w:p>
        </w:tc>
        <w:tc>
          <w:tcPr>
            <w:tcW w:w="28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52.8 %</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50.7 %</w:t>
            </w:r>
          </w:p>
        </w:tc>
        <w:tc>
          <w:tcPr>
            <w:tcW w:w="3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92.5 %</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92.1 %</w:t>
            </w:r>
          </w:p>
        </w:tc>
      </w:tr>
      <w:tr>
        <w:trPr>
          <w:trHeight w:val="209"/>
        </w:trPr>
        <w:tc>
          <w:tcPr>
            <w:tcW w:w="2500" w:type="dxa"/>
            <w:vAlign w:val="bottom"/>
            <w:gridSpan w:val="2"/>
          </w:tcPr>
          <w:p>
            <w:pPr>
              <w:ind w:left="140"/>
              <w:spacing w:after="0"/>
              <w:rPr>
                <w:sz w:val="20"/>
                <w:szCs w:val="20"/>
                <w:color w:val="auto"/>
              </w:rPr>
            </w:pPr>
            <w:r>
              <w:rPr>
                <w:rFonts w:ascii="Arial" w:cs="Arial" w:eastAsia="Arial" w:hAnsi="Arial"/>
                <w:sz w:val="14"/>
                <w:szCs w:val="14"/>
                <w:color w:val="auto"/>
              </w:rPr>
              <w:t>Total Portfolio</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91.9 %</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90.1 %</w:t>
            </w:r>
          </w:p>
        </w:tc>
        <w:tc>
          <w:tcPr>
            <w:tcW w:w="28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76.5 %</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71.7 %</w:t>
            </w:r>
          </w:p>
        </w:tc>
        <w:tc>
          <w:tcPr>
            <w:tcW w:w="30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89.5 %</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60325</wp:posOffset>
            </wp:positionV>
            <wp:extent cx="5709285" cy="18859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0928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right="300" w:hanging="72"/>
        <w:spacing w:after="0" w:line="281" w:lineRule="auto"/>
        <w:tabs>
          <w:tab w:leader="none" w:pos="78" w:val="left"/>
        </w:tabs>
        <w:numPr>
          <w:ilvl w:val="0"/>
          <w:numId w:val="65"/>
        </w:numPr>
        <w:rPr>
          <w:rFonts w:ascii="Arial" w:cs="Arial" w:eastAsia="Arial" w:hAnsi="Arial"/>
          <w:sz w:val="9"/>
          <w:szCs w:val="9"/>
          <w:color w:val="auto"/>
        </w:rPr>
      </w:pPr>
      <w:r>
        <w:rPr>
          <w:rFonts w:ascii="Arial" w:cs="Arial" w:eastAsia="Arial" w:hAnsi="Arial"/>
          <w:sz w:val="14"/>
          <w:szCs w:val="14"/>
          <w:color w:val="auto"/>
        </w:rPr>
        <w:t>Represents signed leases for which revenue recognition has commenced in accordance with GAAP. Includes 100% of joint venture properties. Does not include residential units and hotel.</w:t>
      </w:r>
    </w:p>
    <w:p>
      <w:pPr>
        <w:spacing w:after="0" w:line="1" w:lineRule="exact"/>
        <w:rPr>
          <w:sz w:val="20"/>
          <w:szCs w:val="20"/>
          <w:color w:val="auto"/>
        </w:rPr>
      </w:pPr>
    </w:p>
    <w:p>
      <w:pPr>
        <w:ind w:left="80" w:hanging="72"/>
        <w:spacing w:after="0"/>
        <w:tabs>
          <w:tab w:leader="none" w:pos="80" w:val="left"/>
        </w:tabs>
        <w:numPr>
          <w:ilvl w:val="0"/>
          <w:numId w:val="66"/>
        </w:numPr>
        <w:rPr>
          <w:rFonts w:ascii="Arial" w:cs="Arial" w:eastAsia="Arial" w:hAnsi="Arial"/>
          <w:sz w:val="9"/>
          <w:szCs w:val="9"/>
          <w:color w:val="auto"/>
        </w:rPr>
      </w:pPr>
      <w:r>
        <w:rPr>
          <w:rFonts w:ascii="Arial" w:cs="Arial" w:eastAsia="Arial" w:hAnsi="Arial"/>
          <w:sz w:val="14"/>
          <w:szCs w:val="14"/>
          <w:color w:val="auto"/>
        </w:rPr>
        <w:t>See the Definitions and Reconciliations sections of this Supplemental package starting on page 56.</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279" w:right="3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Q3 2026</w:t>
            </w:r>
          </w:p>
        </w:tc>
        <w:tc>
          <w:tcPr>
            <w:tcW w:w="0" w:type="dxa"/>
            <w:vAlign w:val="bottom"/>
          </w:tcPr>
          <w:p>
            <w:pPr>
              <w:spacing w:after="0"/>
              <w:rPr>
                <w:sz w:val="1"/>
                <w:szCs w:val="1"/>
                <w:color w:val="auto"/>
              </w:rPr>
            </w:pPr>
          </w:p>
        </w:tc>
      </w:tr>
      <w:tr>
        <w:trPr>
          <w:trHeight w:val="245"/>
        </w:trPr>
        <w:tc>
          <w:tcPr>
            <w:tcW w:w="43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Capital structure</w:t>
            </w:r>
          </w:p>
        </w:tc>
        <w:tc>
          <w:tcPr>
            <w:tcW w:w="0" w:type="dxa"/>
            <w:vAlign w:val="bottom"/>
          </w:tcPr>
          <w:p>
            <w:pPr>
              <w:spacing w:after="0"/>
              <w:rPr>
                <w:sz w:val="1"/>
                <w:szCs w:val="1"/>
                <w:color w:val="auto"/>
              </w:rPr>
            </w:pPr>
          </w:p>
        </w:tc>
      </w:tr>
      <w:tr>
        <w:trPr>
          <w:trHeight w:val="802"/>
        </w:trPr>
        <w:tc>
          <w:tcPr>
            <w:tcW w:w="4620" w:type="dxa"/>
            <w:vAlign w:val="bottom"/>
            <w:gridSpan w:val="2"/>
          </w:tcPr>
          <w:p>
            <w:pPr>
              <w:spacing w:after="0"/>
              <w:rPr>
                <w:sz w:val="20"/>
                <w:szCs w:val="20"/>
                <w:color w:val="auto"/>
              </w:rPr>
            </w:pPr>
            <w:r>
              <w:rPr>
                <w:rFonts w:ascii="Arial" w:cs="Arial" w:eastAsia="Arial" w:hAnsi="Arial"/>
                <w:sz w:val="14"/>
                <w:szCs w:val="14"/>
                <w:color w:val="auto"/>
              </w:rPr>
              <w:t>(in thousands, except percentages)</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4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CONSOLIDATED DEBT</w:t>
            </w: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4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Aggregate Principal</w:t>
            </w:r>
          </w:p>
        </w:tc>
        <w:tc>
          <w:tcPr>
            <w:tcW w:w="0" w:type="dxa"/>
            <w:vAlign w:val="bottom"/>
          </w:tcPr>
          <w:p>
            <w:pPr>
              <w:spacing w:after="0"/>
              <w:rPr>
                <w:sz w:val="1"/>
                <w:szCs w:val="1"/>
                <w:color w:val="auto"/>
              </w:rPr>
            </w:pPr>
          </w:p>
        </w:tc>
      </w:tr>
      <w:tr>
        <w:trPr>
          <w:trHeight w:val="203"/>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Mortgage Notes Payable</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4,374,901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Line of Credit</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247,000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Term Loans</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800,000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Commercial Paper</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 at face value</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9,550,000</w:t>
            </w:r>
          </w:p>
        </w:tc>
        <w:tc>
          <w:tcPr>
            <w:tcW w:w="0" w:type="dxa"/>
            <w:vAlign w:val="bottom"/>
          </w:tcPr>
          <w:p>
            <w:pPr>
              <w:spacing w:after="0"/>
              <w:rPr>
                <w:sz w:val="1"/>
                <w:szCs w:val="1"/>
                <w:color w:val="auto"/>
              </w:rPr>
            </w:pPr>
          </w:p>
        </w:tc>
      </w:tr>
      <w:tr>
        <w:trPr>
          <w:trHeight w:val="220"/>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Exchangeable Senior Notes, at face value</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05"/>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Outstanding Principal</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16,721,901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Discount on Unsecured Senior Notes</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(7,794)</w:t>
            </w:r>
          </w:p>
        </w:tc>
        <w:tc>
          <w:tcPr>
            <w:tcW w:w="0" w:type="dxa"/>
            <w:vAlign w:val="bottom"/>
          </w:tcPr>
          <w:p>
            <w:pPr>
              <w:spacing w:after="0"/>
              <w:rPr>
                <w:sz w:val="1"/>
                <w:szCs w:val="1"/>
                <w:color w:val="auto"/>
              </w:rPr>
            </w:pPr>
          </w:p>
        </w:tc>
      </w:tr>
      <w:tr>
        <w:trPr>
          <w:trHeight w:val="220"/>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Deferred Financing Costs, Net</w:t>
            </w: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(123,585)</w:t>
            </w:r>
          </w:p>
        </w:tc>
        <w:tc>
          <w:tcPr>
            <w:tcW w:w="0" w:type="dxa"/>
            <w:vAlign w:val="bottom"/>
          </w:tcPr>
          <w:p>
            <w:pPr>
              <w:spacing w:after="0"/>
              <w:rPr>
                <w:sz w:val="1"/>
                <w:szCs w:val="1"/>
                <w:color w:val="auto"/>
              </w:rPr>
            </w:pPr>
          </w:p>
        </w:tc>
      </w:tr>
      <w:tr>
        <w:trPr>
          <w:trHeight w:val="214"/>
        </w:trPr>
        <w:tc>
          <w:tcPr>
            <w:tcW w:w="4620" w:type="dxa"/>
            <w:vAlign w:val="bottom"/>
            <w:gridSpan w:val="2"/>
          </w:tcPr>
          <w:p>
            <w:pPr>
              <w:ind w:left="360"/>
              <w:spacing w:after="0"/>
              <w:rPr>
                <w:sz w:val="20"/>
                <w:szCs w:val="20"/>
                <w:color w:val="auto"/>
              </w:rPr>
            </w:pPr>
            <w:r>
              <w:rPr>
                <w:rFonts w:ascii="Arial" w:cs="Arial" w:eastAsia="Arial" w:hAnsi="Arial"/>
                <w:sz w:val="14"/>
                <w:szCs w:val="14"/>
                <w:color w:val="auto"/>
              </w:rPr>
              <w:t>Consolidated Debt</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16,590,522</w:t>
            </w: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MORTGAGE NOTES PAYABLE</w:t>
            </w: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46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43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gridSpan w:val="2"/>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ind w:left="880"/>
              <w:spacing w:after="0"/>
              <w:rPr>
                <w:sz w:val="20"/>
                <w:szCs w:val="20"/>
                <w:color w:val="auto"/>
              </w:rPr>
            </w:pPr>
            <w:r>
              <w:rPr>
                <w:rFonts w:ascii="Arial" w:cs="Arial" w:eastAsia="Arial" w:hAnsi="Arial"/>
                <w:sz w:val="14"/>
                <w:szCs w:val="14"/>
                <w:b w:val="1"/>
                <w:bCs w:val="1"/>
                <w:color w:val="auto"/>
              </w:rPr>
              <w:t>Interest Rate</w:t>
            </w: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Property</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Maturity Date</w:t>
            </w:r>
          </w:p>
        </w:tc>
        <w:tc>
          <w:tcPr>
            <w:tcW w:w="240" w:type="dxa"/>
            <w:vAlign w:val="bottom"/>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GAAP </w:t>
            </w:r>
            <w:r>
              <w:rPr>
                <w:rFonts w:ascii="Arial" w:cs="Arial" w:eastAsia="Arial" w:hAnsi="Arial"/>
                <w:sz w:val="18"/>
                <w:szCs w:val="18"/>
                <w:b w:val="1"/>
                <w:bCs w:val="1"/>
                <w:color w:val="auto"/>
                <w:vertAlign w:val="superscript"/>
              </w:rPr>
              <w:t>1</w:t>
            </w:r>
          </w:p>
        </w:tc>
        <w:tc>
          <w:tcPr>
            <w:tcW w:w="260" w:type="dxa"/>
            <w:vAlign w:val="bottom"/>
            <w:gridSpan w:val="3"/>
          </w:tcPr>
          <w:p>
            <w:pPr>
              <w:spacing w:after="0"/>
              <w:rPr>
                <w:sz w:val="18"/>
                <w:szCs w:val="18"/>
                <w:color w:val="auto"/>
              </w:rPr>
            </w:pPr>
          </w:p>
        </w:tc>
        <w:tc>
          <w:tcPr>
            <w:tcW w:w="360" w:type="dxa"/>
            <w:vAlign w:val="bottom"/>
            <w:tcBorders>
              <w:bottom w:val="single" w:sz="8" w:color="auto"/>
            </w:tcBorders>
            <w:gridSpan w:val="2"/>
          </w:tcPr>
          <w:p>
            <w:pPr>
              <w:spacing w:after="0"/>
              <w:rPr>
                <w:sz w:val="18"/>
                <w:szCs w:val="18"/>
                <w:color w:val="auto"/>
              </w:rPr>
            </w:pPr>
          </w:p>
        </w:tc>
        <w:tc>
          <w:tcPr>
            <w:tcW w:w="90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 xml:space="preserve">Stated </w:t>
            </w:r>
            <w:r>
              <w:rPr>
                <w:rFonts w:ascii="Arial" w:cs="Arial" w:eastAsia="Arial" w:hAnsi="Arial"/>
                <w:sz w:val="18"/>
                <w:szCs w:val="18"/>
                <w:b w:val="1"/>
                <w:bCs w:val="1"/>
                <w:color w:val="auto"/>
                <w:vertAlign w:val="superscript"/>
              </w:rPr>
              <w:t>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Outstanding Principal</w:t>
            </w:r>
          </w:p>
        </w:tc>
        <w:tc>
          <w:tcPr>
            <w:tcW w:w="0" w:type="dxa"/>
            <w:vAlign w:val="bottom"/>
          </w:tcPr>
          <w:p>
            <w:pPr>
              <w:spacing w:after="0"/>
              <w:rPr>
                <w:sz w:val="1"/>
                <w:szCs w:val="1"/>
                <w:color w:val="auto"/>
              </w:rPr>
            </w:pPr>
          </w:p>
        </w:tc>
      </w:tr>
      <w:tr>
        <w:trPr>
          <w:trHeight w:val="201"/>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767 Fifth Avenue (The GM Building) (60% ownership)</w:t>
            </w:r>
          </w:p>
        </w:tc>
        <w:tc>
          <w:tcPr>
            <w:tcW w:w="80" w:type="dxa"/>
            <w:vAlign w:val="bottom"/>
          </w:tcPr>
          <w:p>
            <w:pPr>
              <w:spacing w:after="0"/>
              <w:rPr>
                <w:sz w:val="17"/>
                <w:szCs w:val="17"/>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June 9, 2027</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3.64%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ind w:right="268"/>
              <w:spacing w:after="0"/>
              <w:rPr>
                <w:sz w:val="20"/>
                <w:szCs w:val="20"/>
                <w:color w:val="auto"/>
              </w:rPr>
            </w:pPr>
            <w:r>
              <w:rPr>
                <w:rFonts w:ascii="Arial" w:cs="Arial" w:eastAsia="Arial" w:hAnsi="Arial"/>
                <w:sz w:val="14"/>
                <w:szCs w:val="14"/>
                <w:color w:val="auto"/>
              </w:rPr>
              <w:t>3.43%</w:t>
            </w:r>
          </w:p>
        </w:tc>
        <w:tc>
          <w:tcPr>
            <w:tcW w:w="20" w:type="dxa"/>
            <w:vAlign w:val="bottom"/>
          </w:tcPr>
          <w:p>
            <w:pPr>
              <w:spacing w:after="0"/>
              <w:rPr>
                <w:sz w:val="17"/>
                <w:szCs w:val="17"/>
                <w:color w:val="auto"/>
              </w:rPr>
            </w:pPr>
          </w:p>
        </w:tc>
        <w:tc>
          <w:tcPr>
            <w:tcW w:w="38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2,300,000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Santa Monica Business Park</w:t>
            </w:r>
          </w:p>
        </w:tc>
        <w:tc>
          <w:tcPr>
            <w:tcW w:w="80" w:type="dxa"/>
            <w:vAlign w:val="bottom"/>
          </w:tcPr>
          <w:p>
            <w:pPr>
              <w:spacing w:after="0"/>
              <w:rPr>
                <w:sz w:val="18"/>
                <w:szCs w:val="18"/>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October 8, 2028</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5.60%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center"/>
              <w:ind w:right="268"/>
              <w:spacing w:after="0"/>
              <w:rPr>
                <w:sz w:val="20"/>
                <w:szCs w:val="20"/>
                <w:color w:val="auto"/>
              </w:rPr>
            </w:pPr>
            <w:r>
              <w:rPr>
                <w:rFonts w:ascii="Arial" w:cs="Arial" w:eastAsia="Arial" w:hAnsi="Arial"/>
                <w:sz w:val="14"/>
                <w:szCs w:val="14"/>
                <w:color w:val="auto"/>
              </w:rPr>
              <w:t>5.47%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70"/>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90 Broadway, 325 Main Street, 355 Main Street and Kendall Center</w:t>
            </w:r>
          </w:p>
        </w:tc>
        <w:tc>
          <w:tcPr>
            <w:tcW w:w="80" w:type="dxa"/>
            <w:vAlign w:val="bottom"/>
          </w:tcPr>
          <w:p>
            <w:pPr>
              <w:spacing w:after="0"/>
              <w:rPr>
                <w:sz w:val="14"/>
                <w:szCs w:val="14"/>
                <w:color w:val="auto"/>
              </w:rPr>
            </w:pPr>
          </w:p>
        </w:tc>
        <w:tc>
          <w:tcPr>
            <w:tcW w:w="1700" w:type="dxa"/>
            <w:vAlign w:val="bottom"/>
            <w:gridSpan w:val="3"/>
            <w:vMerge w:val="restart"/>
          </w:tcPr>
          <w:p>
            <w:pPr>
              <w:jc w:val="right"/>
              <w:ind w:right="260"/>
              <w:spacing w:after="0"/>
              <w:rPr>
                <w:sz w:val="20"/>
                <w:szCs w:val="20"/>
                <w:color w:val="auto"/>
              </w:rPr>
            </w:pPr>
            <w:r>
              <w:rPr>
                <w:rFonts w:ascii="Arial" w:cs="Arial" w:eastAsia="Arial" w:hAnsi="Arial"/>
                <w:sz w:val="14"/>
                <w:szCs w:val="14"/>
                <w:color w:val="auto"/>
              </w:rPr>
              <w:t>October 26, 2028</w:t>
            </w:r>
          </w:p>
        </w:tc>
        <w:tc>
          <w:tcPr>
            <w:tcW w:w="1240" w:type="dxa"/>
            <w:vAlign w:val="bottom"/>
            <w:gridSpan w:val="2"/>
            <w:vMerge w:val="restart"/>
          </w:tcPr>
          <w:p>
            <w:pPr>
              <w:jc w:val="center"/>
              <w:spacing w:after="0"/>
              <w:rPr>
                <w:sz w:val="20"/>
                <w:szCs w:val="20"/>
                <w:color w:val="auto"/>
              </w:rPr>
            </w:pPr>
            <w:r>
              <w:rPr>
                <w:rFonts w:ascii="Arial" w:cs="Arial" w:eastAsia="Arial" w:hAnsi="Arial"/>
                <w:sz w:val="14"/>
                <w:szCs w:val="14"/>
                <w:color w:val="auto"/>
              </w:rPr>
              <w:t>6.27%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vMerge w:val="restart"/>
          </w:tcPr>
          <w:p>
            <w:pPr>
              <w:jc w:val="center"/>
              <w:ind w:right="268"/>
              <w:spacing w:after="0"/>
              <w:rPr>
                <w:sz w:val="20"/>
                <w:szCs w:val="20"/>
                <w:color w:val="auto"/>
              </w:rPr>
            </w:pPr>
            <w:r>
              <w:rPr>
                <w:rFonts w:ascii="Arial" w:cs="Arial" w:eastAsia="Arial" w:hAnsi="Arial"/>
                <w:sz w:val="14"/>
                <w:szCs w:val="14"/>
                <w:color w:val="auto"/>
              </w:rPr>
              <w:t>6.04%</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color w:val="auto"/>
              </w:rPr>
              <w:t>600,000</w:t>
            </w:r>
          </w:p>
        </w:tc>
        <w:tc>
          <w:tcPr>
            <w:tcW w:w="0" w:type="dxa"/>
            <w:vAlign w:val="bottom"/>
          </w:tcPr>
          <w:p>
            <w:pPr>
              <w:spacing w:after="0"/>
              <w:rPr>
                <w:sz w:val="1"/>
                <w:szCs w:val="1"/>
                <w:color w:val="auto"/>
              </w:rPr>
            </w:pPr>
          </w:p>
        </w:tc>
      </w:tr>
      <w:tr>
        <w:trPr>
          <w:trHeight w:val="190"/>
        </w:trPr>
        <w:tc>
          <w:tcPr>
            <w:tcW w:w="4620" w:type="dxa"/>
            <w:vAlign w:val="bottom"/>
            <w:gridSpan w:val="2"/>
          </w:tcPr>
          <w:p>
            <w:pPr>
              <w:ind w:left="180"/>
              <w:spacing w:after="0"/>
              <w:rPr>
                <w:sz w:val="20"/>
                <w:szCs w:val="20"/>
                <w:color w:val="auto"/>
              </w:rPr>
            </w:pPr>
            <w:r>
              <w:rPr>
                <w:rFonts w:ascii="Arial" w:cs="Arial" w:eastAsia="Arial" w:hAnsi="Arial"/>
                <w:sz w:val="14"/>
                <w:szCs w:val="14"/>
                <w:color w:val="auto"/>
              </w:rPr>
              <w:t>Green Garage</w:t>
            </w:r>
          </w:p>
        </w:tc>
        <w:tc>
          <w:tcPr>
            <w:tcW w:w="80" w:type="dxa"/>
            <w:vAlign w:val="bottom"/>
          </w:tcPr>
          <w:p>
            <w:pPr>
              <w:spacing w:after="0"/>
              <w:rPr>
                <w:sz w:val="16"/>
                <w:szCs w:val="16"/>
                <w:color w:val="auto"/>
              </w:rPr>
            </w:pPr>
          </w:p>
        </w:tc>
        <w:tc>
          <w:tcPr>
            <w:tcW w:w="1700" w:type="dxa"/>
            <w:vAlign w:val="bottom"/>
            <w:gridSpan w:val="3"/>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901 New York Avenue</w:t>
            </w:r>
          </w:p>
        </w:tc>
        <w:tc>
          <w:tcPr>
            <w:tcW w:w="80" w:type="dxa"/>
            <w:vAlign w:val="bottom"/>
          </w:tcPr>
          <w:p>
            <w:pPr>
              <w:spacing w:after="0"/>
              <w:rPr>
                <w:sz w:val="17"/>
                <w:szCs w:val="17"/>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January 5, 2029</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5.06%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ind w:right="268"/>
              <w:spacing w:after="0"/>
              <w:rPr>
                <w:sz w:val="20"/>
                <w:szCs w:val="20"/>
                <w:color w:val="auto"/>
              </w:rPr>
            </w:pPr>
            <w:r>
              <w:rPr>
                <w:rFonts w:ascii="Arial" w:cs="Arial" w:eastAsia="Arial" w:hAnsi="Arial"/>
                <w:sz w:val="14"/>
                <w:szCs w:val="14"/>
                <w:color w:val="auto"/>
              </w:rPr>
              <w:t>5.00%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194,815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343 Madison Avenue (89.45% ownership)</w:t>
            </w:r>
          </w:p>
        </w:tc>
        <w:tc>
          <w:tcPr>
            <w:tcW w:w="80" w:type="dxa"/>
            <w:vAlign w:val="bottom"/>
          </w:tcPr>
          <w:p>
            <w:pPr>
              <w:spacing w:after="0"/>
              <w:rPr>
                <w:sz w:val="18"/>
                <w:szCs w:val="18"/>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July 28, 2030</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7.32%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center"/>
              <w:ind w:right="268"/>
              <w:spacing w:after="0"/>
              <w:rPr>
                <w:sz w:val="20"/>
                <w:szCs w:val="20"/>
                <w:color w:val="auto"/>
              </w:rPr>
            </w:pPr>
            <w:r>
              <w:rPr>
                <w:rFonts w:ascii="Arial" w:cs="Arial" w:eastAsia="Arial" w:hAnsi="Arial"/>
                <w:sz w:val="14"/>
                <w:szCs w:val="14"/>
                <w:color w:val="auto"/>
              </w:rPr>
              <w:t>6.18%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80,086</w:t>
            </w:r>
          </w:p>
        </w:tc>
        <w:tc>
          <w:tcPr>
            <w:tcW w:w="0" w:type="dxa"/>
            <w:vAlign w:val="bottom"/>
          </w:tcPr>
          <w:p>
            <w:pPr>
              <w:spacing w:after="0"/>
              <w:rPr>
                <w:sz w:val="1"/>
                <w:szCs w:val="1"/>
                <w:color w:val="auto"/>
              </w:rPr>
            </w:pPr>
          </w:p>
        </w:tc>
      </w:tr>
      <w:tr>
        <w:trPr>
          <w:trHeight w:val="220"/>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601 Lexington Avenue (55% ownership)</w:t>
            </w:r>
          </w:p>
        </w:tc>
        <w:tc>
          <w:tcPr>
            <w:tcW w:w="80" w:type="dxa"/>
            <w:vAlign w:val="bottom"/>
          </w:tcPr>
          <w:p>
            <w:pPr>
              <w:spacing w:after="0"/>
              <w:rPr>
                <w:sz w:val="19"/>
                <w:szCs w:val="19"/>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January 9, 2032</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2.93%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center"/>
              <w:ind w:right="268"/>
              <w:spacing w:after="0"/>
              <w:rPr>
                <w:sz w:val="20"/>
                <w:szCs w:val="20"/>
                <w:color w:val="auto"/>
              </w:rPr>
            </w:pPr>
            <w:r>
              <w:rPr>
                <w:rFonts w:ascii="Arial" w:cs="Arial" w:eastAsia="Arial" w:hAnsi="Arial"/>
                <w:sz w:val="14"/>
                <w:szCs w:val="14"/>
                <w:color w:val="auto"/>
              </w:rPr>
              <w:t>2.79%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14"/>
        </w:trPr>
        <w:tc>
          <w:tcPr>
            <w:tcW w:w="4620" w:type="dxa"/>
            <w:vAlign w:val="bottom"/>
            <w:gridSpan w:val="2"/>
          </w:tcPr>
          <w:p>
            <w:pPr>
              <w:ind w:left="140"/>
              <w:spacing w:after="0"/>
              <w:rPr>
                <w:sz w:val="20"/>
                <w:szCs w:val="20"/>
                <w:color w:val="auto"/>
              </w:rPr>
            </w:pPr>
            <w:r>
              <w:rPr>
                <w:rFonts w:ascii="Arial" w:cs="Arial" w:eastAsia="Arial" w:hAnsi="Arial"/>
                <w:sz w:val="14"/>
                <w:szCs w:val="14"/>
                <w:color w:val="auto"/>
              </w:rPr>
              <w:t>Total</w:t>
            </w: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4,374,901</w:t>
            </w:r>
          </w:p>
        </w:tc>
        <w:tc>
          <w:tcPr>
            <w:tcW w:w="0" w:type="dxa"/>
            <w:vAlign w:val="bottom"/>
          </w:tcPr>
          <w:p>
            <w:pPr>
              <w:spacing w:after="0"/>
              <w:rPr>
                <w:sz w:val="1"/>
                <w:szCs w:val="1"/>
                <w:color w:val="auto"/>
              </w:rPr>
            </w:pPr>
          </w:p>
        </w:tc>
      </w:tr>
      <w:tr>
        <w:trPr>
          <w:trHeight w:val="20"/>
        </w:trPr>
        <w:tc>
          <w:tcPr>
            <w:tcW w:w="6400" w:type="dxa"/>
            <w:vAlign w:val="bottom"/>
            <w:gridSpan w:val="6"/>
            <w:vMerge w:val="restart"/>
          </w:tcPr>
          <w:p>
            <w:pPr>
              <w:spacing w:after="0"/>
              <w:rPr>
                <w:sz w:val="20"/>
                <w:szCs w:val="20"/>
                <w:color w:val="auto"/>
              </w:rPr>
            </w:pPr>
            <w:r>
              <w:rPr>
                <w:rFonts w:ascii="Arial" w:cs="Arial" w:eastAsia="Arial" w:hAnsi="Arial"/>
                <w:sz w:val="14"/>
                <w:szCs w:val="14"/>
                <w:b w:val="1"/>
                <w:bCs w:val="1"/>
                <w:i w:val="1"/>
                <w:iCs w:val="1"/>
                <w:color w:val="auto"/>
              </w:rPr>
              <w:t xml:space="preserve">BOSTON PROPERTIES LIMITED PARTNERSHIP UNSECURED SENIOR NOTES </w:t>
            </w:r>
            <w:r>
              <w:rPr>
                <w:rFonts w:ascii="Arial" w:cs="Arial" w:eastAsia="Arial" w:hAnsi="Arial"/>
                <w:sz w:val="18"/>
                <w:szCs w:val="18"/>
                <w:b w:val="1"/>
                <w:bCs w:val="1"/>
                <w:i w:val="1"/>
                <w:iCs w:val="1"/>
                <w:color w:val="auto"/>
                <w:vertAlign w:val="superscript"/>
              </w:rPr>
              <w:t>3</w:t>
            </w: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0"/>
        </w:trPr>
        <w:tc>
          <w:tcPr>
            <w:tcW w:w="6400" w:type="dxa"/>
            <w:vAlign w:val="bottom"/>
            <w:tcBorders>
              <w:bottom w:val="single" w:sz="8" w:color="auto"/>
            </w:tcBorders>
            <w:gridSpan w:val="6"/>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6"/>
          </w:tcPr>
          <w:p>
            <w:pPr>
              <w:ind w:left="860"/>
              <w:spacing w:after="0"/>
              <w:rPr>
                <w:sz w:val="20"/>
                <w:szCs w:val="20"/>
                <w:color w:val="auto"/>
              </w:rPr>
            </w:pPr>
            <w:r>
              <w:rPr>
                <w:rFonts w:ascii="Arial" w:cs="Arial" w:eastAsia="Arial" w:hAnsi="Arial"/>
                <w:sz w:val="14"/>
                <w:szCs w:val="14"/>
                <w:b w:val="1"/>
                <w:bCs w:val="1"/>
                <w:color w:val="auto"/>
              </w:rPr>
              <w:t>Interest Rate</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Maturity Date</w:t>
            </w:r>
          </w:p>
        </w:tc>
        <w:tc>
          <w:tcPr>
            <w:tcW w:w="240" w:type="dxa"/>
            <w:vAlign w:val="bottom"/>
            <w:gridSpan w:val="2"/>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7"/>
              </w:rPr>
              <w:t xml:space="preserve">GAAP </w:t>
            </w:r>
            <w:r>
              <w:rPr>
                <w:rFonts w:ascii="Arial" w:cs="Arial" w:eastAsia="Arial" w:hAnsi="Arial"/>
                <w:sz w:val="18"/>
                <w:szCs w:val="18"/>
                <w:b w:val="1"/>
                <w:bCs w:val="1"/>
                <w:color w:val="auto"/>
                <w:w w:val="97"/>
                <w:vertAlign w:val="superscript"/>
              </w:rPr>
              <w:t>1</w:t>
            </w:r>
          </w:p>
        </w:tc>
        <w:tc>
          <w:tcPr>
            <w:tcW w:w="240" w:type="dxa"/>
            <w:vAlign w:val="bottom"/>
            <w:gridSpan w:val="2"/>
          </w:tcPr>
          <w:p>
            <w:pPr>
              <w:spacing w:after="0"/>
              <w:rPr>
                <w:sz w:val="18"/>
                <w:szCs w:val="18"/>
                <w:color w:val="auto"/>
              </w:rPr>
            </w:pPr>
          </w:p>
        </w:tc>
        <w:tc>
          <w:tcPr>
            <w:tcW w:w="380" w:type="dxa"/>
            <w:vAlign w:val="bottom"/>
            <w:tcBorders>
              <w:bottom w:val="single" w:sz="8" w:color="auto"/>
            </w:tcBorders>
            <w:gridSpan w:val="3"/>
          </w:tcPr>
          <w:p>
            <w:pPr>
              <w:spacing w:after="0"/>
              <w:rPr>
                <w:sz w:val="18"/>
                <w:szCs w:val="18"/>
                <w:color w:val="auto"/>
              </w:rPr>
            </w:pPr>
          </w:p>
        </w:tc>
        <w:tc>
          <w:tcPr>
            <w:tcW w:w="880" w:type="dxa"/>
            <w:vAlign w:val="bottom"/>
            <w:tcBorders>
              <w:bottom w:val="single" w:sz="8" w:color="auto"/>
            </w:tcBorders>
          </w:tcPr>
          <w:p>
            <w:pPr>
              <w:jc w:val="center"/>
              <w:ind w:right="328"/>
              <w:spacing w:after="0"/>
              <w:rPr>
                <w:sz w:val="20"/>
                <w:szCs w:val="20"/>
                <w:color w:val="auto"/>
              </w:rPr>
            </w:pPr>
            <w:r>
              <w:rPr>
                <w:rFonts w:ascii="Arial" w:cs="Arial" w:eastAsia="Arial" w:hAnsi="Arial"/>
                <w:sz w:val="14"/>
                <w:szCs w:val="14"/>
                <w:b w:val="1"/>
                <w:bCs w:val="1"/>
                <w:color w:val="auto"/>
              </w:rPr>
              <w:t>Stated</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Outstanding Principal</w:t>
            </w:r>
          </w:p>
        </w:tc>
        <w:tc>
          <w:tcPr>
            <w:tcW w:w="0" w:type="dxa"/>
            <w:vAlign w:val="bottom"/>
          </w:tcPr>
          <w:p>
            <w:pPr>
              <w:spacing w:after="0"/>
              <w:rPr>
                <w:sz w:val="1"/>
                <w:szCs w:val="1"/>
                <w:color w:val="auto"/>
              </w:rPr>
            </w:pPr>
          </w:p>
        </w:tc>
      </w:tr>
      <w:tr>
        <w:trPr>
          <w:trHeight w:val="201"/>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w:t>
            </w:r>
          </w:p>
        </w:tc>
        <w:tc>
          <w:tcPr>
            <w:tcW w:w="80" w:type="dxa"/>
            <w:vAlign w:val="bottom"/>
          </w:tcPr>
          <w:p>
            <w:pPr>
              <w:spacing w:after="0"/>
              <w:rPr>
                <w:sz w:val="17"/>
                <w:szCs w:val="17"/>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October 1, 2026</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3.50%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2.75%</w:t>
            </w:r>
          </w:p>
        </w:tc>
        <w:tc>
          <w:tcPr>
            <w:tcW w:w="20" w:type="dxa"/>
            <w:vAlign w:val="bottom"/>
          </w:tcPr>
          <w:p>
            <w:pPr>
              <w:spacing w:after="0"/>
              <w:rPr>
                <w:sz w:val="17"/>
                <w:szCs w:val="17"/>
                <w:color w:val="auto"/>
              </w:rPr>
            </w:pPr>
          </w:p>
        </w:tc>
        <w:tc>
          <w:tcPr>
            <w:tcW w:w="38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 (“green bonds”)</w:t>
            </w:r>
          </w:p>
        </w:tc>
        <w:tc>
          <w:tcPr>
            <w:tcW w:w="80" w:type="dxa"/>
            <w:vAlign w:val="bottom"/>
          </w:tcPr>
          <w:p>
            <w:pPr>
              <w:spacing w:after="0"/>
              <w:rPr>
                <w:sz w:val="18"/>
                <w:szCs w:val="18"/>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December 1, 2027</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6.92%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6.75%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 (“green bonds”)</w:t>
            </w:r>
          </w:p>
        </w:tc>
        <w:tc>
          <w:tcPr>
            <w:tcW w:w="80" w:type="dxa"/>
            <w:vAlign w:val="bottom"/>
          </w:tcPr>
          <w:p>
            <w:pPr>
              <w:spacing w:after="0"/>
              <w:rPr>
                <w:sz w:val="18"/>
                <w:szCs w:val="18"/>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December 1, 2028</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4.63%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4.50%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 (“green bonds”)</w:t>
            </w:r>
          </w:p>
        </w:tc>
        <w:tc>
          <w:tcPr>
            <w:tcW w:w="80" w:type="dxa"/>
            <w:vAlign w:val="bottom"/>
          </w:tcPr>
          <w:p>
            <w:pPr>
              <w:spacing w:after="0"/>
              <w:rPr>
                <w:sz w:val="18"/>
                <w:szCs w:val="18"/>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June 21, 2029</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3.51%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3.40%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w:t>
            </w:r>
          </w:p>
        </w:tc>
        <w:tc>
          <w:tcPr>
            <w:tcW w:w="80" w:type="dxa"/>
            <w:vAlign w:val="bottom"/>
          </w:tcPr>
          <w:p>
            <w:pPr>
              <w:spacing w:after="0"/>
              <w:rPr>
                <w:sz w:val="18"/>
                <w:szCs w:val="18"/>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March 15, 2030</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2.98%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2.90%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w:t>
            </w:r>
          </w:p>
        </w:tc>
        <w:tc>
          <w:tcPr>
            <w:tcW w:w="80" w:type="dxa"/>
            <w:vAlign w:val="bottom"/>
          </w:tcPr>
          <w:p>
            <w:pPr>
              <w:spacing w:after="0"/>
              <w:rPr>
                <w:sz w:val="18"/>
                <w:szCs w:val="18"/>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January 30, 2031</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3.34%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3.25%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1,250,000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 (“green bonds”)</w:t>
            </w:r>
          </w:p>
        </w:tc>
        <w:tc>
          <w:tcPr>
            <w:tcW w:w="80" w:type="dxa"/>
            <w:vAlign w:val="bottom"/>
          </w:tcPr>
          <w:p>
            <w:pPr>
              <w:spacing w:after="0"/>
              <w:rPr>
                <w:sz w:val="18"/>
                <w:szCs w:val="18"/>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April 1, 2032</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2.67%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2.55%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 (“green bonds”)</w:t>
            </w:r>
          </w:p>
        </w:tc>
        <w:tc>
          <w:tcPr>
            <w:tcW w:w="80" w:type="dxa"/>
            <w:vAlign w:val="bottom"/>
          </w:tcPr>
          <w:p>
            <w:pPr>
              <w:spacing w:after="0"/>
              <w:rPr>
                <w:sz w:val="18"/>
                <w:szCs w:val="18"/>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October 1, 2033</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2.52%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2.45%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 (“green bonds”)</w:t>
            </w:r>
          </w:p>
        </w:tc>
        <w:tc>
          <w:tcPr>
            <w:tcW w:w="80" w:type="dxa"/>
            <w:vAlign w:val="bottom"/>
          </w:tcPr>
          <w:p>
            <w:pPr>
              <w:spacing w:after="0"/>
              <w:rPr>
                <w:sz w:val="18"/>
                <w:szCs w:val="18"/>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January 15, 2034</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6.62%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6.50%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216"/>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w:t>
            </w:r>
          </w:p>
        </w:tc>
        <w:tc>
          <w:tcPr>
            <w:tcW w:w="80" w:type="dxa"/>
            <w:vAlign w:val="bottom"/>
          </w:tcPr>
          <w:p>
            <w:pPr>
              <w:spacing w:after="0"/>
              <w:rPr>
                <w:sz w:val="18"/>
                <w:szCs w:val="18"/>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January 15, 2035</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5.84%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5.75%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850,000</w:t>
            </w:r>
          </w:p>
        </w:tc>
        <w:tc>
          <w:tcPr>
            <w:tcW w:w="0" w:type="dxa"/>
            <w:vAlign w:val="bottom"/>
          </w:tcPr>
          <w:p>
            <w:pPr>
              <w:spacing w:after="0"/>
              <w:rPr>
                <w:sz w:val="1"/>
                <w:szCs w:val="1"/>
                <w:color w:val="auto"/>
              </w:rPr>
            </w:pPr>
          </w:p>
        </w:tc>
      </w:tr>
      <w:tr>
        <w:trPr>
          <w:trHeight w:val="220"/>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Senior Notes</w:t>
            </w:r>
          </w:p>
        </w:tc>
        <w:tc>
          <w:tcPr>
            <w:tcW w:w="80" w:type="dxa"/>
            <w:vAlign w:val="bottom"/>
          </w:tcPr>
          <w:p>
            <w:pPr>
              <w:spacing w:after="0"/>
              <w:rPr>
                <w:sz w:val="19"/>
                <w:szCs w:val="19"/>
                <w:color w:val="auto"/>
              </w:rPr>
            </w:pPr>
          </w:p>
        </w:tc>
        <w:tc>
          <w:tcPr>
            <w:tcW w:w="1700" w:type="dxa"/>
            <w:vAlign w:val="bottom"/>
            <w:gridSpan w:val="3"/>
          </w:tcPr>
          <w:p>
            <w:pPr>
              <w:jc w:val="right"/>
              <w:ind w:right="260"/>
              <w:spacing w:after="0"/>
              <w:rPr>
                <w:sz w:val="20"/>
                <w:szCs w:val="20"/>
                <w:color w:val="auto"/>
              </w:rPr>
            </w:pPr>
            <w:r>
              <w:rPr>
                <w:rFonts w:ascii="Arial" w:cs="Arial" w:eastAsia="Arial" w:hAnsi="Arial"/>
                <w:sz w:val="14"/>
                <w:szCs w:val="14"/>
                <w:color w:val="auto"/>
              </w:rPr>
              <w:t>October 15, 2036</w:t>
            </w:r>
          </w:p>
        </w:tc>
        <w:tc>
          <w:tcPr>
            <w:tcW w:w="1240" w:type="dxa"/>
            <w:vAlign w:val="bottom"/>
            <w:gridSpan w:val="2"/>
          </w:tcPr>
          <w:p>
            <w:pPr>
              <w:jc w:val="center"/>
              <w:spacing w:after="0"/>
              <w:rPr>
                <w:sz w:val="20"/>
                <w:szCs w:val="20"/>
                <w:color w:val="auto"/>
              </w:rPr>
            </w:pPr>
            <w:r>
              <w:rPr>
                <w:rFonts w:ascii="Arial" w:cs="Arial" w:eastAsia="Arial" w:hAnsi="Arial"/>
                <w:sz w:val="14"/>
                <w:szCs w:val="14"/>
                <w:color w:val="auto"/>
              </w:rPr>
              <w:t>6.16%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center"/>
              <w:ind w:right="308"/>
              <w:spacing w:after="0"/>
              <w:rPr>
                <w:sz w:val="20"/>
                <w:szCs w:val="20"/>
                <w:color w:val="auto"/>
              </w:rPr>
            </w:pPr>
            <w:r>
              <w:rPr>
                <w:rFonts w:ascii="Arial" w:cs="Arial" w:eastAsia="Arial" w:hAnsi="Arial"/>
                <w:sz w:val="14"/>
                <w:szCs w:val="14"/>
                <w:color w:val="auto"/>
              </w:rPr>
              <w:t>6.05%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207"/>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9,550,000</w:t>
            </w:r>
          </w:p>
        </w:tc>
        <w:tc>
          <w:tcPr>
            <w:tcW w:w="0" w:type="dxa"/>
            <w:vAlign w:val="bottom"/>
          </w:tcPr>
          <w:p>
            <w:pPr>
              <w:spacing w:after="0"/>
              <w:rPr>
                <w:sz w:val="1"/>
                <w:szCs w:val="1"/>
                <w:color w:val="auto"/>
              </w:rPr>
            </w:pPr>
          </w:p>
        </w:tc>
      </w:tr>
      <w:tr>
        <w:trPr>
          <w:trHeight w:val="27"/>
        </w:trPr>
        <w:tc>
          <w:tcPr>
            <w:tcW w:w="8260" w:type="dxa"/>
            <w:vAlign w:val="bottom"/>
            <w:gridSpan w:val="13"/>
            <w:vMerge w:val="restart"/>
          </w:tcPr>
          <w:p>
            <w:pPr>
              <w:spacing w:after="0"/>
              <w:rPr>
                <w:sz w:val="20"/>
                <w:szCs w:val="20"/>
                <w:color w:val="auto"/>
              </w:rPr>
            </w:pPr>
            <w:r>
              <w:rPr>
                <w:rFonts w:ascii="Arial" w:cs="Arial" w:eastAsia="Arial" w:hAnsi="Arial"/>
                <w:sz w:val="14"/>
                <w:szCs w:val="14"/>
                <w:b w:val="1"/>
                <w:bCs w:val="1"/>
                <w:i w:val="1"/>
                <w:iCs w:val="1"/>
                <w:color w:val="auto"/>
              </w:rPr>
              <w:t xml:space="preserve">BOSTON PROPERTIES LIMITED PARTNERSHIP UNSECURED EXCHANGEABLE SENIOR NOTES </w:t>
            </w:r>
            <w:r>
              <w:rPr>
                <w:rFonts w:ascii="Arial" w:cs="Arial" w:eastAsia="Arial" w:hAnsi="Arial"/>
                <w:sz w:val="18"/>
                <w:szCs w:val="18"/>
                <w:b w:val="1"/>
                <w:bCs w:val="1"/>
                <w:i w:val="1"/>
                <w:iCs w:val="1"/>
                <w:color w:val="auto"/>
                <w:vertAlign w:val="superscript"/>
              </w:rPr>
              <w:t>3, 4</w:t>
            </w: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0"/>
        </w:trPr>
        <w:tc>
          <w:tcPr>
            <w:tcW w:w="8260" w:type="dxa"/>
            <w:vAlign w:val="bottom"/>
            <w:tcBorders>
              <w:bottom w:val="single" w:sz="8" w:color="auto"/>
            </w:tcBorders>
            <w:gridSpan w:val="13"/>
            <w:vMerge w:val="continue"/>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0" w:type="dxa"/>
            <w:vAlign w:val="bottom"/>
            <w:tcBorders>
              <w:bottom w:val="single" w:sz="8" w:color="auto"/>
            </w:tcBorders>
            <w:gridSpan w:val="6"/>
          </w:tcPr>
          <w:p>
            <w:pPr>
              <w:ind w:left="920"/>
              <w:spacing w:after="0"/>
              <w:rPr>
                <w:sz w:val="20"/>
                <w:szCs w:val="20"/>
                <w:color w:val="auto"/>
              </w:rPr>
            </w:pPr>
            <w:r>
              <w:rPr>
                <w:rFonts w:ascii="Arial" w:cs="Arial" w:eastAsia="Arial" w:hAnsi="Arial"/>
                <w:sz w:val="14"/>
                <w:szCs w:val="14"/>
                <w:b w:val="1"/>
                <w:bCs w:val="1"/>
                <w:color w:val="auto"/>
              </w:rPr>
              <w:t>Interest Rate</w:t>
            </w:r>
          </w:p>
        </w:tc>
        <w:tc>
          <w:tcPr>
            <w:tcW w:w="8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Maturity Date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 xml:space="preserve">GAAP </w:t>
            </w:r>
            <w:r>
              <w:rPr>
                <w:rFonts w:ascii="Arial" w:cs="Arial" w:eastAsia="Arial" w:hAnsi="Arial"/>
                <w:sz w:val="9"/>
                <w:szCs w:val="9"/>
                <w:b w:val="1"/>
                <w:bCs w:val="1"/>
                <w:color w:val="auto"/>
              </w:rPr>
              <w:t>1</w:t>
            </w:r>
          </w:p>
        </w:tc>
        <w:tc>
          <w:tcPr>
            <w:tcW w:w="240" w:type="dxa"/>
            <w:vAlign w:val="bottom"/>
            <w:gridSpan w:val="3"/>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Stated</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Outstanding Principal</w:t>
            </w:r>
          </w:p>
        </w:tc>
        <w:tc>
          <w:tcPr>
            <w:tcW w:w="0" w:type="dxa"/>
            <w:vAlign w:val="bottom"/>
          </w:tcPr>
          <w:p>
            <w:pPr>
              <w:spacing w:after="0"/>
              <w:rPr>
                <w:sz w:val="1"/>
                <w:szCs w:val="1"/>
                <w:color w:val="auto"/>
              </w:rPr>
            </w:pPr>
          </w:p>
        </w:tc>
      </w:tr>
      <w:tr>
        <w:trPr>
          <w:trHeight w:val="207"/>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Unsecured Exchangeable Senior Notes</w:t>
            </w:r>
          </w:p>
        </w:tc>
        <w:tc>
          <w:tcPr>
            <w:tcW w:w="80" w:type="dxa"/>
            <w:vAlign w:val="bottom"/>
          </w:tcPr>
          <w:p>
            <w:pPr>
              <w:spacing w:after="0"/>
              <w:rPr>
                <w:sz w:val="17"/>
                <w:szCs w:val="17"/>
                <w:color w:val="auto"/>
              </w:rPr>
            </w:pPr>
          </w:p>
        </w:tc>
        <w:tc>
          <w:tcPr>
            <w:tcW w:w="1700" w:type="dxa"/>
            <w:vAlign w:val="bottom"/>
            <w:gridSpan w:val="3"/>
          </w:tcPr>
          <w:p>
            <w:pPr>
              <w:ind w:left="480"/>
              <w:spacing w:after="0"/>
              <w:rPr>
                <w:sz w:val="20"/>
                <w:szCs w:val="20"/>
                <w:color w:val="auto"/>
              </w:rPr>
            </w:pPr>
            <w:r>
              <w:rPr>
                <w:rFonts w:ascii="Arial" w:cs="Arial" w:eastAsia="Arial" w:hAnsi="Arial"/>
                <w:sz w:val="14"/>
                <w:szCs w:val="14"/>
                <w:color w:val="auto"/>
              </w:rPr>
              <w:t>October 1, 2030</w:t>
            </w:r>
          </w:p>
        </w:tc>
        <w:tc>
          <w:tcPr>
            <w:tcW w:w="1240" w:type="dxa"/>
            <w:vAlign w:val="bottom"/>
            <w:gridSpan w:val="2"/>
          </w:tcPr>
          <w:p>
            <w:pPr>
              <w:jc w:val="right"/>
              <w:ind w:right="288"/>
              <w:spacing w:after="0"/>
              <w:rPr>
                <w:sz w:val="20"/>
                <w:szCs w:val="20"/>
                <w:color w:val="auto"/>
              </w:rPr>
            </w:pPr>
            <w:r>
              <w:rPr>
                <w:rFonts w:ascii="Arial" w:cs="Arial" w:eastAsia="Arial" w:hAnsi="Arial"/>
                <w:sz w:val="14"/>
                <w:szCs w:val="14"/>
                <w:color w:val="auto"/>
              </w:rPr>
              <w:t>2.50%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ind w:left="100"/>
              <w:spacing w:after="0"/>
              <w:rPr>
                <w:sz w:val="20"/>
                <w:szCs w:val="20"/>
                <w:color w:val="auto"/>
              </w:rPr>
            </w:pPr>
            <w:r>
              <w:rPr>
                <w:rFonts w:ascii="Arial" w:cs="Arial" w:eastAsia="Arial" w:hAnsi="Arial"/>
                <w:sz w:val="14"/>
                <w:szCs w:val="14"/>
                <w:color w:val="auto"/>
              </w:rPr>
              <w:t>2.00%</w:t>
            </w:r>
          </w:p>
        </w:tc>
        <w:tc>
          <w:tcPr>
            <w:tcW w:w="20" w:type="dxa"/>
            <w:vAlign w:val="bottom"/>
          </w:tcPr>
          <w:p>
            <w:pPr>
              <w:spacing w:after="0"/>
              <w:rPr>
                <w:sz w:val="17"/>
                <w:szCs w:val="17"/>
                <w:color w:val="auto"/>
              </w:rPr>
            </w:pPr>
          </w:p>
        </w:tc>
        <w:tc>
          <w:tcPr>
            <w:tcW w:w="260" w:type="dxa"/>
            <w:vAlign w:val="bottom"/>
            <w:gridSpan w:val="4"/>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5"/>
          </w:tcPr>
          <w:p>
            <w:pPr>
              <w:jc w:val="right"/>
              <w:spacing w:after="0"/>
              <w:rPr>
                <w:sz w:val="20"/>
                <w:szCs w:val="20"/>
                <w:color w:val="auto"/>
              </w:rPr>
            </w:pPr>
            <w:r>
              <w:rPr>
                <w:rFonts w:ascii="Arial" w:cs="Arial" w:eastAsia="Arial" w:hAnsi="Arial"/>
                <w:sz w:val="14"/>
                <w:szCs w:val="14"/>
                <w:color w:val="auto"/>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1,000,000</w:t>
            </w:r>
          </w:p>
        </w:tc>
        <w:tc>
          <w:tcPr>
            <w:tcW w:w="0" w:type="dxa"/>
            <w:vAlign w:val="bottom"/>
          </w:tcPr>
          <w:p>
            <w:pPr>
              <w:spacing w:after="0"/>
              <w:rPr>
                <w:sz w:val="1"/>
                <w:szCs w:val="1"/>
                <w:color w:val="auto"/>
              </w:rPr>
            </w:pPr>
          </w:p>
        </w:tc>
      </w:tr>
      <w:tr>
        <w:trPr>
          <w:trHeight w:val="25"/>
        </w:trPr>
        <w:tc>
          <w:tcPr>
            <w:tcW w:w="4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7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20"/>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-8018145</wp:posOffset>
            </wp:positionV>
            <wp:extent cx="257175" cy="1631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Q3 2026</w:t>
            </w:r>
          </w:p>
        </w:tc>
      </w:tr>
      <w:tr>
        <w:trPr>
          <w:trHeight w:val="245"/>
        </w:trPr>
        <w:tc>
          <w:tcPr>
            <w:tcW w:w="6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00497F"/>
              </w:rPr>
              <w:t>Capital structure (continued)</w:t>
            </w:r>
          </w:p>
        </w:tc>
      </w:tr>
      <w:tr>
        <w:trPr>
          <w:trHeight w:val="713"/>
        </w:trPr>
        <w:tc>
          <w:tcPr>
            <w:tcW w:w="6240" w:type="dxa"/>
            <w:vAlign w:val="bottom"/>
          </w:tcPr>
          <w:p>
            <w:pPr>
              <w:spacing w:after="0"/>
              <w:rPr>
                <w:sz w:val="20"/>
                <w:szCs w:val="20"/>
                <w:color w:val="auto"/>
              </w:rPr>
            </w:pPr>
            <w:r>
              <w:rPr>
                <w:rFonts w:ascii="Arial" w:cs="Arial" w:eastAsia="Arial" w:hAnsi="Arial"/>
                <w:sz w:val="14"/>
                <w:szCs w:val="14"/>
                <w:b w:val="1"/>
                <w:bCs w:val="1"/>
                <w:i w:val="1"/>
                <w:iCs w:val="1"/>
                <w:color w:val="auto"/>
              </w:rPr>
              <w:t>CAPITALIZATION</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63"/>
        </w:trPr>
        <w:tc>
          <w:tcPr>
            <w:tcW w:w="624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gridSpan w:val="2"/>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r>
      <w:tr>
        <w:trPr>
          <w:trHeight w:val="214"/>
        </w:trPr>
        <w:tc>
          <w:tcPr>
            <w:tcW w:w="6240" w:type="dxa"/>
            <w:vAlign w:val="bottom"/>
          </w:tcPr>
          <w:p>
            <w:pPr>
              <w:spacing w:after="0"/>
              <w:rPr>
                <w:sz w:val="18"/>
                <w:szCs w:val="18"/>
                <w:color w:val="auto"/>
              </w:rPr>
            </w:pPr>
          </w:p>
        </w:tc>
        <w:tc>
          <w:tcPr>
            <w:tcW w:w="15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Shares/Units</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8"/>
        </w:trPr>
        <w:tc>
          <w:tcPr>
            <w:tcW w:w="6240" w:type="dxa"/>
            <w:vAlign w:val="bottom"/>
          </w:tcPr>
          <w:p>
            <w:pPr>
              <w:spacing w:after="0"/>
              <w:rPr>
                <w:sz w:val="18"/>
                <w:szCs w:val="18"/>
                <w:color w:val="auto"/>
              </w:rPr>
            </w:pPr>
          </w:p>
        </w:tc>
        <w:tc>
          <w:tcPr>
            <w:tcW w:w="1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Pr>
          <w:p>
            <w:pPr>
              <w:spacing w:after="0"/>
              <w:rPr>
                <w:sz w:val="18"/>
                <w:szCs w:val="18"/>
                <w:color w:val="auto"/>
              </w:rPr>
            </w:pPr>
          </w:p>
        </w:tc>
        <w:tc>
          <w:tcPr>
            <w:tcW w:w="13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Equivalents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xml:space="preserve">Equivalent Value </w:t>
            </w:r>
            <w:r>
              <w:rPr>
                <w:rFonts w:ascii="Arial" w:cs="Arial" w:eastAsia="Arial" w:hAnsi="Arial"/>
                <w:sz w:val="18"/>
                <w:szCs w:val="18"/>
                <w:b w:val="1"/>
                <w:bCs w:val="1"/>
                <w:color w:val="auto"/>
                <w:vertAlign w:val="superscript"/>
              </w:rPr>
              <w:t>5</w:t>
            </w:r>
          </w:p>
        </w:tc>
      </w:tr>
      <w:tr>
        <w:trPr>
          <w:trHeight w:val="202"/>
        </w:trPr>
        <w:tc>
          <w:tcPr>
            <w:tcW w:w="624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159,672</w:t>
            </w: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159,672</w:t>
            </w: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9,757,556</w:t>
            </w:r>
          </w:p>
        </w:tc>
      </w:tr>
      <w:tr>
        <w:trPr>
          <w:trHeight w:val="220"/>
        </w:trPr>
        <w:tc>
          <w:tcPr>
            <w:tcW w:w="6240" w:type="dxa"/>
            <w:vAlign w:val="bottom"/>
          </w:tcPr>
          <w:p>
            <w:pPr>
              <w:ind w:left="20"/>
              <w:spacing w:after="0"/>
              <w:rPr>
                <w:sz w:val="20"/>
                <w:szCs w:val="20"/>
                <w:color w:val="auto"/>
              </w:rPr>
            </w:pPr>
            <w:r>
              <w:rPr>
                <w:rFonts w:ascii="Arial" w:cs="Arial" w:eastAsia="Arial" w:hAnsi="Arial"/>
                <w:sz w:val="14"/>
                <w:szCs w:val="14"/>
                <w:color w:val="auto"/>
              </w:rPr>
              <w:t>Common Operating Partnership Units</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17,825</w:t>
            </w:r>
          </w:p>
        </w:tc>
        <w:tc>
          <w:tcPr>
            <w:tcW w:w="2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17,825</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1,089,286</w:t>
            </w:r>
          </w:p>
        </w:tc>
      </w:tr>
      <w:tr>
        <w:trPr>
          <w:trHeight w:val="205"/>
        </w:trPr>
        <w:tc>
          <w:tcPr>
            <w:tcW w:w="6240" w:type="dxa"/>
            <w:vAlign w:val="bottom"/>
          </w:tcPr>
          <w:p>
            <w:pPr>
              <w:ind w:left="220"/>
              <w:spacing w:after="0"/>
              <w:rPr>
                <w:sz w:val="20"/>
                <w:szCs w:val="20"/>
                <w:color w:val="auto"/>
              </w:rPr>
            </w:pPr>
            <w:r>
              <w:rPr>
                <w:rFonts w:ascii="Arial" w:cs="Arial" w:eastAsia="Arial" w:hAnsi="Arial"/>
                <w:sz w:val="14"/>
                <w:szCs w:val="14"/>
                <w:color w:val="auto"/>
              </w:rPr>
              <w:t>Total Equity</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177,497</w:t>
            </w: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10,846,842</w:t>
            </w:r>
          </w:p>
        </w:tc>
      </w:tr>
      <w:tr>
        <w:trPr>
          <w:trHeight w:val="424"/>
        </w:trPr>
        <w:tc>
          <w:tcPr>
            <w:tcW w:w="6240" w:type="dxa"/>
            <w:vAlign w:val="bottom"/>
          </w:tcPr>
          <w:p>
            <w:pPr>
              <w:ind w:left="20"/>
              <w:spacing w:after="0"/>
              <w:rPr>
                <w:sz w:val="20"/>
                <w:szCs w:val="20"/>
                <w:color w:val="auto"/>
              </w:rPr>
            </w:pPr>
            <w:r>
              <w:rPr>
                <w:rFonts w:ascii="Arial" w:cs="Arial" w:eastAsia="Arial" w:hAnsi="Arial"/>
                <w:sz w:val="14"/>
                <w:szCs w:val="14"/>
                <w:color w:val="auto"/>
              </w:rPr>
              <w:t xml:space="preserve">Consolidated Debt </w:t>
            </w:r>
            <w:r>
              <w:rPr>
                <w:rFonts w:ascii="Arial" w:cs="Arial" w:eastAsia="Arial" w:hAnsi="Arial"/>
                <w:sz w:val="14"/>
                <w:szCs w:val="14"/>
                <w:b w:val="1"/>
                <w:bCs w:val="1"/>
                <w:color w:val="auto"/>
              </w:rPr>
              <w:t>(A)</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16,590,522</w:t>
            </w:r>
          </w:p>
        </w:tc>
      </w:tr>
      <w:tr>
        <w:trPr>
          <w:trHeight w:val="233"/>
        </w:trPr>
        <w:tc>
          <w:tcPr>
            <w:tcW w:w="6240" w:type="dxa"/>
            <w:vAlign w:val="bottom"/>
          </w:tcPr>
          <w:p>
            <w:pPr>
              <w:ind w:left="140"/>
              <w:spacing w:after="0"/>
              <w:rPr>
                <w:sz w:val="20"/>
                <w:szCs w:val="20"/>
                <w:color w:val="auto"/>
              </w:rPr>
            </w:pPr>
            <w:r>
              <w:rPr>
                <w:rFonts w:ascii="Arial" w:cs="Arial" w:eastAsia="Arial" w:hAnsi="Arial"/>
                <w:sz w:val="14"/>
                <w:szCs w:val="14"/>
                <w:color w:val="auto"/>
              </w:rPr>
              <w:t xml:space="preserve">Add: BXP’s share of unconsolidated joint venture debt </w:t>
            </w:r>
            <w:r>
              <w:rPr>
                <w:rFonts w:ascii="Arial" w:cs="Arial" w:eastAsia="Arial" w:hAnsi="Arial"/>
                <w:sz w:val="18"/>
                <w:szCs w:val="18"/>
                <w:color w:val="auto"/>
                <w:vertAlign w:val="superscript"/>
              </w:rPr>
              <w:t>6</w:t>
            </w:r>
          </w:p>
        </w:tc>
        <w:tc>
          <w:tcPr>
            <w:tcW w:w="1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1,102,877</w:t>
            </w:r>
          </w:p>
        </w:tc>
      </w:tr>
      <w:tr>
        <w:trPr>
          <w:trHeight w:val="201"/>
        </w:trPr>
        <w:tc>
          <w:tcPr>
            <w:tcW w:w="6240" w:type="dxa"/>
            <w:vAlign w:val="bottom"/>
          </w:tcPr>
          <w:p>
            <w:pPr>
              <w:ind w:left="140"/>
              <w:spacing w:after="0" w:line="201" w:lineRule="exact"/>
              <w:rPr>
                <w:sz w:val="20"/>
                <w:szCs w:val="20"/>
                <w:color w:val="auto"/>
              </w:rPr>
            </w:pPr>
            <w:r>
              <w:rPr>
                <w:rFonts w:ascii="Arial" w:cs="Arial" w:eastAsia="Arial" w:hAnsi="Arial"/>
                <w:sz w:val="14"/>
                <w:szCs w:val="14"/>
                <w:color w:val="auto"/>
              </w:rPr>
              <w:t xml:space="preserve">Less: Partners’ share of consolidated debt </w:t>
            </w:r>
            <w:r>
              <w:rPr>
                <w:rFonts w:ascii="Arial" w:cs="Arial" w:eastAsia="Arial" w:hAnsi="Arial"/>
                <w:sz w:val="18"/>
                <w:szCs w:val="18"/>
                <w:color w:val="auto"/>
                <w:vertAlign w:val="superscript"/>
              </w:rPr>
              <w:t>7</w:t>
            </w: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1,367,556</w:t>
            </w:r>
          </w:p>
        </w:tc>
      </w:tr>
      <w:tr>
        <w:trPr>
          <w:trHeight w:val="209"/>
        </w:trPr>
        <w:tc>
          <w:tcPr>
            <w:tcW w:w="6240" w:type="dxa"/>
            <w:vAlign w:val="bottom"/>
          </w:tcPr>
          <w:p>
            <w:pPr>
              <w:ind w:left="20"/>
              <w:spacing w:after="0"/>
              <w:rPr>
                <w:sz w:val="20"/>
                <w:szCs w:val="20"/>
                <w:color w:val="auto"/>
              </w:rPr>
            </w:pPr>
            <w:r>
              <w:rPr>
                <w:rFonts w:ascii="Arial" w:cs="Arial" w:eastAsia="Arial" w:hAnsi="Arial"/>
                <w:sz w:val="14"/>
                <w:szCs w:val="14"/>
                <w:color w:val="auto"/>
              </w:rPr>
              <w:t xml:space="preserve">BXP’s Share of Debt </w:t>
            </w:r>
            <w:r>
              <w:rPr>
                <w:rFonts w:ascii="Arial" w:cs="Arial" w:eastAsia="Arial" w:hAnsi="Arial"/>
                <w:sz w:val="18"/>
                <w:szCs w:val="18"/>
                <w:color w:val="auto"/>
                <w:vertAlign w:val="superscript"/>
              </w:rPr>
              <w:t>8</w:t>
            </w:r>
            <w:r>
              <w:rPr>
                <w:rFonts w:ascii="Arial" w:cs="Arial" w:eastAsia="Arial" w:hAnsi="Arial"/>
                <w:sz w:val="14"/>
                <w:szCs w:val="14"/>
                <w:color w:val="auto"/>
              </w:rPr>
              <w:t xml:space="preserve"> </w:t>
            </w:r>
            <w:r>
              <w:rPr>
                <w:rFonts w:ascii="Arial" w:cs="Arial" w:eastAsia="Arial" w:hAnsi="Arial"/>
                <w:sz w:val="14"/>
                <w:szCs w:val="14"/>
                <w:b w:val="1"/>
                <w:bCs w:val="1"/>
                <w:color w:val="auto"/>
              </w:rPr>
              <w:t>(B)</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16,325,843</w:t>
            </w:r>
          </w:p>
        </w:tc>
      </w:tr>
      <w:tr>
        <w:trPr>
          <w:trHeight w:val="20"/>
        </w:trPr>
        <w:tc>
          <w:tcPr>
            <w:tcW w:w="6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383"/>
        </w:trPr>
        <w:tc>
          <w:tcPr>
            <w:tcW w:w="6240" w:type="dxa"/>
            <w:vAlign w:val="bottom"/>
          </w:tcPr>
          <w:p>
            <w:pPr>
              <w:ind w:left="20"/>
              <w:spacing w:after="0"/>
              <w:rPr>
                <w:sz w:val="20"/>
                <w:szCs w:val="20"/>
                <w:color w:val="auto"/>
              </w:rPr>
            </w:pPr>
            <w:r>
              <w:rPr>
                <w:rFonts w:ascii="Arial" w:cs="Arial" w:eastAsia="Arial" w:hAnsi="Arial"/>
                <w:sz w:val="14"/>
                <w:szCs w:val="14"/>
                <w:color w:val="auto"/>
              </w:rPr>
              <w:t xml:space="preserve">Consolidated Market Capitalization </w:t>
            </w:r>
            <w:r>
              <w:rPr>
                <w:rFonts w:ascii="Arial" w:cs="Arial" w:eastAsia="Arial" w:hAnsi="Arial"/>
                <w:sz w:val="14"/>
                <w:szCs w:val="14"/>
                <w:b w:val="1"/>
                <w:bCs w:val="1"/>
                <w:color w:val="auto"/>
              </w:rPr>
              <w:t>(C)</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27,437,364</w:t>
            </w:r>
          </w:p>
        </w:tc>
      </w:tr>
      <w:tr>
        <w:trPr>
          <w:trHeight w:val="212"/>
        </w:trPr>
        <w:tc>
          <w:tcPr>
            <w:tcW w:w="6240" w:type="dxa"/>
            <w:vAlign w:val="bottom"/>
          </w:tcPr>
          <w:p>
            <w:pPr>
              <w:ind w:left="20"/>
              <w:spacing w:after="0"/>
              <w:rPr>
                <w:sz w:val="20"/>
                <w:szCs w:val="20"/>
                <w:color w:val="auto"/>
              </w:rPr>
            </w:pPr>
            <w:r>
              <w:rPr>
                <w:rFonts w:ascii="Arial" w:cs="Arial" w:eastAsia="Arial" w:hAnsi="Arial"/>
                <w:sz w:val="14"/>
                <w:szCs w:val="14"/>
                <w:color w:val="auto"/>
              </w:rPr>
              <w:t xml:space="preserve">BXP’s Share of Market Capitalization </w:t>
            </w:r>
            <w:r>
              <w:rPr>
                <w:rFonts w:ascii="Arial" w:cs="Arial" w:eastAsia="Arial" w:hAnsi="Arial"/>
                <w:sz w:val="18"/>
                <w:szCs w:val="18"/>
                <w:color w:val="auto"/>
                <w:vertAlign w:val="superscript"/>
              </w:rPr>
              <w:t>8</w:t>
            </w:r>
            <w:r>
              <w:rPr>
                <w:rFonts w:ascii="Arial" w:cs="Arial" w:eastAsia="Arial" w:hAnsi="Arial"/>
                <w:sz w:val="14"/>
                <w:szCs w:val="14"/>
                <w:color w:val="auto"/>
              </w:rPr>
              <w:t xml:space="preserve"> </w:t>
            </w:r>
            <w:r>
              <w:rPr>
                <w:rFonts w:ascii="Arial" w:cs="Arial" w:eastAsia="Arial" w:hAnsi="Arial"/>
                <w:sz w:val="14"/>
                <w:szCs w:val="14"/>
                <w:b w:val="1"/>
                <w:bCs w:val="1"/>
                <w:color w:val="auto"/>
              </w:rPr>
              <w:t>(D)</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4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27,172,685</w:t>
            </w:r>
          </w:p>
        </w:tc>
      </w:tr>
      <w:tr>
        <w:trPr>
          <w:trHeight w:val="207"/>
        </w:trPr>
        <w:tc>
          <w:tcPr>
            <w:tcW w:w="6240" w:type="dxa"/>
            <w:vAlign w:val="bottom"/>
          </w:tcPr>
          <w:p>
            <w:pPr>
              <w:ind w:left="20"/>
              <w:spacing w:after="0"/>
              <w:rPr>
                <w:sz w:val="20"/>
                <w:szCs w:val="20"/>
                <w:color w:val="auto"/>
              </w:rPr>
            </w:pPr>
            <w:r>
              <w:rPr>
                <w:rFonts w:ascii="Arial" w:cs="Arial" w:eastAsia="Arial" w:hAnsi="Arial"/>
                <w:sz w:val="14"/>
                <w:szCs w:val="14"/>
                <w:color w:val="auto"/>
              </w:rPr>
              <w:t xml:space="preserve">Consolidated Debt/Consolidated Market Capitalization </w:t>
            </w:r>
            <w:r>
              <w:rPr>
                <w:rFonts w:ascii="Arial" w:cs="Arial" w:eastAsia="Arial" w:hAnsi="Arial"/>
                <w:sz w:val="14"/>
                <w:szCs w:val="14"/>
                <w:b w:val="1"/>
                <w:bCs w:val="1"/>
                <w:color w:val="auto"/>
              </w:rPr>
              <w:t>(A÷C)</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60.47 %</w:t>
            </w:r>
          </w:p>
        </w:tc>
      </w:tr>
      <w:tr>
        <w:trPr>
          <w:trHeight w:val="212"/>
        </w:trPr>
        <w:tc>
          <w:tcPr>
            <w:tcW w:w="6240" w:type="dxa"/>
            <w:vAlign w:val="bottom"/>
          </w:tcPr>
          <w:p>
            <w:pPr>
              <w:ind w:left="20"/>
              <w:spacing w:after="0"/>
              <w:rPr>
                <w:sz w:val="20"/>
                <w:szCs w:val="20"/>
                <w:color w:val="auto"/>
              </w:rPr>
            </w:pPr>
            <w:r>
              <w:rPr>
                <w:rFonts w:ascii="Arial" w:cs="Arial" w:eastAsia="Arial" w:hAnsi="Arial"/>
                <w:sz w:val="14"/>
                <w:szCs w:val="14"/>
                <w:color w:val="auto"/>
              </w:rPr>
              <w:t xml:space="preserve">BXP’s Share of Debt/BXP’s Share of Market Capitalization </w:t>
            </w:r>
            <w:r>
              <w:rPr>
                <w:rFonts w:ascii="Arial" w:cs="Arial" w:eastAsia="Arial" w:hAnsi="Arial"/>
                <w:sz w:val="18"/>
                <w:szCs w:val="18"/>
                <w:color w:val="auto"/>
                <w:vertAlign w:val="superscript"/>
              </w:rPr>
              <w:t>8</w:t>
            </w:r>
            <w:r>
              <w:rPr>
                <w:rFonts w:ascii="Arial" w:cs="Arial" w:eastAsia="Arial" w:hAnsi="Arial"/>
                <w:sz w:val="14"/>
                <w:szCs w:val="14"/>
                <w:color w:val="auto"/>
              </w:rPr>
              <w:t xml:space="preserve"> </w:t>
            </w:r>
            <w:r>
              <w:rPr>
                <w:rFonts w:ascii="Arial" w:cs="Arial" w:eastAsia="Arial" w:hAnsi="Arial"/>
                <w:sz w:val="14"/>
                <w:szCs w:val="14"/>
                <w:b w:val="1"/>
                <w:bCs w:val="1"/>
                <w:color w:val="auto"/>
              </w:rPr>
              <w:t>(B÷D)</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-2870835</wp:posOffset>
            </wp:positionV>
            <wp:extent cx="257175" cy="1631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right="140" w:hanging="72"/>
        <w:spacing w:after="0" w:line="290" w:lineRule="auto"/>
        <w:tabs>
          <w:tab w:leader="none" w:pos="78" w:val="left"/>
        </w:tabs>
        <w:numPr>
          <w:ilvl w:val="0"/>
          <w:numId w:val="67"/>
        </w:numPr>
        <w:rPr>
          <w:rFonts w:ascii="Arial" w:cs="Arial" w:eastAsia="Arial" w:hAnsi="Arial"/>
          <w:sz w:val="9"/>
          <w:szCs w:val="9"/>
          <w:color w:val="auto"/>
        </w:rPr>
      </w:pPr>
      <w:r>
        <w:rPr>
          <w:rFonts w:ascii="Arial" w:cs="Arial" w:eastAsia="Arial" w:hAnsi="Arial"/>
          <w:sz w:val="14"/>
          <w:szCs w:val="14"/>
          <w:color w:val="auto"/>
        </w:rPr>
        <w:t>The GAAP interest rate differs from the stated interest rate due to the inclusion of the amortization of financing charges, the effects of hedging transactions (excluding capped calls classified as equity) and adjustments required to reflect loans and swaps at their fair values upon consolidation.</w:t>
      </w:r>
    </w:p>
    <w:p>
      <w:pPr>
        <w:ind w:left="80" w:hanging="72"/>
        <w:spacing w:after="0" w:line="211" w:lineRule="auto"/>
        <w:tabs>
          <w:tab w:leader="none" w:pos="80" w:val="left"/>
        </w:tabs>
        <w:numPr>
          <w:ilvl w:val="0"/>
          <w:numId w:val="68"/>
        </w:numPr>
        <w:rPr>
          <w:rFonts w:ascii="Arial" w:cs="Arial" w:eastAsia="Arial" w:hAnsi="Arial"/>
          <w:sz w:val="19"/>
          <w:szCs w:val="19"/>
          <w:color w:val="auto"/>
          <w:vertAlign w:val="superscript"/>
        </w:rPr>
      </w:pPr>
      <w:r>
        <w:rPr>
          <w:rFonts w:ascii="Arial" w:cs="Arial" w:eastAsia="Arial" w:hAnsi="Arial"/>
          <w:sz w:val="14"/>
          <w:szCs w:val="14"/>
          <w:color w:val="auto"/>
        </w:rPr>
        <w:t>The stated interest rate includes the effects of hedging transactions.</w:t>
      </w:r>
    </w:p>
    <w:p>
      <w:pPr>
        <w:ind w:left="80" w:hanging="72"/>
        <w:spacing w:after="0" w:line="223" w:lineRule="auto"/>
        <w:tabs>
          <w:tab w:leader="none" w:pos="80" w:val="left"/>
        </w:tabs>
        <w:numPr>
          <w:ilvl w:val="0"/>
          <w:numId w:val="69"/>
        </w:numPr>
        <w:rPr>
          <w:rFonts w:ascii="Arial" w:cs="Arial" w:eastAsia="Arial" w:hAnsi="Arial"/>
          <w:sz w:val="19"/>
          <w:szCs w:val="19"/>
          <w:color w:val="auto"/>
          <w:vertAlign w:val="superscript"/>
        </w:rPr>
      </w:pPr>
      <w:r>
        <w:rPr>
          <w:rFonts w:ascii="Arial" w:cs="Arial" w:eastAsia="Arial" w:hAnsi="Arial"/>
          <w:sz w:val="14"/>
          <w:szCs w:val="14"/>
          <w:color w:val="auto"/>
        </w:rPr>
        <w:t>All unsecured senior notes and unsecured exchangeable senior notes are rated BBB (negative), and Baa2 (stable) by S&amp;P and Moody’s, respectively.</w:t>
      </w:r>
    </w:p>
    <w:p>
      <w:pPr>
        <w:spacing w:after="0" w:line="26" w:lineRule="exact"/>
        <w:rPr>
          <w:sz w:val="20"/>
          <w:szCs w:val="20"/>
          <w:color w:val="auto"/>
        </w:rPr>
      </w:pPr>
    </w:p>
    <w:p>
      <w:pPr>
        <w:ind w:left="80" w:hanging="72"/>
        <w:spacing w:after="0" w:line="261" w:lineRule="auto"/>
        <w:tabs>
          <w:tab w:leader="none" w:pos="78" w:val="left"/>
        </w:tabs>
        <w:numPr>
          <w:ilvl w:val="0"/>
          <w:numId w:val="70"/>
        </w:numPr>
        <w:rPr>
          <w:rFonts w:ascii="Arial" w:cs="Arial" w:eastAsia="Arial" w:hAnsi="Arial"/>
          <w:sz w:val="9"/>
          <w:szCs w:val="9"/>
          <w:color w:val="auto"/>
        </w:rPr>
      </w:pPr>
      <w:r>
        <w:rPr>
          <w:rFonts w:ascii="Arial" w:cs="Arial" w:eastAsia="Arial" w:hAnsi="Arial"/>
          <w:sz w:val="14"/>
          <w:szCs w:val="14"/>
          <w:color w:val="auto"/>
        </w:rPr>
        <w:t>The GAAP interest rate excludes capped call transactions that are classified as equity. The initial exchange rate of the unsecured exchangeable senior notes is 10.8180 shares of BXP’s common stock per $1,000 principal amount of notes, which represents an initial exchange price of approximately $92.44 per share of BXP’s common stock. In conjunction with the issuance of the unsecured exchangeable senior notes, the Company entered into capped call transactions to cover, subject to customary adjustments, the number of shares of BXP’s common stock initially underlying the unsecured exchangeable senior notes. The capped call transactions are expected generally to reduce the potential dilution to BXP’s common stock upon any exchange of notes and/or offset any cash payments BPLP is required to make in excess of the principal amount of exchanged notes, as the case may be, with such reduction and/or offset subject to a cap. The cap price of the capped call transactions is initially $105.64 per share, which represents a premium of 40% over the last reported sale price of $75.46 per share of BXP’s common stock on September 24, 2025, and is subject to certain adjustments under the terms of the capped call transactions. The capped call transactions will expire upon the maturity of the unsecured exchangeable senior notes, if not earlier exercised or terminated, and the premiums associated with the purchase were classified as equity.</w:t>
      </w:r>
    </w:p>
    <w:p>
      <w:pPr>
        <w:spacing w:after="0" w:line="3" w:lineRule="exact"/>
        <w:rPr>
          <w:sz w:val="20"/>
          <w:szCs w:val="20"/>
          <w:color w:val="auto"/>
        </w:rPr>
      </w:pPr>
    </w:p>
    <w:p>
      <w:pPr>
        <w:ind w:left="80" w:hanging="72"/>
        <w:spacing w:after="0"/>
        <w:tabs>
          <w:tab w:leader="none" w:pos="80" w:val="left"/>
        </w:tabs>
        <w:numPr>
          <w:ilvl w:val="0"/>
          <w:numId w:val="71"/>
        </w:numPr>
        <w:rPr>
          <w:rFonts w:ascii="Arial" w:cs="Arial" w:eastAsia="Arial" w:hAnsi="Arial"/>
          <w:sz w:val="9"/>
          <w:szCs w:val="9"/>
          <w:color w:val="auto"/>
        </w:rPr>
      </w:pPr>
      <w:r>
        <w:rPr>
          <w:rFonts w:ascii="Arial" w:cs="Arial" w:eastAsia="Arial" w:hAnsi="Arial"/>
          <w:sz w:val="14"/>
          <w:szCs w:val="14"/>
          <w:color w:val="auto"/>
        </w:rPr>
        <w:t>Values are based on the September 30, 2026 closing price of $61.11 per share of BXP common stock.</w:t>
      </w:r>
    </w:p>
    <w:p>
      <w:pPr>
        <w:spacing w:after="0" w:line="27" w:lineRule="exact"/>
        <w:rPr>
          <w:sz w:val="20"/>
          <w:szCs w:val="20"/>
          <w:color w:val="auto"/>
        </w:rPr>
      </w:pPr>
    </w:p>
    <w:p>
      <w:pPr>
        <w:ind w:left="80" w:hanging="72"/>
        <w:spacing w:after="0"/>
        <w:tabs>
          <w:tab w:leader="none" w:pos="80" w:val="left"/>
        </w:tabs>
        <w:numPr>
          <w:ilvl w:val="0"/>
          <w:numId w:val="72"/>
        </w:numPr>
        <w:rPr>
          <w:rFonts w:ascii="Arial" w:cs="Arial" w:eastAsia="Arial" w:hAnsi="Arial"/>
          <w:sz w:val="19"/>
          <w:szCs w:val="19"/>
          <w:color w:val="auto"/>
          <w:vertAlign w:val="superscript"/>
        </w:rPr>
      </w:pPr>
      <w:r>
        <w:rPr>
          <w:rFonts w:ascii="Arial" w:cs="Arial" w:eastAsia="Arial" w:hAnsi="Arial"/>
          <w:sz w:val="14"/>
          <w:szCs w:val="14"/>
          <w:color w:val="auto"/>
        </w:rPr>
        <w:t>Amount is calculated based on the Company’s percentage ownership interest in the unconsolidated joint venture entities. For additional detail, see page 35.</w:t>
      </w:r>
    </w:p>
    <w:p>
      <w:pPr>
        <w:spacing w:after="0" w:line="26" w:lineRule="exact"/>
        <w:rPr>
          <w:sz w:val="20"/>
          <w:szCs w:val="20"/>
          <w:color w:val="auto"/>
        </w:rPr>
      </w:pPr>
    </w:p>
    <w:p>
      <w:pPr>
        <w:ind w:left="80" w:hanging="72"/>
        <w:spacing w:after="0"/>
        <w:tabs>
          <w:tab w:leader="none" w:pos="80" w:val="left"/>
        </w:tabs>
        <w:numPr>
          <w:ilvl w:val="0"/>
          <w:numId w:val="73"/>
        </w:numPr>
        <w:rPr>
          <w:rFonts w:ascii="Arial" w:cs="Arial" w:eastAsia="Arial" w:hAnsi="Arial"/>
          <w:sz w:val="9"/>
          <w:szCs w:val="9"/>
          <w:color w:val="auto"/>
        </w:rPr>
      </w:pPr>
      <w:r>
        <w:rPr>
          <w:rFonts w:ascii="Arial" w:cs="Arial" w:eastAsia="Arial" w:hAnsi="Arial"/>
          <w:sz w:val="14"/>
          <w:szCs w:val="14"/>
          <w:color w:val="auto"/>
        </w:rPr>
        <w:t>Amount is calculated based on the outside partners’ percentage ownership interest in the consolidated joint venture entities. For additional detail, see page 33.</w:t>
      </w:r>
    </w:p>
    <w:p>
      <w:pPr>
        <w:spacing w:after="0" w:line="38"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8</w:t>
      </w:r>
      <w:r>
        <w:rPr>
          <w:rFonts w:ascii="Arial" w:cs="Arial" w:eastAsia="Arial" w:hAnsi="Arial"/>
          <w:sz w:val="14"/>
          <w:szCs w:val="14"/>
          <w:color w:val="auto"/>
        </w:rPr>
        <w:t xml:space="preserve"> See the Definitions and Reconciliations sections of this Supplemental package starting on page 56.</w:t>
      </w:r>
    </w:p>
    <w:p>
      <w:pPr>
        <w:spacing w:after="0" w:line="30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279" w:right="339" w:bottom="1440" w:gutter="0" w:footer="0" w:header="0"/>
        </w:sectPr>
      </w:pPr>
    </w:p>
    <w:bookmarkStart w:id="36" w:name="page37"/>
    <w:bookmarkEnd w:id="36"/>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Debt analysis </w:t>
      </w:r>
      <w:r>
        <w:rPr>
          <w:rFonts w:ascii="Arial" w:cs="Arial" w:eastAsia="Arial" w:hAnsi="Arial"/>
          <w:sz w:val="18"/>
          <w:szCs w:val="18"/>
          <w:b w:val="1"/>
          <w:bCs w:val="1"/>
          <w:color w:val="00497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-1905</wp:posOffset>
            </wp:positionV>
            <wp:extent cx="6283325" cy="18859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8332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720" w:type="dxa"/>
            <w:vAlign w:val="bottom"/>
          </w:tcPr>
          <w:p>
            <w:pPr>
              <w:ind w:left="2120"/>
              <w:spacing w:after="0"/>
              <w:rPr>
                <w:sz w:val="20"/>
                <w:szCs w:val="20"/>
                <w:color w:val="auto"/>
              </w:rPr>
            </w:pPr>
            <w:r>
              <w:rPr>
                <w:rFonts w:ascii="Arial" w:cs="Arial" w:eastAsia="Arial" w:hAnsi="Arial"/>
                <w:sz w:val="14"/>
                <w:szCs w:val="14"/>
                <w:color w:val="auto"/>
              </w:rPr>
              <w:t xml:space="preserve">2026 </w:t>
            </w:r>
            <w:r>
              <w:rPr>
                <w:rFonts w:ascii="Arial" w:cs="Arial" w:eastAsia="Arial" w:hAnsi="Arial"/>
                <w:sz w:val="18"/>
                <w:szCs w:val="18"/>
                <w:color w:val="auto"/>
                <w:vertAlign w:val="superscript"/>
              </w:rPr>
              <w:t>2</w:t>
            </w:r>
          </w:p>
        </w:tc>
        <w:tc>
          <w:tcPr>
            <w:tcW w:w="760" w:type="dxa"/>
            <w:vAlign w:val="bottom"/>
          </w:tcPr>
          <w:p>
            <w:pPr>
              <w:jc w:val="right"/>
              <w:ind w:right="168"/>
              <w:spacing w:after="0"/>
              <w:rPr>
                <w:sz w:val="20"/>
                <w:szCs w:val="20"/>
                <w:color w:val="auto"/>
              </w:rPr>
            </w:pPr>
            <w:r>
              <w:rPr>
                <w:rFonts w:ascii="Arial" w:cs="Arial" w:eastAsia="Arial" w:hAnsi="Arial"/>
                <w:sz w:val="14"/>
                <w:szCs w:val="14"/>
                <w:color w:val="auto"/>
              </w:rPr>
              <w:t>2027</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2028</w:t>
            </w: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2029</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2031</w:t>
            </w:r>
          </w:p>
        </w:tc>
        <w:tc>
          <w:tcPr>
            <w:tcW w:w="1080" w:type="dxa"/>
            <w:vAlign w:val="bottom"/>
          </w:tcPr>
          <w:p>
            <w:pPr>
              <w:ind w:left="400"/>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2033</w:t>
            </w:r>
          </w:p>
        </w:tc>
        <w:tc>
          <w:tcPr>
            <w:tcW w:w="780" w:type="dxa"/>
            <w:vAlign w:val="bottom"/>
          </w:tcPr>
          <w:p>
            <w:pPr>
              <w:jc w:val="center"/>
              <w:ind w:left="391"/>
              <w:spacing w:after="0"/>
              <w:rPr>
                <w:sz w:val="20"/>
                <w:szCs w:val="20"/>
                <w:color w:val="auto"/>
              </w:rPr>
            </w:pPr>
            <w:r>
              <w:rPr>
                <w:rFonts w:ascii="Arial" w:cs="Arial" w:eastAsia="Arial" w:hAnsi="Arial"/>
                <w:sz w:val="14"/>
                <w:szCs w:val="14"/>
                <w:color w:val="auto"/>
              </w:rPr>
              <w:t>2034</w:t>
            </w:r>
          </w:p>
        </w:tc>
        <w:tc>
          <w:tcPr>
            <w:tcW w:w="840" w:type="dxa"/>
            <w:vAlign w:val="bottom"/>
            <w:gridSpan w:val="4"/>
          </w:tcPr>
          <w:p>
            <w:pPr>
              <w:jc w:val="right"/>
              <w:ind w:right="60"/>
              <w:spacing w:after="0"/>
              <w:rPr>
                <w:sz w:val="20"/>
                <w:szCs w:val="20"/>
                <w:color w:val="auto"/>
              </w:rPr>
            </w:pPr>
            <w:r>
              <w:rPr>
                <w:rFonts w:ascii="Arial" w:cs="Arial" w:eastAsia="Arial" w:hAnsi="Arial"/>
                <w:sz w:val="14"/>
                <w:szCs w:val="14"/>
                <w:color w:val="auto"/>
              </w:rPr>
              <w:t>2035</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tcPr>
          <w:p>
            <w:pPr>
              <w:jc w:val="right"/>
              <w:ind w:right="969"/>
              <w:spacing w:after="0"/>
              <w:rPr>
                <w:sz w:val="20"/>
                <w:szCs w:val="20"/>
                <w:color w:val="auto"/>
              </w:rPr>
            </w:pPr>
            <w:r>
              <w:rPr>
                <w:rFonts w:ascii="Arial" w:cs="Arial" w:eastAsia="Arial" w:hAnsi="Arial"/>
                <w:sz w:val="14"/>
                <w:szCs w:val="14"/>
                <w:color w:val="auto"/>
              </w:rPr>
              <w:t>2036</w:t>
            </w:r>
          </w:p>
        </w:tc>
        <w:tc>
          <w:tcPr>
            <w:tcW w:w="0" w:type="dxa"/>
            <w:vAlign w:val="bottom"/>
          </w:tcPr>
          <w:p>
            <w:pPr>
              <w:spacing w:after="0"/>
              <w:rPr>
                <w:sz w:val="1"/>
                <w:szCs w:val="1"/>
                <w:color w:val="auto"/>
              </w:rPr>
            </w:pPr>
          </w:p>
        </w:tc>
      </w:tr>
      <w:tr>
        <w:trPr>
          <w:trHeight w:val="529"/>
        </w:trPr>
        <w:tc>
          <w:tcPr>
            <w:tcW w:w="5980" w:type="dxa"/>
            <w:vAlign w:val="bottom"/>
            <w:gridSpan w:val="8"/>
          </w:tcPr>
          <w:p>
            <w:pPr>
              <w:spacing w:after="0"/>
              <w:rPr>
                <w:sz w:val="20"/>
                <w:szCs w:val="20"/>
                <w:color w:val="auto"/>
              </w:rPr>
            </w:pPr>
            <w:r>
              <w:rPr>
                <w:rFonts w:ascii="Arial" w:cs="Arial" w:eastAsia="Arial" w:hAnsi="Arial"/>
                <w:sz w:val="14"/>
                <w:szCs w:val="14"/>
                <w:b w:val="1"/>
                <w:bCs w:val="1"/>
                <w:i w:val="1"/>
                <w:iCs w:val="1"/>
                <w:color w:val="auto"/>
              </w:rPr>
              <w:t>UNSECURED REVOLVING CREDIT FACILITY - MATURES MARCH 29, 2030</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27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00" w:type="dxa"/>
            <w:vAlign w:val="bottom"/>
            <w:gridSpan w:val="2"/>
            <w:vMerge w:val="restart"/>
          </w:tcPr>
          <w:p>
            <w:pPr>
              <w:jc w:val="right"/>
              <w:ind w:right="500"/>
              <w:spacing w:after="0"/>
              <w:rPr>
                <w:sz w:val="20"/>
                <w:szCs w:val="20"/>
                <w:color w:val="auto"/>
              </w:rPr>
            </w:pPr>
            <w:r>
              <w:rPr>
                <w:rFonts w:ascii="Arial" w:cs="Arial" w:eastAsia="Arial" w:hAnsi="Arial"/>
                <w:sz w:val="13"/>
                <w:szCs w:val="13"/>
                <w:b w:val="1"/>
                <w:bCs w:val="1"/>
                <w:color w:val="auto"/>
              </w:rPr>
              <w:t>Facility</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5"/>
          </w:tcPr>
          <w:p>
            <w:pPr>
              <w:jc w:val="center"/>
              <w:ind w:right="360"/>
              <w:spacing w:after="0"/>
              <w:rPr>
                <w:sz w:val="20"/>
                <w:szCs w:val="20"/>
                <w:color w:val="auto"/>
              </w:rPr>
            </w:pPr>
            <w:r>
              <w:rPr>
                <w:rFonts w:ascii="Arial" w:cs="Arial" w:eastAsia="Arial" w:hAnsi="Arial"/>
                <w:sz w:val="13"/>
                <w:szCs w:val="13"/>
                <w:b w:val="1"/>
                <w:bCs w:val="1"/>
                <w:color w:val="auto"/>
              </w:rPr>
              <w:t>Outstanding at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tcPr>
          <w:p>
            <w:pPr>
              <w:jc w:val="center"/>
              <w:ind w:right="49"/>
              <w:spacing w:after="0"/>
              <w:rPr>
                <w:sz w:val="20"/>
                <w:szCs w:val="20"/>
                <w:color w:val="auto"/>
              </w:rPr>
            </w:pPr>
            <w:r>
              <w:rPr>
                <w:rFonts w:ascii="Arial" w:cs="Arial" w:eastAsia="Arial" w:hAnsi="Arial"/>
                <w:sz w:val="13"/>
                <w:szCs w:val="13"/>
                <w:b w:val="1"/>
                <w:bCs w:val="1"/>
                <w:color w:val="auto"/>
              </w:rPr>
              <w:t>Remaining Capacity at</w:t>
            </w:r>
          </w:p>
        </w:tc>
        <w:tc>
          <w:tcPr>
            <w:tcW w:w="0" w:type="dxa"/>
            <w:vAlign w:val="bottom"/>
          </w:tcPr>
          <w:p>
            <w:pPr>
              <w:spacing w:after="0"/>
              <w:rPr>
                <w:sz w:val="1"/>
                <w:szCs w:val="1"/>
                <w:color w:val="auto"/>
              </w:rPr>
            </w:pPr>
          </w:p>
        </w:tc>
      </w:tr>
      <w:tr>
        <w:trPr>
          <w:trHeight w:val="188"/>
        </w:trPr>
        <w:tc>
          <w:tcPr>
            <w:tcW w:w="2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rPr>
              <w:t>September 30, 2026</w:t>
            </w:r>
          </w:p>
        </w:tc>
        <w:tc>
          <w:tcPr>
            <w:tcW w:w="2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rPr>
              <w:t>September 30, 2026</w:t>
            </w:r>
          </w:p>
        </w:tc>
        <w:tc>
          <w:tcPr>
            <w:tcW w:w="0" w:type="dxa"/>
            <w:vAlign w:val="bottom"/>
          </w:tcPr>
          <w:p>
            <w:pPr>
              <w:spacing w:after="0"/>
              <w:rPr>
                <w:sz w:val="1"/>
                <w:szCs w:val="1"/>
                <w:color w:val="auto"/>
              </w:rPr>
            </w:pPr>
          </w:p>
        </w:tc>
      </w:tr>
      <w:tr>
        <w:trPr>
          <w:trHeight w:val="203"/>
        </w:trPr>
        <w:tc>
          <w:tcPr>
            <w:tcW w:w="2720" w:type="dxa"/>
            <w:vAlign w:val="bottom"/>
          </w:tcPr>
          <w:p>
            <w:pPr>
              <w:ind w:left="20"/>
              <w:spacing w:after="0"/>
              <w:rPr>
                <w:sz w:val="20"/>
                <w:szCs w:val="20"/>
                <w:color w:val="auto"/>
              </w:rPr>
            </w:pPr>
            <w:r>
              <w:rPr>
                <w:rFonts w:ascii="Arial" w:cs="Arial" w:eastAsia="Arial" w:hAnsi="Arial"/>
                <w:sz w:val="14"/>
                <w:szCs w:val="14"/>
                <w:color w:val="auto"/>
              </w:rPr>
              <w:t>Unsecured Line of Credit</w:t>
            </w: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ind w:left="400"/>
              <w:spacing w:after="0"/>
              <w:rPr>
                <w:sz w:val="20"/>
                <w:szCs w:val="20"/>
                <w:color w:val="auto"/>
              </w:rPr>
            </w:pPr>
            <w:r>
              <w:rPr>
                <w:rFonts w:ascii="Arial" w:cs="Arial" w:eastAsia="Arial" w:hAnsi="Arial"/>
                <w:sz w:val="14"/>
                <w:szCs w:val="14"/>
                <w:color w:val="auto"/>
              </w:rPr>
              <w:t>2,250,000</w:t>
            </w:r>
          </w:p>
        </w:tc>
        <w:tc>
          <w:tcPr>
            <w:tcW w:w="20" w:type="dxa"/>
            <w:vAlign w:val="bottom"/>
          </w:tcPr>
          <w:p>
            <w:pPr>
              <w:spacing w:after="0"/>
              <w:rPr>
                <w:sz w:val="17"/>
                <w:szCs w:val="17"/>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247,000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2,003,000</w:t>
            </w:r>
          </w:p>
        </w:tc>
        <w:tc>
          <w:tcPr>
            <w:tcW w:w="0" w:type="dxa"/>
            <w:vAlign w:val="bottom"/>
          </w:tcPr>
          <w:p>
            <w:pPr>
              <w:spacing w:after="0"/>
              <w:rPr>
                <w:sz w:val="1"/>
                <w:szCs w:val="1"/>
                <w:color w:val="auto"/>
              </w:rPr>
            </w:pPr>
          </w:p>
        </w:tc>
      </w:tr>
      <w:tr>
        <w:trPr>
          <w:trHeight w:val="216"/>
        </w:trPr>
        <w:tc>
          <w:tcPr>
            <w:tcW w:w="2720" w:type="dxa"/>
            <w:vAlign w:val="bottom"/>
          </w:tcPr>
          <w:p>
            <w:pPr>
              <w:ind w:left="20"/>
              <w:spacing w:after="0"/>
              <w:rPr>
                <w:sz w:val="20"/>
                <w:szCs w:val="20"/>
                <w:color w:val="auto"/>
              </w:rPr>
            </w:pPr>
            <w:r>
              <w:rPr>
                <w:rFonts w:ascii="Arial" w:cs="Arial" w:eastAsia="Arial" w:hAnsi="Arial"/>
                <w:sz w:val="14"/>
                <w:szCs w:val="14"/>
                <w:color w:val="auto"/>
              </w:rPr>
              <w:t>Less:</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720" w:type="dxa"/>
            <w:vAlign w:val="bottom"/>
          </w:tcPr>
          <w:p>
            <w:pPr>
              <w:ind w:left="240"/>
              <w:spacing w:after="0"/>
              <w:rPr>
                <w:sz w:val="20"/>
                <w:szCs w:val="20"/>
                <w:color w:val="auto"/>
              </w:rPr>
            </w:pPr>
            <w:r>
              <w:rPr>
                <w:rFonts w:ascii="Arial" w:cs="Arial" w:eastAsia="Arial" w:hAnsi="Arial"/>
                <w:sz w:val="14"/>
                <w:szCs w:val="14"/>
                <w:color w:val="auto"/>
              </w:rPr>
              <w:t xml:space="preserve">Unsecured Commercial Paper </w:t>
            </w:r>
            <w:r>
              <w:rPr>
                <w:rFonts w:ascii="Arial" w:cs="Arial" w:eastAsia="Arial" w:hAnsi="Arial"/>
                <w:sz w:val="18"/>
                <w:szCs w:val="18"/>
                <w:color w:val="auto"/>
                <w:vertAlign w:val="superscript"/>
              </w:rPr>
              <w:t>3</w:t>
            </w:r>
          </w:p>
        </w:tc>
        <w:tc>
          <w:tcPr>
            <w:tcW w:w="7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94"/>
        </w:trPr>
        <w:tc>
          <w:tcPr>
            <w:tcW w:w="2720" w:type="dxa"/>
            <w:vAlign w:val="bottom"/>
          </w:tcPr>
          <w:p>
            <w:pPr>
              <w:ind w:left="240"/>
              <w:spacing w:after="0"/>
              <w:rPr>
                <w:sz w:val="20"/>
                <w:szCs w:val="20"/>
                <w:color w:val="auto"/>
              </w:rPr>
            </w:pPr>
            <w:r>
              <w:rPr>
                <w:rFonts w:ascii="Arial" w:cs="Arial" w:eastAsia="Arial" w:hAnsi="Arial"/>
                <w:sz w:val="14"/>
                <w:szCs w:val="14"/>
                <w:color w:val="auto"/>
              </w:rPr>
              <w:t>Letters of Credit</w:t>
            </w:r>
          </w:p>
        </w:tc>
        <w:tc>
          <w:tcPr>
            <w:tcW w:w="7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2,496</w:t>
            </w:r>
          </w:p>
        </w:tc>
        <w:tc>
          <w:tcPr>
            <w:tcW w:w="0" w:type="dxa"/>
            <w:vAlign w:val="bottom"/>
          </w:tcPr>
          <w:p>
            <w:pPr>
              <w:spacing w:after="0"/>
              <w:rPr>
                <w:sz w:val="1"/>
                <w:szCs w:val="1"/>
                <w:color w:val="auto"/>
              </w:rPr>
            </w:pPr>
          </w:p>
        </w:tc>
      </w:tr>
      <w:tr>
        <w:trPr>
          <w:trHeight w:val="214"/>
        </w:trPr>
        <w:tc>
          <w:tcPr>
            <w:tcW w:w="2720" w:type="dxa"/>
            <w:vAlign w:val="bottom"/>
          </w:tcPr>
          <w:p>
            <w:pPr>
              <w:ind w:left="20"/>
              <w:spacing w:after="0"/>
              <w:rPr>
                <w:sz w:val="20"/>
                <w:szCs w:val="20"/>
                <w:color w:val="auto"/>
              </w:rPr>
            </w:pPr>
            <w:r>
              <w:rPr>
                <w:rFonts w:ascii="Arial" w:cs="Arial" w:eastAsia="Arial" w:hAnsi="Arial"/>
                <w:sz w:val="14"/>
                <w:szCs w:val="14"/>
                <w:color w:val="auto"/>
              </w:rPr>
              <w:t>Total Remaining Capacity</w:t>
            </w: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1,250,504</w:t>
            </w: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UNSECURED TERM LOANS</w:t>
            </w: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0"/>
        </w:trPr>
        <w:tc>
          <w:tcPr>
            <w:tcW w:w="2720" w:type="dxa"/>
            <w:vAlign w:val="bottom"/>
            <w:tcBorders>
              <w:bottom w:val="single" w:sz="8" w:color="auto"/>
            </w:tcBorders>
            <w:vMerge w:val="continue"/>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3"/>
                <w:szCs w:val="13"/>
                <w:b w:val="1"/>
                <w:bCs w:val="1"/>
                <w:color w:val="auto"/>
              </w:rPr>
              <w:t>Maturity Date</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3"/>
                <w:szCs w:val="13"/>
                <w:b w:val="1"/>
                <w:bCs w:val="1"/>
                <w:color w:val="auto"/>
              </w:rPr>
              <w:t>Facility</w:t>
            </w:r>
          </w:p>
        </w:tc>
        <w:tc>
          <w:tcPr>
            <w:tcW w:w="260" w:type="dxa"/>
            <w:vAlign w:val="bottom"/>
            <w:gridSpan w:val="3"/>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rPr>
              <w:t>Outstanding Principal</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Arial" w:cs="Arial" w:eastAsia="Arial" w:hAnsi="Arial"/>
                <w:sz w:val="14"/>
                <w:szCs w:val="14"/>
                <w:color w:val="auto"/>
              </w:rPr>
              <w:t xml:space="preserve">2024 Unsecured Term Loan </w:t>
            </w:r>
            <w:r>
              <w:rPr>
                <w:rFonts w:ascii="Arial" w:cs="Arial" w:eastAsia="Arial" w:hAnsi="Arial"/>
                <w:sz w:val="18"/>
                <w:szCs w:val="18"/>
                <w:color w:val="auto"/>
                <w:vertAlign w:val="superscript"/>
              </w:rPr>
              <w:t>4</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4"/>
                <w:szCs w:val="14"/>
                <w:color w:val="auto"/>
              </w:rPr>
              <w:t>September 24, 2027</w:t>
            </w:r>
          </w:p>
        </w:tc>
        <w:tc>
          <w:tcPr>
            <w:tcW w:w="3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8"/>
              <w:spacing w:after="0"/>
              <w:rPr>
                <w:sz w:val="20"/>
                <w:szCs w:val="20"/>
                <w:color w:val="auto"/>
              </w:rPr>
            </w:pPr>
            <w:r>
              <w:rPr>
                <w:rFonts w:ascii="Arial" w:cs="Arial" w:eastAsia="Arial" w:hAnsi="Arial"/>
                <w:sz w:val="14"/>
                <w:szCs w:val="14"/>
                <w:color w:val="auto"/>
              </w:rPr>
              <w:t>100,000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gridSpan w:val="3"/>
          </w:tcPr>
          <w:p>
            <w:pPr>
              <w:jc w:val="right"/>
              <w:ind w:right="60"/>
              <w:spacing w:after="0"/>
              <w:rPr>
                <w:sz w:val="20"/>
                <w:szCs w:val="20"/>
                <w:color w:val="auto"/>
              </w:rPr>
            </w:pPr>
            <w:r>
              <w:rPr>
                <w:rFonts w:ascii="Arial" w:cs="Arial" w:eastAsia="Arial" w:hAnsi="Arial"/>
                <w:sz w:val="14"/>
                <w:szCs w:val="14"/>
                <w:color w:val="auto"/>
                <w:w w:val="76"/>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01"/>
        </w:trPr>
        <w:tc>
          <w:tcPr>
            <w:tcW w:w="2720" w:type="dxa"/>
            <w:vAlign w:val="bottom"/>
          </w:tcPr>
          <w:p>
            <w:pPr>
              <w:ind w:left="20"/>
              <w:spacing w:after="0" w:line="201" w:lineRule="exact"/>
              <w:rPr>
                <w:sz w:val="20"/>
                <w:szCs w:val="20"/>
                <w:color w:val="auto"/>
              </w:rPr>
            </w:pPr>
            <w:r>
              <w:rPr>
                <w:rFonts w:ascii="Arial" w:cs="Arial" w:eastAsia="Arial" w:hAnsi="Arial"/>
                <w:sz w:val="14"/>
                <w:szCs w:val="14"/>
                <w:color w:val="auto"/>
              </w:rPr>
              <w:t xml:space="preserve">Unsecured Term Loan Facility </w:t>
            </w:r>
            <w:r>
              <w:rPr>
                <w:rFonts w:ascii="Arial" w:cs="Arial" w:eastAsia="Arial" w:hAnsi="Arial"/>
                <w:sz w:val="18"/>
                <w:szCs w:val="18"/>
                <w:color w:val="auto"/>
                <w:vertAlign w:val="superscript"/>
              </w:rPr>
              <w:t>5</w:t>
            </w: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4"/>
                <w:szCs w:val="14"/>
                <w:color w:val="auto"/>
              </w:rPr>
              <w:t>March 30, 2029</w:t>
            </w:r>
          </w:p>
        </w:tc>
        <w:tc>
          <w:tcPr>
            <w:tcW w:w="3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8"/>
              <w:spacing w:after="0"/>
              <w:rPr>
                <w:sz w:val="20"/>
                <w:szCs w:val="20"/>
                <w:color w:val="auto"/>
              </w:rPr>
            </w:pPr>
            <w:r>
              <w:rPr>
                <w:rFonts w:ascii="Arial" w:cs="Arial" w:eastAsia="Arial" w:hAnsi="Arial"/>
                <w:sz w:val="14"/>
                <w:szCs w:val="14"/>
                <w:color w:val="auto"/>
              </w:rPr>
              <w:t>700,000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700,000</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w w:val="76"/>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800,000</w:t>
            </w:r>
          </w:p>
        </w:tc>
        <w:tc>
          <w:tcPr>
            <w:tcW w:w="0" w:type="dxa"/>
            <w:vAlign w:val="bottom"/>
          </w:tcPr>
          <w:p>
            <w:pPr>
              <w:spacing w:after="0"/>
              <w:rPr>
                <w:sz w:val="1"/>
                <w:szCs w:val="1"/>
                <w:color w:val="auto"/>
              </w:rPr>
            </w:pPr>
          </w:p>
        </w:tc>
      </w:tr>
      <w:tr>
        <w:trPr>
          <w:trHeight w:val="27"/>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UNSECURED AND SECURED DEBT ANALYSIS</w:t>
            </w: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27"/>
        </w:trPr>
        <w:tc>
          <w:tcPr>
            <w:tcW w:w="3480" w:type="dxa"/>
            <w:vAlign w:val="bottom"/>
            <w:tcBorders>
              <w:bottom w:val="single" w:sz="8" w:color="auto"/>
            </w:tcBorders>
            <w:gridSpan w:val="2"/>
            <w:vMerge w:val="continue"/>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3"/>
                <w:szCs w:val="13"/>
                <w:b w:val="1"/>
                <w:bCs w:val="1"/>
                <w:color w:val="auto"/>
              </w:rPr>
              <w:t>Weighted Average</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60" w:type="dxa"/>
            <w:vAlign w:val="bottom"/>
            <w:gridSpan w:val="5"/>
          </w:tcPr>
          <w:p>
            <w:pPr>
              <w:ind w:left="300"/>
              <w:spacing w:after="0"/>
              <w:rPr>
                <w:sz w:val="20"/>
                <w:szCs w:val="20"/>
                <w:color w:val="auto"/>
              </w:rPr>
            </w:pPr>
            <w:r>
              <w:rPr>
                <w:rFonts w:ascii="Arial" w:cs="Arial" w:eastAsia="Arial" w:hAnsi="Arial"/>
                <w:sz w:val="13"/>
                <w:szCs w:val="13"/>
                <w:b w:val="1"/>
                <w:bCs w:val="1"/>
                <w:color w:val="auto"/>
              </w:rPr>
              <w:t>% of Total Debt</w:t>
            </w:r>
          </w:p>
        </w:tc>
        <w:tc>
          <w:tcPr>
            <w:tcW w:w="150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Stated Rates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5"/>
          </w:tcPr>
          <w:p>
            <w:pPr>
              <w:ind w:left="240"/>
              <w:spacing w:after="0"/>
              <w:rPr>
                <w:sz w:val="20"/>
                <w:szCs w:val="20"/>
                <w:color w:val="auto"/>
              </w:rPr>
            </w:pPr>
            <w:r>
              <w:rPr>
                <w:rFonts w:ascii="Arial" w:cs="Arial" w:eastAsia="Arial" w:hAnsi="Arial"/>
                <w:sz w:val="13"/>
                <w:szCs w:val="13"/>
                <w:b w:val="1"/>
                <w:bCs w:val="1"/>
                <w:color w:val="auto"/>
              </w:rPr>
              <w:t xml:space="preserve">GAAP Rates </w:t>
            </w:r>
            <w:r>
              <w:rPr>
                <w:rFonts w:ascii="Arial" w:cs="Arial" w:eastAsia="Arial" w:hAnsi="Arial"/>
                <w:sz w:val="17"/>
                <w:szCs w:val="17"/>
                <w:b w:val="1"/>
                <w:bCs w:val="1"/>
                <w:color w:val="auto"/>
                <w:vertAlign w:val="superscript"/>
              </w:rPr>
              <w:t>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jc w:val="right"/>
              <w:ind w:right="249"/>
              <w:spacing w:after="0"/>
              <w:rPr>
                <w:sz w:val="20"/>
                <w:szCs w:val="20"/>
                <w:color w:val="auto"/>
              </w:rPr>
            </w:pPr>
            <w:r>
              <w:rPr>
                <w:rFonts w:ascii="Arial" w:cs="Arial" w:eastAsia="Arial" w:hAnsi="Arial"/>
                <w:sz w:val="13"/>
                <w:szCs w:val="13"/>
                <w:b w:val="1"/>
                <w:bCs w:val="1"/>
                <w:color w:val="auto"/>
              </w:rPr>
              <w:t>Maturity (years)</w:t>
            </w:r>
          </w:p>
        </w:tc>
        <w:tc>
          <w:tcPr>
            <w:tcW w:w="0" w:type="dxa"/>
            <w:vAlign w:val="bottom"/>
          </w:tcPr>
          <w:p>
            <w:pPr>
              <w:spacing w:after="0"/>
              <w:rPr>
                <w:sz w:val="1"/>
                <w:szCs w:val="1"/>
                <w:color w:val="auto"/>
              </w:rPr>
            </w:pPr>
          </w:p>
        </w:tc>
      </w:tr>
      <w:tr>
        <w:trPr>
          <w:trHeight w:val="201"/>
        </w:trPr>
        <w:tc>
          <w:tcPr>
            <w:tcW w:w="2720" w:type="dxa"/>
            <w:vAlign w:val="bottom"/>
          </w:tcPr>
          <w:p>
            <w:pPr>
              <w:ind w:left="20"/>
              <w:spacing w:after="0"/>
              <w:rPr>
                <w:sz w:val="20"/>
                <w:szCs w:val="20"/>
                <w:color w:val="auto"/>
              </w:rPr>
            </w:pPr>
            <w:r>
              <w:rPr>
                <w:rFonts w:ascii="Arial" w:cs="Arial" w:eastAsia="Arial" w:hAnsi="Arial"/>
                <w:sz w:val="14"/>
                <w:szCs w:val="14"/>
                <w:color w:val="auto"/>
              </w:rPr>
              <w:t>Unsecured Debt</w:t>
            </w: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74.02 %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4.08 %</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4.20 %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20"/>
        </w:trPr>
        <w:tc>
          <w:tcPr>
            <w:tcW w:w="2720" w:type="dxa"/>
            <w:vAlign w:val="bottom"/>
          </w:tcPr>
          <w:p>
            <w:pPr>
              <w:ind w:left="20"/>
              <w:spacing w:after="0"/>
              <w:rPr>
                <w:sz w:val="20"/>
                <w:szCs w:val="20"/>
                <w:color w:val="auto"/>
              </w:rPr>
            </w:pPr>
            <w:r>
              <w:rPr>
                <w:rFonts w:ascii="Arial" w:cs="Arial" w:eastAsia="Arial" w:hAnsi="Arial"/>
                <w:sz w:val="14"/>
                <w:szCs w:val="14"/>
                <w:color w:val="auto"/>
              </w:rPr>
              <w:t>Secured Debt</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25.98 %</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3.82 %</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4.01 %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5"/>
        </w:trPr>
        <w:tc>
          <w:tcPr>
            <w:tcW w:w="2720" w:type="dxa"/>
            <w:vAlign w:val="bottom"/>
          </w:tcPr>
          <w:p>
            <w:pPr>
              <w:ind w:left="20"/>
              <w:spacing w:after="0"/>
              <w:rPr>
                <w:sz w:val="20"/>
                <w:szCs w:val="20"/>
                <w:color w:val="auto"/>
              </w:rPr>
            </w:pPr>
            <w:r>
              <w:rPr>
                <w:rFonts w:ascii="Arial" w:cs="Arial" w:eastAsia="Arial" w:hAnsi="Arial"/>
                <w:sz w:val="14"/>
                <w:szCs w:val="14"/>
                <w:color w:val="auto"/>
              </w:rPr>
              <w:t>Consolidated Debt</w:t>
            </w: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100.00 %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4.01 %</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4.15 %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533"/>
        </w:trPr>
        <w:tc>
          <w:tcPr>
            <w:tcW w:w="34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FLOATING AND FIXED RATE DEBT ANALYSIS</w:t>
            </w: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27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gridSpan w:val="5"/>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3"/>
                <w:szCs w:val="13"/>
                <w:b w:val="1"/>
                <w:bCs w:val="1"/>
                <w:color w:val="auto"/>
              </w:rPr>
              <w:t>Weighted Average</w:t>
            </w: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60" w:type="dxa"/>
            <w:vAlign w:val="bottom"/>
            <w:gridSpan w:val="5"/>
          </w:tcPr>
          <w:p>
            <w:pPr>
              <w:ind w:left="300"/>
              <w:spacing w:after="0"/>
              <w:rPr>
                <w:sz w:val="20"/>
                <w:szCs w:val="20"/>
                <w:color w:val="auto"/>
              </w:rPr>
            </w:pPr>
            <w:r>
              <w:rPr>
                <w:rFonts w:ascii="Arial" w:cs="Arial" w:eastAsia="Arial" w:hAnsi="Arial"/>
                <w:sz w:val="13"/>
                <w:szCs w:val="13"/>
                <w:b w:val="1"/>
                <w:bCs w:val="1"/>
                <w:color w:val="auto"/>
              </w:rPr>
              <w:t>% of Total Debt</w:t>
            </w:r>
          </w:p>
        </w:tc>
        <w:tc>
          <w:tcPr>
            <w:tcW w:w="150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Stated Rates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gridSpan w:val="5"/>
          </w:tcPr>
          <w:p>
            <w:pPr>
              <w:ind w:left="240"/>
              <w:spacing w:after="0"/>
              <w:rPr>
                <w:sz w:val="20"/>
                <w:szCs w:val="20"/>
                <w:color w:val="auto"/>
              </w:rPr>
            </w:pPr>
            <w:r>
              <w:rPr>
                <w:rFonts w:ascii="Arial" w:cs="Arial" w:eastAsia="Arial" w:hAnsi="Arial"/>
                <w:sz w:val="13"/>
                <w:szCs w:val="13"/>
                <w:b w:val="1"/>
                <w:bCs w:val="1"/>
                <w:color w:val="auto"/>
              </w:rPr>
              <w:t xml:space="preserve">GAAP Rates </w:t>
            </w:r>
            <w:r>
              <w:rPr>
                <w:rFonts w:ascii="Arial" w:cs="Arial" w:eastAsia="Arial" w:hAnsi="Arial"/>
                <w:sz w:val="17"/>
                <w:szCs w:val="17"/>
                <w:b w:val="1"/>
                <w:bCs w:val="1"/>
                <w:color w:val="auto"/>
                <w:vertAlign w:val="superscript"/>
              </w:rPr>
              <w:t>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jc w:val="right"/>
              <w:ind w:right="249"/>
              <w:spacing w:after="0"/>
              <w:rPr>
                <w:sz w:val="20"/>
                <w:szCs w:val="20"/>
                <w:color w:val="auto"/>
              </w:rPr>
            </w:pPr>
            <w:r>
              <w:rPr>
                <w:rFonts w:ascii="Arial" w:cs="Arial" w:eastAsia="Arial" w:hAnsi="Arial"/>
                <w:sz w:val="13"/>
                <w:szCs w:val="13"/>
                <w:b w:val="1"/>
                <w:bCs w:val="1"/>
                <w:color w:val="auto"/>
              </w:rPr>
              <w:t>Maturity (years)</w:t>
            </w:r>
          </w:p>
        </w:tc>
        <w:tc>
          <w:tcPr>
            <w:tcW w:w="0" w:type="dxa"/>
            <w:vAlign w:val="bottom"/>
          </w:tcPr>
          <w:p>
            <w:pPr>
              <w:spacing w:after="0"/>
              <w:rPr>
                <w:sz w:val="1"/>
                <w:szCs w:val="1"/>
                <w:color w:val="auto"/>
              </w:rPr>
            </w:pPr>
          </w:p>
        </w:tc>
      </w:tr>
      <w:tr>
        <w:trPr>
          <w:trHeight w:val="201"/>
        </w:trPr>
        <w:tc>
          <w:tcPr>
            <w:tcW w:w="2720" w:type="dxa"/>
            <w:vAlign w:val="bottom"/>
          </w:tcPr>
          <w:p>
            <w:pPr>
              <w:ind w:left="20"/>
              <w:spacing w:after="0"/>
              <w:rPr>
                <w:sz w:val="20"/>
                <w:szCs w:val="20"/>
                <w:color w:val="auto"/>
              </w:rPr>
            </w:pPr>
            <w:r>
              <w:rPr>
                <w:rFonts w:ascii="Arial" w:cs="Arial" w:eastAsia="Arial" w:hAnsi="Arial"/>
                <w:sz w:val="14"/>
                <w:szCs w:val="14"/>
                <w:color w:val="auto"/>
              </w:rPr>
              <w:t xml:space="preserve">Floating Rate Debt </w:t>
            </w:r>
            <w:r>
              <w:rPr>
                <w:rFonts w:ascii="Arial" w:cs="Arial" w:eastAsia="Arial" w:hAnsi="Arial"/>
                <w:sz w:val="9"/>
                <w:szCs w:val="9"/>
                <w:color w:val="auto"/>
              </w:rPr>
              <w:t>3</w:t>
            </w: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12.19 %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4.55 %</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4.64 %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20"/>
        </w:trPr>
        <w:tc>
          <w:tcPr>
            <w:tcW w:w="2720" w:type="dxa"/>
            <w:vAlign w:val="bottom"/>
          </w:tcPr>
          <w:p>
            <w:pPr>
              <w:ind w:left="20"/>
              <w:spacing w:after="0"/>
              <w:rPr>
                <w:sz w:val="20"/>
                <w:szCs w:val="20"/>
                <w:color w:val="auto"/>
              </w:rPr>
            </w:pPr>
            <w:r>
              <w:rPr>
                <w:rFonts w:ascii="Arial" w:cs="Arial" w:eastAsia="Arial" w:hAnsi="Arial"/>
                <w:sz w:val="14"/>
                <w:szCs w:val="14"/>
                <w:color w:val="auto"/>
              </w:rPr>
              <w:t xml:space="preserve">Fixed Rate Debt </w:t>
            </w:r>
            <w:r>
              <w:rPr>
                <w:rFonts w:ascii="Arial" w:cs="Arial" w:eastAsia="Arial" w:hAnsi="Arial"/>
                <w:sz w:val="9"/>
                <w:szCs w:val="9"/>
                <w:color w:val="auto"/>
              </w:rPr>
              <w:t>7</w:t>
            </w: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87.81 %</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3.94 %</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4.08 %</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6"/>
        </w:trPr>
        <w:tc>
          <w:tcPr>
            <w:tcW w:w="2720" w:type="dxa"/>
            <w:vAlign w:val="bottom"/>
          </w:tcPr>
          <w:p>
            <w:pPr>
              <w:ind w:left="20"/>
              <w:spacing w:after="0"/>
              <w:rPr>
                <w:sz w:val="20"/>
                <w:szCs w:val="20"/>
                <w:color w:val="auto"/>
              </w:rPr>
            </w:pPr>
            <w:r>
              <w:rPr>
                <w:rFonts w:ascii="Arial" w:cs="Arial" w:eastAsia="Arial" w:hAnsi="Arial"/>
                <w:sz w:val="14"/>
                <w:szCs w:val="14"/>
                <w:color w:val="auto"/>
              </w:rPr>
              <w:t>Consolidated Debt</w:t>
            </w: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100.00 %</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4"/>
                <w:szCs w:val="14"/>
                <w:color w:val="auto"/>
              </w:rPr>
              <w:t>4.01 %</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4"/>
                <w:szCs w:val="14"/>
                <w:color w:val="auto"/>
              </w:rPr>
              <w:t>4.15 %</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bl>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74"/>
        </w:numPr>
        <w:rPr>
          <w:rFonts w:ascii="Arial" w:cs="Arial" w:eastAsia="Arial" w:hAnsi="Arial"/>
          <w:sz w:val="19"/>
          <w:szCs w:val="19"/>
          <w:color w:val="auto"/>
          <w:vertAlign w:val="superscript"/>
        </w:rPr>
      </w:pPr>
      <w:r>
        <w:rPr>
          <w:rFonts w:ascii="Arial" w:cs="Arial" w:eastAsia="Arial" w:hAnsi="Arial"/>
          <w:sz w:val="14"/>
          <w:szCs w:val="14"/>
          <w:color w:val="auto"/>
        </w:rPr>
        <w:t>Excludes unconsolidated joint ventures. For information on BXP’s share of unconsolidated joint venture debt, see page 35.</w:t>
      </w:r>
    </w:p>
    <w:p>
      <w:pPr>
        <w:spacing w:after="0" w:line="26" w:lineRule="exact"/>
        <w:rPr>
          <w:sz w:val="20"/>
          <w:szCs w:val="20"/>
          <w:color w:val="auto"/>
        </w:rPr>
      </w:pPr>
    </w:p>
    <w:p>
      <w:pPr>
        <w:ind w:left="80" w:hanging="72"/>
        <w:spacing w:after="0"/>
        <w:tabs>
          <w:tab w:leader="none" w:pos="80" w:val="left"/>
        </w:tabs>
        <w:numPr>
          <w:ilvl w:val="0"/>
          <w:numId w:val="75"/>
        </w:numPr>
        <w:rPr>
          <w:rFonts w:ascii="Arial" w:cs="Arial" w:eastAsia="Arial" w:hAnsi="Arial"/>
          <w:sz w:val="9"/>
          <w:szCs w:val="9"/>
          <w:color w:val="auto"/>
        </w:rPr>
      </w:pPr>
      <w:r>
        <w:rPr>
          <w:rFonts w:ascii="Arial" w:cs="Arial" w:eastAsia="Arial" w:hAnsi="Arial"/>
          <w:sz w:val="14"/>
          <w:szCs w:val="14"/>
          <w:color w:val="auto"/>
        </w:rPr>
        <w:t>Includes $1.0 billion in aggregate principal amount of BPLP’s 2.750% senior unsecured notes which was repaid at par on October 1, 2026.</w:t>
      </w:r>
    </w:p>
    <w:p>
      <w:pPr>
        <w:spacing w:after="0" w:line="41" w:lineRule="exact"/>
        <w:rPr>
          <w:sz w:val="20"/>
          <w:szCs w:val="20"/>
          <w:color w:val="auto"/>
        </w:rPr>
      </w:pPr>
    </w:p>
    <w:p>
      <w:pPr>
        <w:ind w:left="80" w:right="140" w:hanging="72"/>
        <w:spacing w:after="0" w:line="249" w:lineRule="auto"/>
        <w:tabs>
          <w:tab w:leader="none" w:pos="78" w:val="left"/>
        </w:tabs>
        <w:numPr>
          <w:ilvl w:val="0"/>
          <w:numId w:val="76"/>
        </w:numPr>
        <w:rPr>
          <w:rFonts w:ascii="Arial" w:cs="Arial" w:eastAsia="Arial" w:hAnsi="Arial"/>
          <w:sz w:val="18"/>
          <w:szCs w:val="18"/>
          <w:color w:val="auto"/>
          <w:vertAlign w:val="superscript"/>
        </w:rPr>
      </w:pPr>
      <w:r>
        <w:rPr>
          <w:rFonts w:ascii="Arial" w:cs="Arial" w:eastAsia="Arial" w:hAnsi="Arial"/>
          <w:sz w:val="14"/>
          <w:szCs w:val="14"/>
          <w:color w:val="auto"/>
        </w:rPr>
        <w:t>The unsecured commercial paper program is backstopped by available capacity under the unsecured line of credit. As such, the Company intends to maintain, at a minimum, availability under its unsecured line of credit in an amount equal to the amount of commercial paper notes outstanding. The term of the notes issued under the unsecured commercial paper program vary but may not exceed one year from the date of issuance. The commercial paper notes are included in the Company’s floating rate debt statistics. At September 30, 2026, the weighted average interest rate of the commercial paper notes outstanding was approximately 4.18% per annum and had a weighted-average maturity of 29 days from the date of issuance and therefore, the balance is reflected in the period 2026 within the Principal due at Maturity chart.</w:t>
      </w:r>
    </w:p>
    <w:p>
      <w:pPr>
        <w:spacing w:after="0" w:line="8" w:lineRule="exact"/>
        <w:rPr>
          <w:sz w:val="20"/>
          <w:szCs w:val="20"/>
          <w:color w:val="auto"/>
        </w:rPr>
      </w:pPr>
    </w:p>
    <w:p>
      <w:pPr>
        <w:ind w:left="80" w:hanging="72"/>
        <w:spacing w:after="0"/>
        <w:tabs>
          <w:tab w:leader="none" w:pos="80" w:val="left"/>
        </w:tabs>
        <w:numPr>
          <w:ilvl w:val="0"/>
          <w:numId w:val="77"/>
        </w:numPr>
        <w:rPr>
          <w:rFonts w:ascii="Arial" w:cs="Arial" w:eastAsia="Arial" w:hAnsi="Arial"/>
          <w:sz w:val="9"/>
          <w:szCs w:val="9"/>
          <w:color w:val="auto"/>
        </w:rPr>
      </w:pPr>
      <w:r>
        <w:rPr>
          <w:rFonts w:ascii="Arial" w:cs="Arial" w:eastAsia="Arial" w:hAnsi="Arial"/>
          <w:sz w:val="14"/>
          <w:szCs w:val="14"/>
          <w:color w:val="auto"/>
        </w:rPr>
        <w:t>The 2024 Unsecured Term Loan has a one-year extension option remaining, subject to certain conditions.</w:t>
      </w:r>
    </w:p>
    <w:p>
      <w:pPr>
        <w:spacing w:after="0" w:line="27" w:lineRule="exact"/>
        <w:rPr>
          <w:sz w:val="20"/>
          <w:szCs w:val="20"/>
          <w:color w:val="auto"/>
        </w:rPr>
      </w:pPr>
    </w:p>
    <w:p>
      <w:pPr>
        <w:ind w:left="80" w:hanging="72"/>
        <w:spacing w:after="0"/>
        <w:tabs>
          <w:tab w:leader="none" w:pos="80" w:val="left"/>
        </w:tabs>
        <w:numPr>
          <w:ilvl w:val="0"/>
          <w:numId w:val="78"/>
        </w:numPr>
        <w:rPr>
          <w:rFonts w:ascii="Arial" w:cs="Arial" w:eastAsia="Arial" w:hAnsi="Arial"/>
          <w:sz w:val="19"/>
          <w:szCs w:val="19"/>
          <w:color w:val="auto"/>
          <w:vertAlign w:val="superscript"/>
        </w:rPr>
      </w:pPr>
      <w:r>
        <w:rPr>
          <w:rFonts w:ascii="Arial" w:cs="Arial" w:eastAsia="Arial" w:hAnsi="Arial"/>
          <w:sz w:val="14"/>
          <w:szCs w:val="14"/>
          <w:color w:val="auto"/>
        </w:rPr>
        <w:t>The Unsecured Term Loan Facility has two, six-month extension options, each subject to customary conditions.</w:t>
      </w:r>
    </w:p>
    <w:p>
      <w:pPr>
        <w:spacing w:after="0" w:line="26" w:lineRule="exact"/>
        <w:rPr>
          <w:sz w:val="20"/>
          <w:szCs w:val="20"/>
          <w:color w:val="auto"/>
        </w:rPr>
      </w:pPr>
    </w:p>
    <w:p>
      <w:pPr>
        <w:ind w:left="80" w:right="140" w:hanging="72"/>
        <w:spacing w:after="0" w:line="279" w:lineRule="auto"/>
        <w:tabs>
          <w:tab w:leader="none" w:pos="78" w:val="left"/>
        </w:tabs>
        <w:numPr>
          <w:ilvl w:val="0"/>
          <w:numId w:val="79"/>
        </w:numPr>
        <w:rPr>
          <w:rFonts w:ascii="Arial" w:cs="Arial" w:eastAsia="Arial" w:hAnsi="Arial"/>
          <w:sz w:val="9"/>
          <w:szCs w:val="9"/>
          <w:color w:val="auto"/>
        </w:rPr>
      </w:pPr>
      <w:r>
        <w:rPr>
          <w:rFonts w:ascii="Arial" w:cs="Arial" w:eastAsia="Arial" w:hAnsi="Arial"/>
          <w:sz w:val="14"/>
          <w:szCs w:val="14"/>
          <w:color w:val="auto"/>
        </w:rPr>
        <w:t>The GAAP interest rate differs from the stated interest rate due to the inclusion of the amortization of financing charges, the effects of hedging transactions (excluding capped calls classified as equity) and adjustments required to reflect loans and swaps at their fair values upon consolidation.</w:t>
      </w:r>
    </w:p>
    <w:p>
      <w:pPr>
        <w:ind w:left="80" w:hanging="72"/>
        <w:spacing w:after="0" w:line="212" w:lineRule="auto"/>
        <w:tabs>
          <w:tab w:leader="none" w:pos="80" w:val="left"/>
        </w:tabs>
        <w:numPr>
          <w:ilvl w:val="0"/>
          <w:numId w:val="80"/>
        </w:numPr>
        <w:rPr>
          <w:rFonts w:ascii="Arial" w:cs="Arial" w:eastAsia="Arial" w:hAnsi="Arial"/>
          <w:sz w:val="19"/>
          <w:szCs w:val="19"/>
          <w:color w:val="auto"/>
          <w:vertAlign w:val="superscript"/>
        </w:rPr>
      </w:pPr>
      <w:r>
        <w:rPr>
          <w:rFonts w:ascii="Arial" w:cs="Arial" w:eastAsia="Arial" w:hAnsi="Arial"/>
          <w:sz w:val="14"/>
          <w:szCs w:val="14"/>
          <w:color w:val="auto"/>
        </w:rPr>
        <w:t>The Fixed Rate Debt includes the effects of hedging transactions, excluding capped calls treated as equity.</w:t>
      </w:r>
    </w:p>
    <w:p>
      <w:pPr>
        <w:sectPr>
          <w:pgSz w:w="11900" w:h="16838" w:orient="portrait"/>
          <w:cols w:equalWidth="0" w:num="1">
            <w:col w:w="11240"/>
          </w:cols>
          <w:pgMar w:left="320" w:top="279" w:right="339" w:bottom="1440" w:gutter="0" w:footer="0" w:header="0"/>
        </w:sectPr>
      </w:pPr>
    </w:p>
    <w:p>
      <w:pPr>
        <w:spacing w:after="0" w:line="13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279" w:right="339" w:bottom="1440" w:gutter="0" w:footer="0" w:header="0"/>
          <w:type w:val="continuous"/>
        </w:sectPr>
      </w:pPr>
    </w:p>
    <w:bookmarkStart w:id="37" w:name="page38"/>
    <w:bookmarkEnd w:id="37"/>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31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Senior unsecured debt covenant compliance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In the fourth quarter of 2002, the Company’s Operating Partnership (Boston Properties Limited Partnership) received investment grade ratings on its senior unsecured debt securities and thereafter issued unsecured notes. The notes were issued under an indenture, dated as of December 13, 2002, by and between Boston Properties Limited Partnership and The Bank of New York Mellon Trust Company, N.A., as trustee, as supplemented from time to time (the “Indenture”), which, among other things, requires us to comply with the following limitations on incurrence of debt: Limitation on Outstanding Debt; Limitation on Secured Debt; Ratio of Annualized Consolidated EBITDA to Annualized Interest Expense; and Maintenance of Unencumbered Assets. Compliance with these restrictive covenants requires us to apply specialized terms the meanings of which are described in detail in our filings with the SEC, and to calculate ratios in the manner prescribed by the Indenture.</w:t>
      </w:r>
    </w:p>
    <w:p>
      <w:pPr>
        <w:spacing w:after="0" w:line="160"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This section presents such ratios as of September 30, 2026 to show that the Company’s Operating Partnership was in compliance with the terms of the Indenture, which has been filed with the SEC. Management is not presenting these ratios for any other purpose or for any other period, and is not intending for these measures to otherwise provide information to investors about the Company’s financial condition or results of operations. Investors should not rely on these measures other than for purposes of testing our compliance with the Indenture.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COVENANT RATIOS AND RELATED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tcPr>
          <w:p>
            <w:pPr>
              <w:jc w:val="center"/>
              <w:ind w:right="48"/>
              <w:spacing w:after="0"/>
              <w:rPr>
                <w:sz w:val="20"/>
                <w:szCs w:val="20"/>
                <w:color w:val="auto"/>
              </w:rPr>
            </w:pPr>
            <w:r>
              <w:rPr>
                <w:rFonts w:ascii="Arial" w:cs="Arial" w:eastAsia="Arial" w:hAnsi="Arial"/>
                <w:sz w:val="14"/>
                <w:szCs w:val="14"/>
                <w:b w:val="1"/>
                <w:bCs w:val="1"/>
                <w:color w:val="auto"/>
              </w:rPr>
              <w:t>Senior Notes Issued</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Senior Notes Issued</w:t>
            </w:r>
          </w:p>
        </w:tc>
      </w:tr>
      <w:tr>
        <w:trPr>
          <w:trHeight w:val="139"/>
        </w:trPr>
        <w:tc>
          <w:tcPr>
            <w:tcW w:w="6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rPr>
              <w:t>Prior to December 4,</w:t>
            </w:r>
          </w:p>
        </w:tc>
        <w:tc>
          <w:tcPr>
            <w:tcW w:w="17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On or After December</w:t>
            </w:r>
          </w:p>
        </w:tc>
      </w:tr>
      <w:tr>
        <w:trPr>
          <w:trHeight w:val="197"/>
        </w:trPr>
        <w:tc>
          <w:tcPr>
            <w:tcW w:w="608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2017</w:t>
            </w:r>
          </w:p>
        </w:tc>
        <w:tc>
          <w:tcPr>
            <w:tcW w:w="17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rPr>
              <w:t>4, 2017</w:t>
            </w:r>
          </w:p>
        </w:tc>
      </w:tr>
      <w:tr>
        <w:trPr>
          <w:trHeight w:val="209"/>
        </w:trPr>
        <w:tc>
          <w:tcPr>
            <w:tcW w:w="6080" w:type="dxa"/>
            <w:vAlign w:val="bottom"/>
          </w:tcPr>
          <w:p>
            <w:pPr>
              <w:spacing w:after="0"/>
              <w:rPr>
                <w:sz w:val="18"/>
                <w:szCs w:val="18"/>
                <w:color w:val="auto"/>
              </w:rPr>
            </w:pPr>
          </w:p>
        </w:tc>
        <w:tc>
          <w:tcPr>
            <w:tcW w:w="15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Test</w:t>
            </w:r>
          </w:p>
        </w:tc>
        <w:tc>
          <w:tcPr>
            <w:tcW w:w="160" w:type="dxa"/>
            <w:vAlign w:val="bottom"/>
          </w:tcPr>
          <w:p>
            <w:pPr>
              <w:spacing w:after="0"/>
              <w:rPr>
                <w:sz w:val="18"/>
                <w:szCs w:val="18"/>
                <w:color w:val="auto"/>
              </w:rPr>
            </w:pPr>
          </w:p>
        </w:tc>
        <w:tc>
          <w:tcPr>
            <w:tcW w:w="3480" w:type="dxa"/>
            <w:vAlign w:val="bottom"/>
            <w:tcBorders>
              <w:bottom w:val="single" w:sz="8" w:color="auto"/>
            </w:tcBorders>
            <w:gridSpan w:val="2"/>
          </w:tcPr>
          <w:p>
            <w:pPr>
              <w:jc w:val="right"/>
              <w:ind w:right="1448"/>
              <w:spacing w:after="0"/>
              <w:rPr>
                <w:sz w:val="20"/>
                <w:szCs w:val="20"/>
                <w:color w:val="auto"/>
              </w:rPr>
            </w:pPr>
            <w:r>
              <w:rPr>
                <w:rFonts w:ascii="Arial" w:cs="Arial" w:eastAsia="Arial" w:hAnsi="Arial"/>
                <w:sz w:val="14"/>
                <w:szCs w:val="14"/>
                <w:b w:val="1"/>
                <w:bCs w:val="1"/>
                <w:color w:val="auto"/>
              </w:rPr>
              <w:t>Actual</w:t>
            </w:r>
          </w:p>
        </w:tc>
      </w:tr>
      <w:tr>
        <w:trPr>
          <w:trHeight w:val="229"/>
        </w:trPr>
        <w:tc>
          <w:tcPr>
            <w:tcW w:w="6080" w:type="dxa"/>
            <w:vAlign w:val="bottom"/>
          </w:tcPr>
          <w:p>
            <w:pPr>
              <w:spacing w:after="0"/>
              <w:rPr>
                <w:sz w:val="20"/>
                <w:szCs w:val="20"/>
                <w:color w:val="auto"/>
              </w:rPr>
            </w:pPr>
            <w:r>
              <w:rPr>
                <w:rFonts w:ascii="Arial" w:cs="Arial" w:eastAsia="Arial" w:hAnsi="Arial"/>
                <w:sz w:val="14"/>
                <w:szCs w:val="14"/>
                <w:color w:val="auto"/>
              </w:rPr>
              <w:t xml:space="preserve">Total Outstanding Debt/Total Assets </w:t>
            </w:r>
            <w:r>
              <w:rPr>
                <w:rFonts w:ascii="Arial" w:cs="Arial" w:eastAsia="Arial" w:hAnsi="Arial"/>
                <w:sz w:val="18"/>
                <w:szCs w:val="18"/>
                <w:color w:val="auto"/>
                <w:vertAlign w:val="superscript"/>
              </w:rPr>
              <w:t>1</w:t>
            </w: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Less than 60%</w:t>
            </w: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47.8 %</w:t>
            </w:r>
          </w:p>
        </w:tc>
        <w:tc>
          <w:tcPr>
            <w:tcW w:w="1720" w:type="dxa"/>
            <w:vAlign w:val="bottom"/>
          </w:tcPr>
          <w:p>
            <w:pPr>
              <w:jc w:val="right"/>
              <w:spacing w:after="0"/>
              <w:rPr>
                <w:sz w:val="20"/>
                <w:szCs w:val="20"/>
                <w:color w:val="auto"/>
              </w:rPr>
            </w:pPr>
            <w:r>
              <w:rPr>
                <w:rFonts w:ascii="Arial" w:cs="Arial" w:eastAsia="Arial" w:hAnsi="Arial"/>
                <w:sz w:val="14"/>
                <w:szCs w:val="14"/>
                <w:color w:val="auto"/>
              </w:rPr>
              <w:t>44.8 %</w:t>
            </w:r>
          </w:p>
        </w:tc>
      </w:tr>
      <w:tr>
        <w:trPr>
          <w:trHeight w:val="190"/>
        </w:trPr>
        <w:tc>
          <w:tcPr>
            <w:tcW w:w="6080" w:type="dxa"/>
            <w:vAlign w:val="bottom"/>
          </w:tcPr>
          <w:p>
            <w:pPr>
              <w:spacing w:after="0"/>
              <w:rPr>
                <w:sz w:val="20"/>
                <w:szCs w:val="20"/>
                <w:color w:val="auto"/>
              </w:rPr>
            </w:pPr>
            <w:r>
              <w:rPr>
                <w:rFonts w:ascii="Arial" w:cs="Arial" w:eastAsia="Arial" w:hAnsi="Arial"/>
                <w:sz w:val="14"/>
                <w:szCs w:val="14"/>
                <w:color w:val="auto"/>
              </w:rPr>
              <w:t>Secured Debt/Total Assets</w:t>
            </w: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Less than 50%</w:t>
            </w: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15.0 %</w:t>
            </w:r>
          </w:p>
        </w:tc>
        <w:tc>
          <w:tcPr>
            <w:tcW w:w="1720" w:type="dxa"/>
            <w:vAlign w:val="bottom"/>
          </w:tcPr>
          <w:p>
            <w:pPr>
              <w:jc w:val="right"/>
              <w:spacing w:after="0"/>
              <w:rPr>
                <w:sz w:val="20"/>
                <w:szCs w:val="20"/>
                <w:color w:val="auto"/>
              </w:rPr>
            </w:pPr>
            <w:r>
              <w:rPr>
                <w:rFonts w:ascii="Arial" w:cs="Arial" w:eastAsia="Arial" w:hAnsi="Arial"/>
                <w:sz w:val="14"/>
                <w:szCs w:val="14"/>
                <w:color w:val="auto"/>
              </w:rPr>
              <w:t>14.0 %</w:t>
            </w:r>
          </w:p>
        </w:tc>
      </w:tr>
      <w:tr>
        <w:trPr>
          <w:trHeight w:val="216"/>
        </w:trPr>
        <w:tc>
          <w:tcPr>
            <w:tcW w:w="6080" w:type="dxa"/>
            <w:vAlign w:val="bottom"/>
          </w:tcPr>
          <w:p>
            <w:pPr>
              <w:spacing w:after="0"/>
              <w:rPr>
                <w:sz w:val="20"/>
                <w:szCs w:val="20"/>
                <w:color w:val="auto"/>
              </w:rPr>
            </w:pPr>
            <w:r>
              <w:rPr>
                <w:rFonts w:ascii="Arial" w:cs="Arial" w:eastAsia="Arial" w:hAnsi="Arial"/>
                <w:sz w:val="14"/>
                <w:szCs w:val="14"/>
                <w:color w:val="auto"/>
              </w:rPr>
              <w:t>Interest Coverage (Annualized Consolidated EBITDA to Annualized Interest Expense)</w:t>
            </w: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Greater than 1.50x</w:t>
            </w:r>
          </w:p>
        </w:tc>
        <w:tc>
          <w:tcPr>
            <w:tcW w:w="1760" w:type="dxa"/>
            <w:vAlign w:val="bottom"/>
          </w:tcPr>
          <w:p>
            <w:pPr>
              <w:jc w:val="right"/>
              <w:ind w:right="228"/>
              <w:spacing w:after="0"/>
              <w:rPr>
                <w:sz w:val="20"/>
                <w:szCs w:val="20"/>
                <w:color w:val="auto"/>
              </w:rPr>
            </w:pPr>
            <w:r>
              <w:rPr>
                <w:rFonts w:ascii="Arial" w:cs="Arial" w:eastAsia="Arial" w:hAnsi="Arial"/>
                <w:sz w:val="14"/>
                <w:szCs w:val="14"/>
                <w:color w:val="auto"/>
              </w:rPr>
              <w:t>3.37</w:t>
            </w: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3.37</w:t>
            </w:r>
          </w:p>
        </w:tc>
      </w:tr>
      <w:tr>
        <w:trPr>
          <w:trHeight w:val="216"/>
        </w:trPr>
        <w:tc>
          <w:tcPr>
            <w:tcW w:w="6080" w:type="dxa"/>
            <w:vAlign w:val="bottom"/>
          </w:tcPr>
          <w:p>
            <w:pPr>
              <w:spacing w:after="0"/>
              <w:rPr>
                <w:sz w:val="20"/>
                <w:szCs w:val="20"/>
                <w:color w:val="auto"/>
              </w:rPr>
            </w:pPr>
            <w:r>
              <w:rPr>
                <w:rFonts w:ascii="Arial" w:cs="Arial" w:eastAsia="Arial" w:hAnsi="Arial"/>
                <w:sz w:val="14"/>
                <w:szCs w:val="14"/>
                <w:color w:val="auto"/>
              </w:rPr>
              <w:t>Unencumbered Assets/ Unsecured Debt</w:t>
            </w:r>
          </w:p>
        </w:tc>
        <w:tc>
          <w:tcPr>
            <w:tcW w:w="1660" w:type="dxa"/>
            <w:vAlign w:val="bottom"/>
            <w:gridSpan w:val="2"/>
          </w:tcPr>
          <w:p>
            <w:pPr>
              <w:jc w:val="right"/>
              <w:ind w:right="180"/>
              <w:spacing w:after="0"/>
              <w:rPr>
                <w:sz w:val="20"/>
                <w:szCs w:val="20"/>
                <w:color w:val="auto"/>
              </w:rPr>
            </w:pPr>
            <w:r>
              <w:rPr>
                <w:rFonts w:ascii="Arial" w:cs="Arial" w:eastAsia="Arial" w:hAnsi="Arial"/>
                <w:sz w:val="14"/>
                <w:szCs w:val="14"/>
                <w:color w:val="auto"/>
              </w:rPr>
              <w:t>Greater than 150%</w:t>
            </w:r>
          </w:p>
        </w:tc>
        <w:tc>
          <w:tcPr>
            <w:tcW w:w="1760" w:type="dxa"/>
            <w:vAlign w:val="bottom"/>
          </w:tcPr>
          <w:p>
            <w:pPr>
              <w:jc w:val="right"/>
              <w:ind w:right="68"/>
              <w:spacing w:after="0"/>
              <w:rPr>
                <w:sz w:val="20"/>
                <w:szCs w:val="20"/>
                <w:color w:val="auto"/>
              </w:rPr>
            </w:pPr>
            <w:r>
              <w:rPr>
                <w:rFonts w:ascii="Arial" w:cs="Arial" w:eastAsia="Arial" w:hAnsi="Arial"/>
                <w:sz w:val="14"/>
                <w:szCs w:val="14"/>
                <w:color w:val="auto"/>
              </w:rPr>
              <w:t>225.1 %</w:t>
            </w:r>
          </w:p>
        </w:tc>
        <w:tc>
          <w:tcPr>
            <w:tcW w:w="1720" w:type="dxa"/>
            <w:vAlign w:val="bottom"/>
          </w:tcPr>
          <w:p>
            <w:pPr>
              <w:jc w:val="right"/>
              <w:spacing w:after="0"/>
              <w:rPr>
                <w:sz w:val="20"/>
                <w:szCs w:val="20"/>
                <w:color w:val="auto"/>
              </w:rPr>
            </w:pPr>
            <w:r>
              <w:rPr>
                <w:rFonts w:ascii="Arial" w:cs="Arial" w:eastAsia="Arial" w:hAnsi="Arial"/>
                <w:sz w:val="14"/>
                <w:szCs w:val="14"/>
                <w:color w:val="auto"/>
              </w:rPr>
              <w:t>243.0 %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1"/>
          <w:szCs w:val="11"/>
          <w:color w:val="auto"/>
        </w:rPr>
        <w:t>_____________</w:t>
      </w:r>
    </w:p>
    <w:p>
      <w:pPr>
        <w:spacing w:after="0" w:line="40" w:lineRule="exact"/>
        <w:rPr>
          <w:sz w:val="20"/>
          <w:szCs w:val="20"/>
          <w:color w:val="auto"/>
        </w:rPr>
      </w:pPr>
    </w:p>
    <w:p>
      <w:pPr>
        <w:ind w:left="80" w:hanging="72"/>
        <w:spacing w:after="0"/>
        <w:tabs>
          <w:tab w:leader="none" w:pos="80" w:val="left"/>
        </w:tabs>
        <w:numPr>
          <w:ilvl w:val="0"/>
          <w:numId w:val="81"/>
        </w:numPr>
        <w:rPr>
          <w:rFonts w:ascii="Arial" w:cs="Arial" w:eastAsia="Arial" w:hAnsi="Arial"/>
          <w:sz w:val="9"/>
          <w:szCs w:val="9"/>
          <w:color w:val="auto"/>
        </w:rPr>
      </w:pPr>
      <w:r>
        <w:rPr>
          <w:rFonts w:ascii="Arial" w:cs="Arial" w:eastAsia="Arial" w:hAnsi="Arial"/>
          <w:sz w:val="14"/>
          <w:szCs w:val="14"/>
          <w:color w:val="auto"/>
        </w:rPr>
        <w:t>Capitalized Property Value for senior notes issued prior to December 4, 2017 is determined for each property and is the greater of (A) annualized EBITDA capitalized at an</w:t>
      </w:r>
    </w:p>
    <w:p>
      <w:pPr>
        <w:spacing w:after="0" w:line="28" w:lineRule="exact"/>
        <w:rPr>
          <w:rFonts w:ascii="Arial" w:cs="Arial" w:eastAsia="Arial" w:hAnsi="Arial"/>
          <w:sz w:val="9"/>
          <w:szCs w:val="9"/>
          <w:color w:val="auto"/>
        </w:rPr>
      </w:pPr>
    </w:p>
    <w:p>
      <w:pPr>
        <w:ind w:left="80" w:right="80"/>
        <w:spacing w:after="0" w:line="272" w:lineRule="auto"/>
        <w:rPr>
          <w:rFonts w:ascii="Arial" w:cs="Arial" w:eastAsia="Arial" w:hAnsi="Arial"/>
          <w:sz w:val="9"/>
          <w:szCs w:val="9"/>
          <w:color w:val="auto"/>
        </w:rPr>
      </w:pPr>
      <w:r>
        <w:rPr>
          <w:rFonts w:ascii="Arial" w:cs="Arial" w:eastAsia="Arial" w:hAnsi="Arial"/>
          <w:sz w:val="14"/>
          <w:szCs w:val="14"/>
          <w:color w:val="auto"/>
        </w:rPr>
        <w:t>8.0% rate for CBD properties and a 9.0% rate for non-CBD properties, and (B) the undepreciated book value as determined under GAAP. Capitalized property value for senior notes issued on or after December 4, 2017 is determined for each property and is the greater of (x) annualized EBITDA capitalized at 7.0% and (y) the undepreciated book value as determined under GAAP.</w:t>
      </w:r>
    </w:p>
    <w:p>
      <w:pPr>
        <w:sectPr>
          <w:pgSz w:w="11900" w:h="16838" w:orient="portrait"/>
          <w:cols w:equalWidth="0" w:num="1">
            <w:col w:w="11240"/>
          </w:cols>
          <w:pgMar w:left="320" w:top="279" w:right="339" w:bottom="835" w:gutter="0" w:footer="0" w:header="0"/>
        </w:sectPr>
      </w:pPr>
    </w:p>
    <w:p>
      <w:pPr>
        <w:spacing w:after="0" w:line="200" w:lineRule="exact"/>
        <w:rPr>
          <w:sz w:val="20"/>
          <w:szCs w:val="20"/>
          <w:color w:val="auto"/>
        </w:rPr>
      </w:pPr>
    </w:p>
    <w:p>
      <w:pPr>
        <w:spacing w:after="0" w:line="292"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279" w:right="339" w:bottom="835"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Q3 2026</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00497F"/>
              </w:rPr>
              <w:t>Net Debt to EBITDA</w:t>
            </w:r>
            <w:r>
              <w:rPr>
                <w:rFonts w:ascii="Arial" w:cs="Arial" w:eastAsia="Arial" w:hAnsi="Arial"/>
                <w:sz w:val="14"/>
                <w:szCs w:val="14"/>
                <w:b w:val="1"/>
                <w:bCs w:val="1"/>
                <w:i w:val="1"/>
                <w:iCs w:val="1"/>
                <w:color w:val="00497F"/>
              </w:rPr>
              <w:t>re</w:t>
            </w:r>
          </w:p>
        </w:tc>
        <w:tc>
          <w:tcPr>
            <w:tcW w:w="0" w:type="dxa"/>
            <w:vAlign w:val="bottom"/>
          </w:tcPr>
          <w:p>
            <w:pPr>
              <w:spacing w:after="0"/>
              <w:rPr>
                <w:sz w:val="1"/>
                <w:szCs w:val="1"/>
                <w:color w:val="auto"/>
              </w:rPr>
            </w:pPr>
          </w:p>
        </w:tc>
      </w:tr>
      <w:tr>
        <w:trPr>
          <w:trHeight w:val="608"/>
        </w:trPr>
        <w:tc>
          <w:tcPr>
            <w:tcW w:w="8480" w:type="dxa"/>
            <w:vAlign w:val="bottom"/>
          </w:tcPr>
          <w:p>
            <w:pPr>
              <w:spacing w:after="0"/>
              <w:rPr>
                <w:sz w:val="20"/>
                <w:szCs w:val="20"/>
                <w:color w:val="auto"/>
              </w:rPr>
            </w:pPr>
            <w:r>
              <w:rPr>
                <w:rFonts w:ascii="Arial" w:cs="Arial" w:eastAsia="Arial" w:hAnsi="Arial"/>
                <w:sz w:val="14"/>
                <w:szCs w:val="14"/>
                <w:color w:val="auto"/>
              </w:rPr>
              <w:t>(dollars in thousands)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 xml:space="preserve">Reconciliation of BXP’s Share of EBITDAre and BXP’s Share of EBITDAre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cash </w:t>
            </w:r>
            <w:r>
              <w:rPr>
                <w:rFonts w:ascii="Arial" w:cs="Arial" w:eastAsia="Arial" w:hAnsi="Arial"/>
                <w:sz w:val="18"/>
                <w:szCs w:val="18"/>
                <w:b w:val="1"/>
                <w:bCs w:val="1"/>
                <w:i w:val="1"/>
                <w:iCs w:val="1"/>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8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10"/>
        </w:trPr>
        <w:tc>
          <w:tcPr>
            <w:tcW w:w="8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30-Sep-26</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30-Jun-26</w:t>
            </w:r>
          </w:p>
        </w:tc>
        <w:tc>
          <w:tcPr>
            <w:tcW w:w="0" w:type="dxa"/>
            <w:vAlign w:val="bottom"/>
          </w:tcPr>
          <w:p>
            <w:pPr>
              <w:spacing w:after="0"/>
              <w:rPr>
                <w:sz w:val="1"/>
                <w:szCs w:val="1"/>
                <w:color w:val="auto"/>
              </w:rPr>
            </w:pPr>
          </w:p>
        </w:tc>
      </w:tr>
      <w:tr>
        <w:trPr>
          <w:trHeight w:val="202"/>
        </w:trPr>
        <w:tc>
          <w:tcPr>
            <w:tcW w:w="8480" w:type="dxa"/>
            <w:vAlign w:val="bottom"/>
          </w:tcPr>
          <w:p>
            <w:pPr>
              <w:ind w:left="20"/>
              <w:spacing w:after="0"/>
              <w:rPr>
                <w:sz w:val="20"/>
                <w:szCs w:val="20"/>
                <w:color w:val="auto"/>
              </w:rPr>
            </w:pPr>
            <w:r>
              <w:rPr>
                <w:rFonts w:ascii="Arial" w:cs="Arial" w:eastAsia="Arial" w:hAnsi="Arial"/>
                <w:sz w:val="14"/>
                <w:szCs w:val="14"/>
                <w:color w:val="auto"/>
              </w:rPr>
              <w:t>Net income attributable to BXP, Inc.</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114,482</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68,564</w:t>
            </w:r>
          </w:p>
        </w:tc>
        <w:tc>
          <w:tcPr>
            <w:tcW w:w="0" w:type="dxa"/>
            <w:vAlign w:val="bottom"/>
          </w:tcPr>
          <w:p>
            <w:pPr>
              <w:spacing w:after="0"/>
              <w:rPr>
                <w:sz w:val="1"/>
                <w:szCs w:val="1"/>
                <w:color w:val="auto"/>
              </w:rPr>
            </w:pPr>
          </w:p>
        </w:tc>
      </w:tr>
      <w:tr>
        <w:trPr>
          <w:trHeight w:val="216"/>
        </w:trPr>
        <w:tc>
          <w:tcPr>
            <w:tcW w:w="8480" w:type="dxa"/>
            <w:vAlign w:val="bottom"/>
          </w:tcPr>
          <w:p>
            <w:pPr>
              <w:ind w:left="2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22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12,320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7,779</w:t>
            </w:r>
          </w:p>
        </w:tc>
        <w:tc>
          <w:tcPr>
            <w:tcW w:w="0" w:type="dxa"/>
            <w:vAlign w:val="bottom"/>
          </w:tcPr>
          <w:p>
            <w:pPr>
              <w:spacing w:after="0"/>
              <w:rPr>
                <w:sz w:val="1"/>
                <w:szCs w:val="1"/>
                <w:color w:val="auto"/>
              </w:rPr>
            </w:pPr>
          </w:p>
        </w:tc>
      </w:tr>
      <w:tr>
        <w:trPr>
          <w:trHeight w:val="220"/>
        </w:trPr>
        <w:tc>
          <w:tcPr>
            <w:tcW w:w="8480" w:type="dxa"/>
            <w:vAlign w:val="bottom"/>
          </w:tcPr>
          <w:p>
            <w:pPr>
              <w:ind w:left="220"/>
              <w:spacing w:after="0"/>
              <w:rPr>
                <w:sz w:val="20"/>
                <w:szCs w:val="20"/>
                <w:color w:val="auto"/>
              </w:rPr>
            </w:pPr>
            <w:r>
              <w:rPr>
                <w:rFonts w:ascii="Arial" w:cs="Arial" w:eastAsia="Arial" w:hAnsi="Arial"/>
                <w:sz w:val="14"/>
                <w:szCs w:val="14"/>
                <w:color w:val="auto"/>
              </w:rPr>
              <w:t>Noncontrolling interest in property partnerships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28,692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26,121</w:t>
            </w:r>
          </w:p>
        </w:tc>
        <w:tc>
          <w:tcPr>
            <w:tcW w:w="0" w:type="dxa"/>
            <w:vAlign w:val="bottom"/>
          </w:tcPr>
          <w:p>
            <w:pPr>
              <w:spacing w:after="0"/>
              <w:rPr>
                <w:sz w:val="1"/>
                <w:szCs w:val="1"/>
                <w:color w:val="auto"/>
              </w:rPr>
            </w:pPr>
          </w:p>
        </w:tc>
      </w:tr>
      <w:tr>
        <w:trPr>
          <w:trHeight w:val="205"/>
        </w:trPr>
        <w:tc>
          <w:tcPr>
            <w:tcW w:w="848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155,494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102,464</w:t>
            </w:r>
          </w:p>
        </w:tc>
        <w:tc>
          <w:tcPr>
            <w:tcW w:w="0" w:type="dxa"/>
            <w:vAlign w:val="bottom"/>
          </w:tcPr>
          <w:p>
            <w:pPr>
              <w:spacing w:after="0"/>
              <w:rPr>
                <w:sz w:val="1"/>
                <w:szCs w:val="1"/>
                <w:color w:val="auto"/>
              </w:rPr>
            </w:pPr>
          </w:p>
        </w:tc>
      </w:tr>
      <w:tr>
        <w:trPr>
          <w:trHeight w:val="216"/>
        </w:trPr>
        <w:tc>
          <w:tcPr>
            <w:tcW w:w="8480" w:type="dxa"/>
            <w:vAlign w:val="bottom"/>
          </w:tcPr>
          <w:p>
            <w:pPr>
              <w:ind w:left="2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159,127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153,425</w:t>
            </w:r>
          </w:p>
        </w:tc>
        <w:tc>
          <w:tcPr>
            <w:tcW w:w="0" w:type="dxa"/>
            <w:vAlign w:val="bottom"/>
          </w:tcPr>
          <w:p>
            <w:pPr>
              <w:spacing w:after="0"/>
              <w:rPr>
                <w:sz w:val="1"/>
                <w:szCs w:val="1"/>
                <w:color w:val="auto"/>
              </w:rPr>
            </w:pPr>
          </w:p>
        </w:tc>
      </w:tr>
      <w:tr>
        <w:trPr>
          <w:trHeight w:val="216"/>
        </w:trPr>
        <w:tc>
          <w:tcPr>
            <w:tcW w:w="8480" w:type="dxa"/>
            <w:vAlign w:val="bottom"/>
          </w:tcPr>
          <w:p>
            <w:pPr>
              <w:ind w:left="220"/>
              <w:spacing w:after="0"/>
              <w:rPr>
                <w:sz w:val="20"/>
                <w:szCs w:val="20"/>
                <w:color w:val="auto"/>
              </w:rPr>
            </w:pPr>
            <w:r>
              <w:rPr>
                <w:rFonts w:ascii="Arial" w:cs="Arial" w:eastAsia="Arial" w:hAnsi="Arial"/>
                <w:sz w:val="14"/>
                <w:szCs w:val="14"/>
                <w:color w:val="auto"/>
              </w:rPr>
              <w:t>Depreciation and amortization expense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228,679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236,977</w:t>
            </w:r>
          </w:p>
        </w:tc>
        <w:tc>
          <w:tcPr>
            <w:tcW w:w="0" w:type="dxa"/>
            <w:vAlign w:val="bottom"/>
          </w:tcPr>
          <w:p>
            <w:pPr>
              <w:spacing w:after="0"/>
              <w:rPr>
                <w:sz w:val="1"/>
                <w:szCs w:val="1"/>
                <w:color w:val="auto"/>
              </w:rPr>
            </w:pPr>
          </w:p>
        </w:tc>
      </w:tr>
      <w:tr>
        <w:trPr>
          <w:trHeight w:val="216"/>
        </w:trPr>
        <w:tc>
          <w:tcPr>
            <w:tcW w:w="8480" w:type="dxa"/>
            <w:vAlign w:val="bottom"/>
          </w:tcPr>
          <w:p>
            <w:pPr>
              <w:ind w:left="220"/>
              <w:spacing w:after="0"/>
              <w:rPr>
                <w:sz w:val="20"/>
                <w:szCs w:val="20"/>
                <w:color w:val="auto"/>
              </w:rPr>
            </w:pPr>
            <w:r>
              <w:rPr>
                <w:rFonts w:ascii="Arial" w:cs="Arial" w:eastAsia="Arial" w:hAnsi="Arial"/>
                <w:sz w:val="14"/>
                <w:szCs w:val="14"/>
                <w:color w:val="auto"/>
              </w:rPr>
              <w:t>Impairment loss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18,036</w:t>
            </w:r>
          </w:p>
        </w:tc>
        <w:tc>
          <w:tcPr>
            <w:tcW w:w="0" w:type="dxa"/>
            <w:vAlign w:val="bottom"/>
          </w:tcPr>
          <w:p>
            <w:pPr>
              <w:spacing w:after="0"/>
              <w:rPr>
                <w:sz w:val="1"/>
                <w:szCs w:val="1"/>
                <w:color w:val="auto"/>
              </w:rPr>
            </w:pPr>
          </w:p>
        </w:tc>
      </w:tr>
      <w:tr>
        <w:trPr>
          <w:trHeight w:val="216"/>
        </w:trPr>
        <w:tc>
          <w:tcPr>
            <w:tcW w:w="8480" w:type="dxa"/>
            <w:vAlign w:val="bottom"/>
          </w:tcPr>
          <w:p>
            <w:pPr>
              <w:ind w:left="2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220"/>
              <w:spacing w:after="0"/>
              <w:rPr>
                <w:sz w:val="20"/>
                <w:szCs w:val="20"/>
                <w:color w:val="auto"/>
              </w:rPr>
            </w:pPr>
            <w:r>
              <w:rPr>
                <w:rFonts w:ascii="Arial" w:cs="Arial" w:eastAsia="Arial" w:hAnsi="Arial"/>
                <w:sz w:val="14"/>
                <w:szCs w:val="14"/>
                <w:color w:val="auto"/>
              </w:rPr>
              <w:t>Gains on sales of real estate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10,441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6,997</w:t>
            </w:r>
          </w:p>
        </w:tc>
        <w:tc>
          <w:tcPr>
            <w:tcW w:w="0" w:type="dxa"/>
            <w:vAlign w:val="bottom"/>
          </w:tcPr>
          <w:p>
            <w:pPr>
              <w:spacing w:after="0"/>
              <w:rPr>
                <w:sz w:val="1"/>
                <w:szCs w:val="1"/>
                <w:color w:val="auto"/>
              </w:rPr>
            </w:pPr>
          </w:p>
        </w:tc>
      </w:tr>
      <w:tr>
        <w:trPr>
          <w:trHeight w:val="242"/>
        </w:trPr>
        <w:tc>
          <w:tcPr>
            <w:tcW w:w="8480" w:type="dxa"/>
            <w:vAlign w:val="bottom"/>
          </w:tcPr>
          <w:p>
            <w:pPr>
              <w:ind w:left="220"/>
              <w:spacing w:after="0"/>
              <w:rPr>
                <w:sz w:val="20"/>
                <w:szCs w:val="20"/>
                <w:color w:val="auto"/>
              </w:rPr>
            </w:pPr>
            <w:r>
              <w:rPr>
                <w:rFonts w:ascii="Arial" w:cs="Arial" w:eastAsia="Arial" w:hAnsi="Arial"/>
                <w:sz w:val="14"/>
                <w:szCs w:val="14"/>
                <w:color w:val="auto"/>
              </w:rPr>
              <w:t xml:space="preserve">Income (loss) from unconsolidated joint ventures </w:t>
            </w:r>
            <w:r>
              <w:rPr>
                <w:rFonts w:ascii="Arial" w:cs="Arial" w:eastAsia="Arial" w:hAnsi="Arial"/>
                <w:sz w:val="18"/>
                <w:szCs w:val="18"/>
                <w:color w:val="auto"/>
                <w:vertAlign w:val="superscript"/>
              </w:rPr>
              <w:t>2</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1,145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(2,448)</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480" w:type="dxa"/>
            <w:vAlign w:val="bottom"/>
          </w:tcPr>
          <w:p>
            <w:pPr>
              <w:ind w:left="220"/>
              <w:spacing w:after="0"/>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from unconsolidated joint ventures </w:t>
            </w:r>
            <w:r>
              <w:rPr>
                <w:rFonts w:ascii="Arial" w:cs="Arial" w:eastAsia="Arial" w:hAnsi="Arial"/>
                <w:sz w:val="18"/>
                <w:szCs w:val="18"/>
                <w:color w:val="auto"/>
                <w:vertAlign w:val="superscript"/>
              </w:rPr>
              <w:t>3</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27,996</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24,115</w:t>
            </w:r>
          </w:p>
        </w:tc>
        <w:tc>
          <w:tcPr>
            <w:tcW w:w="0" w:type="dxa"/>
            <w:vAlign w:val="bottom"/>
          </w:tcPr>
          <w:p>
            <w:pPr>
              <w:spacing w:after="0"/>
              <w:rPr>
                <w:sz w:val="1"/>
                <w:szCs w:val="1"/>
                <w:color w:val="auto"/>
              </w:rPr>
            </w:pPr>
          </w:p>
        </w:tc>
      </w:tr>
      <w:tr>
        <w:trPr>
          <w:trHeight w:val="227"/>
        </w:trPr>
        <w:tc>
          <w:tcPr>
            <w:tcW w:w="8480" w:type="dxa"/>
            <w:vAlign w:val="bottom"/>
          </w:tcPr>
          <w:p>
            <w:pPr>
              <w:ind w:left="20"/>
              <w:spacing w:after="0"/>
              <w:rPr>
                <w:sz w:val="20"/>
                <w:szCs w:val="20"/>
                <w:color w:val="auto"/>
              </w:rPr>
            </w:pPr>
            <w:r>
              <w:rPr>
                <w:rFonts w:ascii="Arial" w:cs="Arial" w:eastAsia="Arial" w:hAnsi="Arial"/>
                <w:sz w:val="14"/>
                <w:szCs w:val="14"/>
                <w:color w:val="auto"/>
              </w:rPr>
              <w:t>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t>
            </w:r>
            <w:r>
              <w:rPr>
                <w:rFonts w:ascii="Arial" w:cs="Arial" w:eastAsia="Arial" w:hAnsi="Arial"/>
                <w:sz w:val="18"/>
                <w:szCs w:val="18"/>
                <w:color w:val="auto"/>
                <w:vertAlign w:val="superscript"/>
              </w:rPr>
              <w:t>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559,710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530,468</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480" w:type="dxa"/>
            <w:vAlign w:val="bottom"/>
          </w:tcPr>
          <w:p>
            <w:pPr>
              <w:ind w:left="220"/>
              <w:spacing w:after="0"/>
              <w:rPr>
                <w:sz w:val="20"/>
                <w:szCs w:val="20"/>
                <w:color w:val="auto"/>
              </w:rPr>
            </w:pPr>
            <w:r>
              <w:rPr>
                <w:rFonts w:ascii="Arial" w:cs="Arial" w:eastAsia="Arial" w:hAnsi="Arial"/>
                <w:sz w:val="14"/>
                <w:szCs w:val="14"/>
                <w:color w:val="auto"/>
              </w:rPr>
              <w:t>Partners’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from consolidated joint ventures </w:t>
            </w:r>
            <w:r>
              <w:rPr>
                <w:rFonts w:ascii="Arial" w:cs="Arial" w:eastAsia="Arial" w:hAnsi="Arial"/>
                <w:sz w:val="18"/>
                <w:szCs w:val="18"/>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64,620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61,359</w:t>
            </w:r>
          </w:p>
        </w:tc>
        <w:tc>
          <w:tcPr>
            <w:tcW w:w="0" w:type="dxa"/>
            <w:vAlign w:val="bottom"/>
          </w:tcPr>
          <w:p>
            <w:pPr>
              <w:spacing w:after="0"/>
              <w:rPr>
                <w:sz w:val="1"/>
                <w:szCs w:val="1"/>
                <w:color w:val="auto"/>
              </w:rPr>
            </w:pPr>
          </w:p>
        </w:tc>
      </w:tr>
      <w:tr>
        <w:trPr>
          <w:trHeight w:val="227"/>
        </w:trPr>
        <w:tc>
          <w:tcPr>
            <w:tcW w:w="8480" w:type="dxa"/>
            <w:vAlign w:val="bottom"/>
          </w:tcPr>
          <w:p>
            <w:pPr>
              <w:ind w:left="20"/>
              <w:spacing w:after="0"/>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w:t>
            </w:r>
            <w:r>
              <w:rPr>
                <w:rFonts w:ascii="Arial" w:cs="Arial" w:eastAsia="Arial" w:hAnsi="Arial"/>
                <w:sz w:val="14"/>
                <w:szCs w:val="14"/>
                <w:b w:val="1"/>
                <w:bCs w:val="1"/>
                <w:color w:val="auto"/>
              </w:rPr>
              <w:t>(A)</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495,090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469,109</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220"/>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15,463</w:t>
            </w:r>
          </w:p>
        </w:tc>
        <w:tc>
          <w:tcPr>
            <w:tcW w:w="0" w:type="dxa"/>
            <w:vAlign w:val="bottom"/>
          </w:tcPr>
          <w:p>
            <w:pPr>
              <w:spacing w:after="0"/>
              <w:rPr>
                <w:sz w:val="1"/>
                <w:szCs w:val="1"/>
                <w:color w:val="auto"/>
              </w:rPr>
            </w:pPr>
          </w:p>
        </w:tc>
      </w:tr>
      <w:tr>
        <w:trPr>
          <w:trHeight w:val="239"/>
        </w:trPr>
        <w:tc>
          <w:tcPr>
            <w:tcW w:w="8480" w:type="dxa"/>
            <w:vAlign w:val="bottom"/>
          </w:tcPr>
          <w:p>
            <w:pPr>
              <w:ind w:left="220"/>
              <w:spacing w:after="0"/>
              <w:rPr>
                <w:sz w:val="20"/>
                <w:szCs w:val="20"/>
                <w:color w:val="auto"/>
              </w:rPr>
            </w:pPr>
            <w:r>
              <w:rPr>
                <w:rFonts w:ascii="Arial" w:cs="Arial" w:eastAsia="Arial" w:hAnsi="Arial"/>
                <w:sz w:val="14"/>
                <w:szCs w:val="14"/>
                <w:color w:val="auto"/>
              </w:rPr>
              <w:t xml:space="preserve">BXP’s Share of straight-line ground rent expense adjustment </w:t>
            </w:r>
            <w:r>
              <w:rPr>
                <w:rFonts w:ascii="Arial" w:cs="Arial" w:eastAsia="Arial" w:hAnsi="Arial"/>
                <w:sz w:val="18"/>
                <w:szCs w:val="18"/>
                <w:color w:val="auto"/>
                <w:vertAlign w:val="superscript"/>
              </w:rPr>
              <w:t>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(5,391)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(3,895)</w:t>
            </w:r>
          </w:p>
        </w:tc>
        <w:tc>
          <w:tcPr>
            <w:tcW w:w="0" w:type="dxa"/>
            <w:vAlign w:val="bottom"/>
          </w:tcPr>
          <w:p>
            <w:pPr>
              <w:spacing w:after="0"/>
              <w:rPr>
                <w:sz w:val="1"/>
                <w:szCs w:val="1"/>
                <w:color w:val="auto"/>
              </w:rPr>
            </w:pPr>
          </w:p>
        </w:tc>
      </w:tr>
      <w:tr>
        <w:trPr>
          <w:trHeight w:val="218"/>
        </w:trPr>
        <w:tc>
          <w:tcPr>
            <w:tcW w:w="8480" w:type="dxa"/>
            <w:vAlign w:val="bottom"/>
          </w:tcPr>
          <w:p>
            <w:pPr>
              <w:ind w:left="220"/>
              <w:spacing w:after="0"/>
              <w:rPr>
                <w:sz w:val="20"/>
                <w:szCs w:val="20"/>
                <w:color w:val="auto"/>
              </w:rPr>
            </w:pPr>
            <w:r>
              <w:rPr>
                <w:rFonts w:ascii="Arial" w:cs="Arial" w:eastAsia="Arial" w:hAnsi="Arial"/>
                <w:sz w:val="14"/>
                <w:szCs w:val="14"/>
                <w:color w:val="auto"/>
              </w:rPr>
              <w:t xml:space="preserve">BXP’s Share of lease transaction costs that qualify as rent inducements </w:t>
            </w:r>
            <w:r>
              <w:rPr>
                <w:rFonts w:ascii="Arial" w:cs="Arial" w:eastAsia="Arial" w:hAnsi="Arial"/>
                <w:sz w:val="18"/>
                <w:szCs w:val="18"/>
                <w:color w:val="auto"/>
                <w:vertAlign w:val="superscript"/>
              </w:rPr>
              <w:t>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3,993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4,071</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480" w:type="dxa"/>
            <w:vAlign w:val="bottom"/>
          </w:tcPr>
          <w:p>
            <w:pPr>
              <w:ind w:left="220"/>
              <w:spacing w:after="0"/>
              <w:rPr>
                <w:sz w:val="20"/>
                <w:szCs w:val="20"/>
                <w:color w:val="auto"/>
              </w:rPr>
            </w:pPr>
            <w:r>
              <w:rPr>
                <w:rFonts w:ascii="Arial" w:cs="Arial" w:eastAsia="Arial" w:hAnsi="Arial"/>
                <w:sz w:val="14"/>
                <w:szCs w:val="14"/>
                <w:color w:val="auto"/>
              </w:rPr>
              <w:t xml:space="preserve">BXP’s Share of non-cash termination income adjustment </w:t>
            </w:r>
            <w:r>
              <w:rPr>
                <w:rFonts w:ascii="Arial" w:cs="Arial" w:eastAsia="Arial" w:hAnsi="Arial"/>
                <w:sz w:val="18"/>
                <w:szCs w:val="18"/>
                <w:color w:val="auto"/>
                <w:vertAlign w:val="superscript"/>
              </w:rPr>
              <w:t>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(4,376)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(2,306)</w:t>
            </w:r>
          </w:p>
        </w:tc>
        <w:tc>
          <w:tcPr>
            <w:tcW w:w="0" w:type="dxa"/>
            <w:vAlign w:val="bottom"/>
          </w:tcPr>
          <w:p>
            <w:pPr>
              <w:spacing w:after="0"/>
              <w:rPr>
                <w:sz w:val="1"/>
                <w:szCs w:val="1"/>
                <w:color w:val="auto"/>
              </w:rPr>
            </w:pPr>
          </w:p>
        </w:tc>
      </w:tr>
      <w:tr>
        <w:trPr>
          <w:trHeight w:val="216"/>
        </w:trPr>
        <w:tc>
          <w:tcPr>
            <w:tcW w:w="8480" w:type="dxa"/>
            <w:vAlign w:val="bottom"/>
          </w:tcPr>
          <w:p>
            <w:pPr>
              <w:ind w:left="220"/>
              <w:spacing w:after="0"/>
              <w:rPr>
                <w:sz w:val="20"/>
                <w:szCs w:val="20"/>
                <w:color w:val="auto"/>
              </w:rPr>
            </w:pPr>
            <w:r>
              <w:rPr>
                <w:rFonts w:ascii="Arial" w:cs="Arial" w:eastAsia="Arial" w:hAnsi="Arial"/>
                <w:sz w:val="14"/>
                <w:szCs w:val="14"/>
                <w:color w:val="auto"/>
              </w:rPr>
              <w:t xml:space="preserve">BXP’s Share of straight-line rent </w:t>
            </w:r>
            <w:r>
              <w:rPr>
                <w:rFonts w:ascii="Arial" w:cs="Arial" w:eastAsia="Arial" w:hAnsi="Arial"/>
                <w:sz w:val="18"/>
                <w:szCs w:val="18"/>
                <w:color w:val="auto"/>
                <w:vertAlign w:val="superscript"/>
              </w:rPr>
              <w:t>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46,541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19,396</w:t>
            </w:r>
          </w:p>
        </w:tc>
        <w:tc>
          <w:tcPr>
            <w:tcW w:w="0" w:type="dxa"/>
            <w:vAlign w:val="bottom"/>
          </w:tcPr>
          <w:p>
            <w:pPr>
              <w:spacing w:after="0"/>
              <w:rPr>
                <w:sz w:val="1"/>
                <w:szCs w:val="1"/>
                <w:color w:val="auto"/>
              </w:rPr>
            </w:pPr>
          </w:p>
        </w:tc>
      </w:tr>
      <w:tr>
        <w:trPr>
          <w:trHeight w:val="216"/>
        </w:trPr>
        <w:tc>
          <w:tcPr>
            <w:tcW w:w="8480" w:type="dxa"/>
            <w:vAlign w:val="bottom"/>
          </w:tcPr>
          <w:p>
            <w:pPr>
              <w:ind w:left="220"/>
              <w:spacing w:after="0"/>
              <w:rPr>
                <w:sz w:val="20"/>
                <w:szCs w:val="20"/>
                <w:color w:val="auto"/>
              </w:rPr>
            </w:pPr>
            <w:r>
              <w:rPr>
                <w:rFonts w:ascii="Arial" w:cs="Arial" w:eastAsia="Arial" w:hAnsi="Arial"/>
                <w:sz w:val="14"/>
                <w:szCs w:val="14"/>
                <w:color w:val="auto"/>
              </w:rPr>
              <w:t xml:space="preserve">BXP’s Share of fair value lease revenue </w:t>
            </w:r>
            <w:r>
              <w:rPr>
                <w:rFonts w:ascii="Arial" w:cs="Arial" w:eastAsia="Arial" w:hAnsi="Arial"/>
                <w:sz w:val="18"/>
                <w:szCs w:val="18"/>
                <w:color w:val="auto"/>
                <w:vertAlign w:val="superscript"/>
              </w:rPr>
              <w:t>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2,863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2,864</w:t>
            </w:r>
          </w:p>
        </w:tc>
        <w:tc>
          <w:tcPr>
            <w:tcW w:w="0" w:type="dxa"/>
            <w:vAlign w:val="bottom"/>
          </w:tcPr>
          <w:p>
            <w:pPr>
              <w:spacing w:after="0"/>
              <w:rPr>
                <w:sz w:val="1"/>
                <w:szCs w:val="1"/>
                <w:color w:val="auto"/>
              </w:rPr>
            </w:pPr>
          </w:p>
        </w:tc>
      </w:tr>
      <w:tr>
        <w:trPr>
          <w:trHeight w:val="201"/>
        </w:trPr>
        <w:tc>
          <w:tcPr>
            <w:tcW w:w="8480" w:type="dxa"/>
            <w:vAlign w:val="bottom"/>
          </w:tcPr>
          <w:p>
            <w:pPr>
              <w:ind w:left="220"/>
              <w:spacing w:after="0" w:line="201" w:lineRule="exact"/>
              <w:rPr>
                <w:sz w:val="20"/>
                <w:szCs w:val="20"/>
                <w:color w:val="auto"/>
              </w:rPr>
            </w:pPr>
            <w:r>
              <w:rPr>
                <w:rFonts w:ascii="Arial" w:cs="Arial" w:eastAsia="Arial" w:hAnsi="Arial"/>
                <w:sz w:val="14"/>
                <w:szCs w:val="14"/>
                <w:color w:val="auto"/>
              </w:rPr>
              <w:t xml:space="preserve">BXP’s Share of amortization and accretion related to sales type lease </w:t>
            </w:r>
            <w:r>
              <w:rPr>
                <w:rFonts w:ascii="Arial" w:cs="Arial" w:eastAsia="Arial" w:hAnsi="Arial"/>
                <w:sz w:val="18"/>
                <w:szCs w:val="18"/>
                <w:color w:val="auto"/>
                <w:vertAlign w:val="superscript"/>
              </w:rPr>
              <w:t>1</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w:t>
            </w:r>
          </w:p>
        </w:tc>
        <w:tc>
          <w:tcPr>
            <w:tcW w:w="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10"/>
        </w:trPr>
        <w:tc>
          <w:tcPr>
            <w:tcW w:w="8480" w:type="dxa"/>
            <w:vAlign w:val="bottom"/>
          </w:tcPr>
          <w:p>
            <w:pPr>
              <w:ind w:left="20"/>
              <w:spacing w:after="0"/>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t>
            </w:r>
            <w:r>
              <w:rPr>
                <w:rFonts w:ascii="Arial" w:cs="Arial" w:eastAsia="Arial" w:hAnsi="Arial"/>
                <w:sz w:val="12"/>
                <w:szCs w:val="12"/>
                <w:color w:val="auto"/>
              </w:rPr>
              <w:t>–</w:t>
            </w:r>
            <w:r>
              <w:rPr>
                <w:rFonts w:ascii="Arial" w:cs="Arial" w:eastAsia="Arial" w:hAnsi="Arial"/>
                <w:sz w:val="14"/>
                <w:szCs w:val="14"/>
                <w:color w:val="auto"/>
              </w:rPr>
              <w:t xml:space="preserve"> cash </w:t>
            </w:r>
            <w:r>
              <w:rPr>
                <w:rFonts w:ascii="Arial" w:cs="Arial" w:eastAsia="Arial" w:hAnsi="Arial"/>
                <w:sz w:val="18"/>
                <w:szCs w:val="18"/>
                <w:color w:val="auto"/>
                <w:vertAlign w:val="superscript"/>
              </w:rPr>
              <w:t>1</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455,876</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464,516</w:t>
            </w:r>
          </w:p>
        </w:tc>
        <w:tc>
          <w:tcPr>
            <w:tcW w:w="0" w:type="dxa"/>
            <w:vAlign w:val="bottom"/>
          </w:tcPr>
          <w:p>
            <w:pPr>
              <w:spacing w:after="0"/>
              <w:rPr>
                <w:sz w:val="1"/>
                <w:szCs w:val="1"/>
                <w:color w:val="auto"/>
              </w:rPr>
            </w:pPr>
          </w:p>
        </w:tc>
      </w:tr>
      <w:tr>
        <w:trPr>
          <w:trHeight w:val="20"/>
        </w:trPr>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(Annualized) </w:t>
            </w:r>
            <w:r>
              <w:rPr>
                <w:rFonts w:ascii="Arial" w:cs="Arial" w:eastAsia="Arial" w:hAnsi="Arial"/>
                <w:sz w:val="18"/>
                <w:szCs w:val="18"/>
                <w:color w:val="auto"/>
                <w:vertAlign w:val="superscript"/>
              </w:rPr>
              <w:t>5</w:t>
            </w:r>
            <w:r>
              <w:rPr>
                <w:rFonts w:ascii="Arial" w:cs="Arial" w:eastAsia="Arial" w:hAnsi="Arial"/>
                <w:sz w:val="14"/>
                <w:szCs w:val="14"/>
                <w:color w:val="auto"/>
              </w:rPr>
              <w:t xml:space="preserve"> </w:t>
            </w:r>
            <w:r>
              <w:rPr>
                <w:rFonts w:ascii="Arial" w:cs="Arial" w:eastAsia="Arial" w:hAnsi="Arial"/>
                <w:sz w:val="14"/>
                <w:szCs w:val="14"/>
                <w:b w:val="1"/>
                <w:bCs w:val="1"/>
                <w:color w:val="auto"/>
              </w:rPr>
              <w:t>(A x 4)</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8480" w:type="dxa"/>
            <w:vAlign w:val="bottom"/>
            <w:vMerge w:val="continue"/>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1,980,360</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1,876,436</w:t>
            </w:r>
          </w:p>
        </w:tc>
        <w:tc>
          <w:tcPr>
            <w:tcW w:w="0" w:type="dxa"/>
            <w:vAlign w:val="bottom"/>
          </w:tcPr>
          <w:p>
            <w:pPr>
              <w:spacing w:after="0"/>
              <w:rPr>
                <w:sz w:val="1"/>
                <w:szCs w:val="1"/>
                <w:color w:val="auto"/>
              </w:rPr>
            </w:pPr>
          </w:p>
        </w:tc>
      </w:tr>
      <w:tr>
        <w:trPr>
          <w:trHeight w:val="518"/>
        </w:trPr>
        <w:tc>
          <w:tcPr>
            <w:tcW w:w="8480" w:type="dxa"/>
            <w:vAlign w:val="bottom"/>
          </w:tcPr>
          <w:p>
            <w:pPr>
              <w:spacing w:after="0"/>
              <w:rPr>
                <w:sz w:val="20"/>
                <w:szCs w:val="20"/>
                <w:color w:val="auto"/>
              </w:rPr>
            </w:pPr>
            <w:r>
              <w:rPr>
                <w:rFonts w:ascii="Arial" w:cs="Arial" w:eastAsia="Arial" w:hAnsi="Arial"/>
                <w:sz w:val="14"/>
                <w:szCs w:val="14"/>
                <w:b w:val="1"/>
                <w:bCs w:val="1"/>
                <w:i w:val="1"/>
                <w:iCs w:val="1"/>
                <w:color w:val="auto"/>
              </w:rPr>
              <w:t xml:space="preserve">Reconciliation of BXP’s Share of Net Debt </w:t>
            </w:r>
            <w:r>
              <w:rPr>
                <w:rFonts w:ascii="Arial" w:cs="Arial" w:eastAsia="Arial" w:hAnsi="Arial"/>
                <w:sz w:val="9"/>
                <w:szCs w:val="9"/>
                <w:b w:val="1"/>
                <w:bCs w:val="1"/>
                <w:i w:val="1"/>
                <w:iCs w:val="1"/>
                <w:color w:val="auto"/>
              </w:rPr>
              <w:t>1</w:t>
            </w: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84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8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30-Sep-26</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30-Jun-26</w:t>
            </w:r>
          </w:p>
        </w:tc>
        <w:tc>
          <w:tcPr>
            <w:tcW w:w="0" w:type="dxa"/>
            <w:vAlign w:val="bottom"/>
          </w:tcPr>
          <w:p>
            <w:pPr>
              <w:spacing w:after="0"/>
              <w:rPr>
                <w:sz w:val="1"/>
                <w:szCs w:val="1"/>
                <w:color w:val="auto"/>
              </w:rPr>
            </w:pPr>
          </w:p>
        </w:tc>
      </w:tr>
      <w:tr>
        <w:trPr>
          <w:trHeight w:val="203"/>
        </w:trPr>
        <w:tc>
          <w:tcPr>
            <w:tcW w:w="8480" w:type="dxa"/>
            <w:vAlign w:val="bottom"/>
          </w:tcPr>
          <w:p>
            <w:pPr>
              <w:ind w:left="20"/>
              <w:spacing w:after="0"/>
              <w:rPr>
                <w:sz w:val="20"/>
                <w:szCs w:val="20"/>
                <w:color w:val="auto"/>
              </w:rPr>
            </w:pPr>
            <w:r>
              <w:rPr>
                <w:rFonts w:ascii="Arial" w:cs="Arial" w:eastAsia="Arial" w:hAnsi="Arial"/>
                <w:sz w:val="14"/>
                <w:szCs w:val="14"/>
                <w:color w:val="auto"/>
              </w:rPr>
              <w:t>Consolidated debt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16,590,522</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15,618,563</w:t>
            </w:r>
          </w:p>
        </w:tc>
        <w:tc>
          <w:tcPr>
            <w:tcW w:w="0" w:type="dxa"/>
            <w:vAlign w:val="bottom"/>
          </w:tcPr>
          <w:p>
            <w:pPr>
              <w:spacing w:after="0"/>
              <w:rPr>
                <w:sz w:val="1"/>
                <w:szCs w:val="1"/>
                <w:color w:val="auto"/>
              </w:rPr>
            </w:pPr>
          </w:p>
        </w:tc>
      </w:tr>
      <w:tr>
        <w:trPr>
          <w:trHeight w:val="216"/>
        </w:trPr>
        <w:tc>
          <w:tcPr>
            <w:tcW w:w="8480" w:type="dxa"/>
            <w:vAlign w:val="bottom"/>
          </w:tcPr>
          <w:p>
            <w:pPr>
              <w:ind w:left="2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1,471,631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493,949</w:t>
            </w:r>
          </w:p>
        </w:tc>
        <w:tc>
          <w:tcPr>
            <w:tcW w:w="0" w:type="dxa"/>
            <w:vAlign w:val="bottom"/>
          </w:tcPr>
          <w:p>
            <w:pPr>
              <w:spacing w:after="0"/>
              <w:rPr>
                <w:sz w:val="1"/>
                <w:szCs w:val="1"/>
                <w:color w:val="auto"/>
              </w:rPr>
            </w:pPr>
          </w:p>
        </w:tc>
      </w:tr>
      <w:tr>
        <w:trPr>
          <w:trHeight w:val="218"/>
        </w:trPr>
        <w:tc>
          <w:tcPr>
            <w:tcW w:w="8480" w:type="dxa"/>
            <w:vAlign w:val="bottom"/>
          </w:tcPr>
          <w:p>
            <w:pPr>
              <w:ind w:left="220"/>
              <w:spacing w:after="0"/>
              <w:rPr>
                <w:sz w:val="20"/>
                <w:szCs w:val="20"/>
                <w:color w:val="auto"/>
              </w:rPr>
            </w:pPr>
            <w:r>
              <w:rPr>
                <w:rFonts w:ascii="Arial" w:cs="Arial" w:eastAsia="Arial" w:hAnsi="Arial"/>
                <w:sz w:val="14"/>
                <w:szCs w:val="14"/>
                <w:color w:val="auto"/>
              </w:rPr>
              <w:t>Cash held in escrow for 1031 exchange</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4"/>
        </w:trPr>
        <w:tc>
          <w:tcPr>
            <w:tcW w:w="8480" w:type="dxa"/>
            <w:vAlign w:val="bottom"/>
          </w:tcPr>
          <w:p>
            <w:pPr>
              <w:ind w:left="20"/>
              <w:spacing w:after="0"/>
              <w:rPr>
                <w:sz w:val="20"/>
                <w:szCs w:val="20"/>
                <w:color w:val="auto"/>
              </w:rPr>
            </w:pPr>
            <w:r>
              <w:rPr>
                <w:rFonts w:ascii="Arial" w:cs="Arial" w:eastAsia="Arial" w:hAnsi="Arial"/>
                <w:sz w:val="14"/>
                <w:szCs w:val="14"/>
                <w:color w:val="auto"/>
              </w:rPr>
              <w:t xml:space="preserve">Net debt </w:t>
            </w:r>
            <w:r>
              <w:rPr>
                <w:rFonts w:ascii="Arial" w:cs="Arial" w:eastAsia="Arial" w:hAnsi="Arial"/>
                <w:sz w:val="18"/>
                <w:szCs w:val="18"/>
                <w:color w:val="auto"/>
                <w:vertAlign w:val="superscript"/>
              </w:rPr>
              <w:t>1</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15,118,891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15,124,614</w:t>
            </w:r>
          </w:p>
        </w:tc>
        <w:tc>
          <w:tcPr>
            <w:tcW w:w="0" w:type="dxa"/>
            <w:vAlign w:val="bottom"/>
          </w:tcPr>
          <w:p>
            <w:pPr>
              <w:spacing w:after="0"/>
              <w:rPr>
                <w:sz w:val="1"/>
                <w:szCs w:val="1"/>
                <w:color w:val="auto"/>
              </w:rPr>
            </w:pPr>
          </w:p>
        </w:tc>
      </w:tr>
      <w:tr>
        <w:trPr>
          <w:trHeight w:val="190"/>
        </w:trPr>
        <w:tc>
          <w:tcPr>
            <w:tcW w:w="8480" w:type="dxa"/>
            <w:vAlign w:val="bottom"/>
          </w:tcPr>
          <w:p>
            <w:pPr>
              <w:ind w:left="20"/>
              <w:spacing w:after="0"/>
              <w:rPr>
                <w:sz w:val="20"/>
                <w:szCs w:val="20"/>
                <w:color w:val="auto"/>
              </w:rPr>
            </w:pPr>
            <w:r>
              <w:rPr>
                <w:rFonts w:ascii="Arial" w:cs="Arial" w:eastAsia="Arial" w:hAnsi="Arial"/>
                <w:sz w:val="14"/>
                <w:szCs w:val="14"/>
                <w:color w:val="auto"/>
              </w:rPr>
              <w:t>Add:</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480" w:type="dxa"/>
            <w:vAlign w:val="bottom"/>
          </w:tcPr>
          <w:p>
            <w:pPr>
              <w:ind w:left="220"/>
              <w:spacing w:after="0"/>
              <w:rPr>
                <w:sz w:val="20"/>
                <w:szCs w:val="20"/>
                <w:color w:val="auto"/>
              </w:rPr>
            </w:pPr>
            <w:r>
              <w:rPr>
                <w:rFonts w:ascii="Arial" w:cs="Arial" w:eastAsia="Arial" w:hAnsi="Arial"/>
                <w:sz w:val="14"/>
                <w:szCs w:val="14"/>
                <w:color w:val="auto"/>
              </w:rPr>
              <w:t xml:space="preserve">BXP’s share of unconsolidated joint venture debt </w:t>
            </w:r>
            <w:r>
              <w:rPr>
                <w:rFonts w:ascii="Arial" w:cs="Arial" w:eastAsia="Arial" w:hAnsi="Arial"/>
                <w:sz w:val="18"/>
                <w:szCs w:val="18"/>
                <w:color w:val="auto"/>
                <w:vertAlign w:val="superscript"/>
              </w:rPr>
              <w:t>3</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1,102,877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1,102,142</w:t>
            </w:r>
          </w:p>
        </w:tc>
        <w:tc>
          <w:tcPr>
            <w:tcW w:w="0" w:type="dxa"/>
            <w:vAlign w:val="bottom"/>
          </w:tcPr>
          <w:p>
            <w:pPr>
              <w:spacing w:after="0"/>
              <w:rPr>
                <w:sz w:val="1"/>
                <w:szCs w:val="1"/>
                <w:color w:val="auto"/>
              </w:rPr>
            </w:pPr>
          </w:p>
        </w:tc>
      </w:tr>
      <w:tr>
        <w:trPr>
          <w:trHeight w:val="190"/>
        </w:trPr>
        <w:tc>
          <w:tcPr>
            <w:tcW w:w="8480" w:type="dxa"/>
            <w:vAlign w:val="bottom"/>
          </w:tcPr>
          <w:p>
            <w:pPr>
              <w:ind w:left="220"/>
              <w:spacing w:after="0"/>
              <w:rPr>
                <w:sz w:val="20"/>
                <w:szCs w:val="20"/>
                <w:color w:val="auto"/>
              </w:rPr>
            </w:pPr>
            <w:r>
              <w:rPr>
                <w:rFonts w:ascii="Arial" w:cs="Arial" w:eastAsia="Arial" w:hAnsi="Arial"/>
                <w:sz w:val="14"/>
                <w:szCs w:val="14"/>
                <w:color w:val="auto"/>
              </w:rPr>
              <w:t>Partners’ share of cash and cash equivalents from consolidated joint ventures</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120,168</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130,563</w:t>
            </w:r>
          </w:p>
        </w:tc>
        <w:tc>
          <w:tcPr>
            <w:tcW w:w="0" w:type="dxa"/>
            <w:vAlign w:val="bottom"/>
          </w:tcPr>
          <w:p>
            <w:pPr>
              <w:spacing w:after="0"/>
              <w:rPr>
                <w:sz w:val="1"/>
                <w:szCs w:val="1"/>
                <w:color w:val="auto"/>
              </w:rPr>
            </w:pPr>
          </w:p>
        </w:tc>
      </w:tr>
      <w:tr>
        <w:trPr>
          <w:trHeight w:val="216"/>
        </w:trPr>
        <w:tc>
          <w:tcPr>
            <w:tcW w:w="8480" w:type="dxa"/>
            <w:vAlign w:val="bottom"/>
          </w:tcPr>
          <w:p>
            <w:pPr>
              <w:ind w:left="20"/>
              <w:spacing w:after="0"/>
              <w:rPr>
                <w:sz w:val="20"/>
                <w:szCs w:val="20"/>
                <w:color w:val="auto"/>
              </w:rPr>
            </w:pPr>
            <w:r>
              <w:rPr>
                <w:rFonts w:ascii="Arial" w:cs="Arial" w:eastAsia="Arial" w:hAnsi="Arial"/>
                <w:sz w:val="14"/>
                <w:szCs w:val="14"/>
                <w:color w:val="auto"/>
              </w:rPr>
              <w:t>Less:</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220"/>
              <w:spacing w:after="0"/>
              <w:rPr>
                <w:sz w:val="20"/>
                <w:szCs w:val="20"/>
                <w:color w:val="auto"/>
              </w:rPr>
            </w:pPr>
            <w:r>
              <w:rPr>
                <w:rFonts w:ascii="Arial" w:cs="Arial" w:eastAsia="Arial" w:hAnsi="Arial"/>
                <w:sz w:val="14"/>
                <w:szCs w:val="14"/>
                <w:color w:val="auto"/>
              </w:rPr>
              <w:t>BXP’s share of cash and cash equivalents from unconsolidated joint ventures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77,956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70,338</w:t>
            </w:r>
          </w:p>
        </w:tc>
        <w:tc>
          <w:tcPr>
            <w:tcW w:w="0" w:type="dxa"/>
            <w:vAlign w:val="bottom"/>
          </w:tcPr>
          <w:p>
            <w:pPr>
              <w:spacing w:after="0"/>
              <w:rPr>
                <w:sz w:val="1"/>
                <w:szCs w:val="1"/>
                <w:color w:val="auto"/>
              </w:rPr>
            </w:pPr>
          </w:p>
        </w:tc>
      </w:tr>
      <w:tr>
        <w:trPr>
          <w:trHeight w:val="242"/>
        </w:trPr>
        <w:tc>
          <w:tcPr>
            <w:tcW w:w="8480" w:type="dxa"/>
            <w:vAlign w:val="bottom"/>
          </w:tcPr>
          <w:p>
            <w:pPr>
              <w:ind w:left="220"/>
              <w:spacing w:after="0"/>
              <w:rPr>
                <w:sz w:val="20"/>
                <w:szCs w:val="20"/>
                <w:color w:val="auto"/>
              </w:rPr>
            </w:pPr>
            <w:r>
              <w:rPr>
                <w:rFonts w:ascii="Arial" w:cs="Arial" w:eastAsia="Arial" w:hAnsi="Arial"/>
                <w:sz w:val="14"/>
                <w:szCs w:val="14"/>
                <w:color w:val="auto"/>
              </w:rPr>
              <w:t xml:space="preserve">Partners’ share of consolidated joint venture debt </w:t>
            </w:r>
            <w:r>
              <w:rPr>
                <w:rFonts w:ascii="Arial" w:cs="Arial" w:eastAsia="Arial" w:hAnsi="Arial"/>
                <w:sz w:val="18"/>
                <w:szCs w:val="18"/>
                <w:color w:val="auto"/>
                <w:vertAlign w:val="superscript"/>
              </w:rPr>
              <w:t>4</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1,367,556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1,365,355</w:t>
            </w:r>
          </w:p>
        </w:tc>
        <w:tc>
          <w:tcPr>
            <w:tcW w:w="0" w:type="dxa"/>
            <w:vAlign w:val="bottom"/>
          </w:tcPr>
          <w:p>
            <w:pPr>
              <w:spacing w:after="0"/>
              <w:rPr>
                <w:sz w:val="1"/>
                <w:szCs w:val="1"/>
                <w:color w:val="auto"/>
              </w:rPr>
            </w:pPr>
          </w:p>
        </w:tc>
      </w:tr>
      <w:tr>
        <w:trPr>
          <w:trHeight w:val="194"/>
        </w:trPr>
        <w:tc>
          <w:tcPr>
            <w:tcW w:w="8480" w:type="dxa"/>
            <w:vAlign w:val="bottom"/>
          </w:tcPr>
          <w:p>
            <w:pPr>
              <w:ind w:left="220"/>
              <w:spacing w:after="0"/>
              <w:rPr>
                <w:sz w:val="20"/>
                <w:szCs w:val="20"/>
                <w:color w:val="auto"/>
              </w:rPr>
            </w:pPr>
            <w:r>
              <w:rPr>
                <w:rFonts w:ascii="Arial" w:cs="Arial" w:eastAsia="Arial" w:hAnsi="Arial"/>
                <w:sz w:val="14"/>
                <w:szCs w:val="14"/>
                <w:color w:val="auto"/>
              </w:rPr>
              <w:t>BXP’s share of related party note receivables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7,158</w:t>
            </w: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16,860</w:t>
            </w:r>
          </w:p>
        </w:tc>
        <w:tc>
          <w:tcPr>
            <w:tcW w:w="0" w:type="dxa"/>
            <w:vAlign w:val="bottom"/>
          </w:tcPr>
          <w:p>
            <w:pPr>
              <w:spacing w:after="0"/>
              <w:rPr>
                <w:sz w:val="1"/>
                <w:szCs w:val="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4"/>
                <w:szCs w:val="14"/>
                <w:color w:val="auto"/>
              </w:rPr>
              <w:t xml:space="preserve">BXP’s Share of Net Debt </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w:t>
            </w:r>
            <w:r>
              <w:rPr>
                <w:rFonts w:ascii="Arial" w:cs="Arial" w:eastAsia="Arial" w:hAnsi="Arial"/>
                <w:sz w:val="14"/>
                <w:szCs w:val="14"/>
                <w:b w:val="1"/>
                <w:bCs w:val="1"/>
                <w:color w:val="auto"/>
              </w:rPr>
              <w:t>(B)</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14,889,266</w:t>
            </w:r>
          </w:p>
        </w:tc>
        <w:tc>
          <w:tcPr>
            <w:tcW w:w="42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14,904,766</w:t>
            </w: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3"/>
        </w:trPr>
        <w:tc>
          <w:tcPr>
            <w:tcW w:w="8480" w:type="dxa"/>
            <w:vAlign w:val="bottom"/>
          </w:tcPr>
          <w:p>
            <w:pPr>
              <w:ind w:left="20"/>
              <w:spacing w:after="0"/>
              <w:rPr>
                <w:sz w:val="20"/>
                <w:szCs w:val="20"/>
                <w:color w:val="auto"/>
              </w:rPr>
            </w:pPr>
            <w:r>
              <w:rPr>
                <w:rFonts w:ascii="Arial" w:cs="Arial" w:eastAsia="Arial" w:hAnsi="Arial"/>
                <w:sz w:val="14"/>
                <w:szCs w:val="14"/>
                <w:color w:val="auto"/>
              </w:rPr>
              <w:t>BXP’s Share of Net Debt to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(Annualized) </w:t>
            </w:r>
            <w:r>
              <w:rPr>
                <w:rFonts w:ascii="Arial" w:cs="Arial" w:eastAsia="Arial" w:hAnsi="Arial"/>
                <w:sz w:val="14"/>
                <w:szCs w:val="14"/>
                <w:b w:val="1"/>
                <w:bCs w:val="1"/>
                <w:color w:val="auto"/>
              </w:rPr>
              <w:t>[B ÷ (A x 4)]</w:t>
            </w: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7.52</w:t>
            </w:r>
          </w:p>
        </w:tc>
        <w:tc>
          <w:tcPr>
            <w:tcW w:w="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271"/>
        </w:trPr>
        <w:tc>
          <w:tcPr>
            <w:tcW w:w="8480" w:type="dxa"/>
            <w:vAlign w:val="bottom"/>
          </w:tcPr>
          <w:p>
            <w:pPr>
              <w:spacing w:after="0"/>
              <w:rPr>
                <w:sz w:val="20"/>
                <w:szCs w:val="20"/>
                <w:color w:val="auto"/>
              </w:rPr>
            </w:pPr>
            <w:r>
              <w:rPr>
                <w:rFonts w:ascii="Arial" w:cs="Arial" w:eastAsia="Arial" w:hAnsi="Arial"/>
                <w:sz w:val="14"/>
                <w:szCs w:val="14"/>
                <w:color w:val="auto"/>
              </w:rPr>
              <w:t>_____________</w:t>
            </w: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-8206740</wp:posOffset>
            </wp:positionV>
            <wp:extent cx="257175"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ind w:left="80" w:hanging="72"/>
        <w:spacing w:after="0" w:line="222" w:lineRule="auto"/>
        <w:tabs>
          <w:tab w:leader="none" w:pos="80" w:val="left"/>
        </w:tabs>
        <w:numPr>
          <w:ilvl w:val="0"/>
          <w:numId w:val="82"/>
        </w:numPr>
        <w:rPr>
          <w:rFonts w:ascii="Arial" w:cs="Arial" w:eastAsia="Arial" w:hAnsi="Arial"/>
          <w:sz w:val="19"/>
          <w:szCs w:val="19"/>
          <w:color w:val="auto"/>
          <w:vertAlign w:val="superscript"/>
        </w:rPr>
      </w:pPr>
      <w:r>
        <w:rPr>
          <w:rFonts w:ascii="Arial" w:cs="Arial" w:eastAsia="Arial" w:hAnsi="Arial"/>
          <w:sz w:val="14"/>
          <w:szCs w:val="14"/>
          <w:color w:val="auto"/>
        </w:rPr>
        <w:t>See the Definitions and Reconciliations sections of this Supplemental package starting on page 56.</w:t>
      </w:r>
    </w:p>
    <w:p>
      <w:pPr>
        <w:ind w:left="80" w:hanging="72"/>
        <w:spacing w:after="0" w:line="208" w:lineRule="auto"/>
        <w:tabs>
          <w:tab w:leader="none" w:pos="80" w:val="left"/>
        </w:tabs>
        <w:numPr>
          <w:ilvl w:val="0"/>
          <w:numId w:val="83"/>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June 30, 2026, amount includes gains on sales of approximately $1.2 million.</w:t>
      </w:r>
    </w:p>
    <w:p>
      <w:pPr>
        <w:spacing w:after="0" w:line="13" w:lineRule="exact"/>
        <w:rPr>
          <w:sz w:val="20"/>
          <w:szCs w:val="20"/>
          <w:color w:val="auto"/>
        </w:rPr>
      </w:pPr>
    </w:p>
    <w:p>
      <w:pPr>
        <w:ind w:left="80" w:hanging="72"/>
        <w:spacing w:after="0"/>
        <w:tabs>
          <w:tab w:leader="none" w:pos="80" w:val="left"/>
        </w:tabs>
        <w:numPr>
          <w:ilvl w:val="0"/>
          <w:numId w:val="84"/>
        </w:numPr>
        <w:rPr>
          <w:rFonts w:ascii="Arial" w:cs="Arial" w:eastAsia="Arial" w:hAnsi="Arial"/>
          <w:sz w:val="9"/>
          <w:szCs w:val="9"/>
          <w:color w:val="auto"/>
        </w:rPr>
      </w:pPr>
      <w:r>
        <w:rPr>
          <w:rFonts w:ascii="Arial" w:cs="Arial" w:eastAsia="Arial" w:hAnsi="Arial"/>
          <w:sz w:val="14"/>
          <w:szCs w:val="14"/>
          <w:color w:val="auto"/>
        </w:rPr>
        <w:t>For disclosures related to the calculation of BXP’s share from unconsolidated joint ventures for the three months ended September 30, 2026, see pages 35 and 64.</w:t>
      </w:r>
    </w:p>
    <w:p>
      <w:pPr>
        <w:spacing w:after="0" w:line="15" w:lineRule="exact"/>
        <w:rPr>
          <w:rFonts w:ascii="Arial" w:cs="Arial" w:eastAsia="Arial" w:hAnsi="Arial"/>
          <w:sz w:val="9"/>
          <w:szCs w:val="9"/>
          <w:color w:val="auto"/>
        </w:rPr>
      </w:pPr>
    </w:p>
    <w:p>
      <w:pPr>
        <w:ind w:right="760"/>
        <w:spacing w:after="0" w:line="323" w:lineRule="auto"/>
        <w:rPr>
          <w:rFonts w:ascii="Arial" w:cs="Arial" w:eastAsia="Arial" w:hAnsi="Arial"/>
          <w:sz w:val="9"/>
          <w:szCs w:val="9"/>
          <w:color w:val="auto"/>
        </w:rPr>
      </w:pPr>
      <w:r>
        <w:rPr>
          <w:rFonts w:ascii="Arial" w:cs="Arial" w:eastAsia="Arial" w:hAnsi="Arial"/>
          <w:sz w:val="9"/>
          <w:szCs w:val="9"/>
          <w:color w:val="auto"/>
        </w:rPr>
        <w:t xml:space="preserve">4 </w:t>
      </w:r>
      <w:r>
        <w:rPr>
          <w:rFonts w:ascii="Arial" w:cs="Arial" w:eastAsia="Arial" w:hAnsi="Arial"/>
          <w:sz w:val="14"/>
          <w:szCs w:val="14"/>
          <w:color w:val="auto"/>
        </w:rPr>
        <w:t>For disclosures related to the calculation of Partners’ share from consolidated joint ventures for the three months ended September 30, 2026, see pages 33 and 62.</w:t>
      </w:r>
      <w:r>
        <w:rPr>
          <w:rFonts w:ascii="Arial" w:cs="Arial" w:eastAsia="Arial" w:hAnsi="Arial"/>
          <w:sz w:val="9"/>
          <w:szCs w:val="9"/>
          <w:color w:val="auto"/>
        </w:rPr>
        <w:t xml:space="preserve"> 5 </w:t>
      </w: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9"/>
          <w:szCs w:val="9"/>
          <w:color w:val="auto"/>
        </w:rPr>
        <w:t xml:space="preserve"> </w:t>
      </w:r>
      <w:r>
        <w:rPr>
          <w:rFonts w:ascii="Arial" w:cs="Arial" w:eastAsia="Arial" w:hAnsi="Arial"/>
          <w:sz w:val="14"/>
          <w:szCs w:val="14"/>
          <w:color w:val="auto"/>
        </w:rPr>
        <w:t>(Annualized) is calculated as the product of such amount for the quarter multiplied by four (4).</w:t>
      </w:r>
    </w:p>
    <w:p>
      <w:pPr>
        <w:sectPr>
          <w:pgSz w:w="11900" w:h="16838" w:orient="portrait"/>
          <w:cols w:equalWidth="0" w:num="1">
            <w:col w:w="11240"/>
          </w:cols>
          <w:pgMar w:left="320" w:top="279" w:right="339" w:bottom="1440" w:gutter="0" w:footer="0" w:header="0"/>
        </w:sectPr>
      </w:pPr>
    </w:p>
    <w:p>
      <w:pPr>
        <w:spacing w:after="0" w:line="2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279" w:right="339" w:bottom="1440" w:gutter="0" w:footer="0" w:header="0"/>
          <w:type w:val="continuous"/>
        </w:sectPr>
      </w:pPr>
    </w:p>
    <w:bookmarkStart w:id="39" w:name="page40"/>
    <w:bookmarkEnd w:id="39"/>
    <w:tbl>
      <w:tblPr>
        <w:tblLayout w:type="fixed"/>
        <w:tblInd w:w="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Q3 2026</w:t>
            </w:r>
          </w:p>
        </w:tc>
        <w:tc>
          <w:tcPr>
            <w:tcW w:w="0" w:type="dxa"/>
            <w:vAlign w:val="bottom"/>
          </w:tcPr>
          <w:p>
            <w:pPr>
              <w:spacing w:after="0"/>
              <w:rPr>
                <w:sz w:val="1"/>
                <w:szCs w:val="1"/>
                <w:color w:val="auto"/>
              </w:rPr>
            </w:pPr>
          </w:p>
        </w:tc>
      </w:tr>
      <w:tr>
        <w:trPr>
          <w:trHeight w:val="244"/>
        </w:trPr>
        <w:tc>
          <w:tcPr>
            <w:tcW w:w="75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Debt ratios</w:t>
            </w:r>
          </w:p>
        </w:tc>
        <w:tc>
          <w:tcPr>
            <w:tcW w:w="0" w:type="dxa"/>
            <w:vAlign w:val="bottom"/>
          </w:tcPr>
          <w:p>
            <w:pPr>
              <w:spacing w:after="0"/>
              <w:rPr>
                <w:sz w:val="1"/>
                <w:szCs w:val="1"/>
                <w:color w:val="auto"/>
              </w:rPr>
            </w:pPr>
          </w:p>
        </w:tc>
      </w:tr>
      <w:tr>
        <w:trPr>
          <w:trHeight w:val="586"/>
        </w:trPr>
        <w:tc>
          <w:tcPr>
            <w:tcW w:w="7580" w:type="dxa"/>
            <w:vAlign w:val="bottom"/>
          </w:tcPr>
          <w:p>
            <w:pPr>
              <w:spacing w:after="0"/>
              <w:rPr>
                <w:sz w:val="20"/>
                <w:szCs w:val="20"/>
                <w:color w:val="auto"/>
              </w:rPr>
            </w:pPr>
            <w:r>
              <w:rPr>
                <w:rFonts w:ascii="Arial" w:cs="Arial" w:eastAsia="Arial" w:hAnsi="Arial"/>
                <w:sz w:val="14"/>
                <w:szCs w:val="14"/>
                <w:color w:val="auto"/>
              </w:rPr>
              <w:t>(in thousands, except for ratio amounts)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7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 xml:space="preserve">INTEREST COVERAGE RATIO </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104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8"/>
        </w:trPr>
        <w:tc>
          <w:tcPr>
            <w:tcW w:w="7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30-Sep-26</w:t>
            </w:r>
          </w:p>
        </w:tc>
        <w:tc>
          <w:tcPr>
            <w:tcW w:w="300" w:type="dxa"/>
            <w:vAlign w:val="bottom"/>
          </w:tcPr>
          <w:p>
            <w:pPr>
              <w:spacing w:after="0"/>
              <w:rPr>
                <w:sz w:val="18"/>
                <w:szCs w:val="18"/>
                <w:color w:val="auto"/>
              </w:rPr>
            </w:pPr>
          </w:p>
        </w:tc>
        <w:tc>
          <w:tcPr>
            <w:tcW w:w="1400" w:type="dxa"/>
            <w:vAlign w:val="bottom"/>
          </w:tcPr>
          <w:p>
            <w:pPr>
              <w:jc w:val="right"/>
              <w:ind w:right="448"/>
              <w:spacing w:after="0"/>
              <w:rPr>
                <w:sz w:val="20"/>
                <w:szCs w:val="20"/>
                <w:color w:val="auto"/>
              </w:rPr>
            </w:pPr>
            <w:r>
              <w:rPr>
                <w:rFonts w:ascii="Arial" w:cs="Arial" w:eastAsia="Arial" w:hAnsi="Arial"/>
                <w:sz w:val="14"/>
                <w:szCs w:val="14"/>
                <w:b w:val="1"/>
                <w:bCs w:val="1"/>
                <w:color w:val="auto"/>
              </w:rPr>
              <w:t>30-Jun-26</w:t>
            </w:r>
          </w:p>
        </w:tc>
        <w:tc>
          <w:tcPr>
            <w:tcW w:w="0" w:type="dxa"/>
            <w:vAlign w:val="bottom"/>
          </w:tcPr>
          <w:p>
            <w:pPr>
              <w:spacing w:after="0"/>
              <w:rPr>
                <w:sz w:val="1"/>
                <w:szCs w:val="1"/>
                <w:color w:val="auto"/>
              </w:rPr>
            </w:pPr>
          </w:p>
        </w:tc>
      </w:tr>
      <w:tr>
        <w:trPr>
          <w:trHeight w:val="229"/>
        </w:trPr>
        <w:tc>
          <w:tcPr>
            <w:tcW w:w="7580" w:type="dxa"/>
            <w:vAlign w:val="bottom"/>
          </w:tcPr>
          <w:p>
            <w:pPr>
              <w:ind w:left="20"/>
              <w:spacing w:after="0"/>
              <w:rPr>
                <w:sz w:val="20"/>
                <w:szCs w:val="20"/>
                <w:color w:val="auto"/>
              </w:rPr>
            </w:pPr>
            <w:r>
              <w:rPr>
                <w:rFonts w:ascii="Arial" w:cs="Arial" w:eastAsia="Arial" w:hAnsi="Arial"/>
                <w:sz w:val="14"/>
                <w:szCs w:val="14"/>
                <w:color w:val="auto"/>
              </w:rPr>
              <w:t xml:space="preserve">BXP’s Share of interest expense </w:t>
            </w:r>
            <w:r>
              <w:rPr>
                <w:rFonts w:ascii="Arial" w:cs="Arial" w:eastAsia="Arial" w:hAnsi="Arial"/>
                <w:sz w:val="18"/>
                <w:szCs w:val="18"/>
                <w:color w:val="auto"/>
                <w:vertAlign w:val="superscript"/>
              </w:rPr>
              <w:t>1</w:t>
            </w: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161,904</w:t>
            </w:r>
          </w:p>
        </w:tc>
        <w:tc>
          <w:tcPr>
            <w:tcW w:w="260" w:type="dxa"/>
            <w:vAlign w:val="bottom"/>
          </w:tcPr>
          <w:p>
            <w:pPr>
              <w:spacing w:after="0"/>
              <w:rPr>
                <w:sz w:val="19"/>
                <w:szCs w:val="19"/>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156,527</w:t>
            </w:r>
          </w:p>
        </w:tc>
        <w:tc>
          <w:tcPr>
            <w:tcW w:w="0" w:type="dxa"/>
            <w:vAlign w:val="bottom"/>
          </w:tcPr>
          <w:p>
            <w:pPr>
              <w:spacing w:after="0"/>
              <w:rPr>
                <w:sz w:val="1"/>
                <w:szCs w:val="1"/>
                <w:color w:val="auto"/>
              </w:rPr>
            </w:pPr>
          </w:p>
        </w:tc>
      </w:tr>
      <w:tr>
        <w:trPr>
          <w:trHeight w:val="190"/>
        </w:trPr>
        <w:tc>
          <w:tcPr>
            <w:tcW w:w="7580" w:type="dxa"/>
            <w:vAlign w:val="bottom"/>
          </w:tcPr>
          <w:p>
            <w:pPr>
              <w:ind w:left="20"/>
              <w:spacing w:after="0"/>
              <w:rPr>
                <w:sz w:val="20"/>
                <w:szCs w:val="20"/>
                <w:color w:val="auto"/>
              </w:rPr>
            </w:pPr>
            <w:r>
              <w:rPr>
                <w:rFonts w:ascii="Arial" w:cs="Arial" w:eastAsia="Arial" w:hAnsi="Arial"/>
                <w:sz w:val="14"/>
                <w:szCs w:val="14"/>
                <w:color w:val="auto"/>
              </w:rPr>
              <w:t>Less: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20"/>
              <w:spacing w:after="0"/>
              <w:rPr>
                <w:sz w:val="20"/>
                <w:szCs w:val="20"/>
                <w:color w:val="auto"/>
              </w:rPr>
            </w:pPr>
            <w:r>
              <w:rPr>
                <w:rFonts w:ascii="Arial" w:cs="Arial" w:eastAsia="Arial" w:hAnsi="Arial"/>
                <w:sz w:val="14"/>
                <w:szCs w:val="14"/>
                <w:color w:val="auto"/>
              </w:rPr>
              <w:t xml:space="preserve">BXP’s Share of hedge amortization, net of costs </w:t>
            </w:r>
            <w:r>
              <w:rPr>
                <w:rFonts w:ascii="Arial" w:cs="Arial" w:eastAsia="Arial" w:hAnsi="Arial"/>
                <w:sz w:val="18"/>
                <w:szCs w:val="18"/>
                <w:color w:val="auto"/>
                <w:vertAlign w:val="superscript"/>
              </w:rPr>
              <w:t>1</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877</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1,714</w:t>
            </w: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Arial" w:cs="Arial" w:eastAsia="Arial" w:hAnsi="Arial"/>
                <w:sz w:val="14"/>
                <w:szCs w:val="14"/>
                <w:color w:val="auto"/>
              </w:rPr>
              <w:t xml:space="preserve">BXP’s Share of fair value interest adjustment </w:t>
            </w:r>
            <w:r>
              <w:rPr>
                <w:rFonts w:ascii="Arial" w:cs="Arial" w:eastAsia="Arial" w:hAnsi="Arial"/>
                <w:sz w:val="18"/>
                <w:szCs w:val="18"/>
                <w:color w:val="auto"/>
                <w:vertAlign w:val="superscript"/>
              </w:rPr>
              <w:t>1</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01"/>
        </w:trPr>
        <w:tc>
          <w:tcPr>
            <w:tcW w:w="7580" w:type="dxa"/>
            <w:vAlign w:val="bottom"/>
          </w:tcPr>
          <w:p>
            <w:pPr>
              <w:ind w:left="220"/>
              <w:spacing w:after="0" w:line="201" w:lineRule="exact"/>
              <w:rPr>
                <w:sz w:val="20"/>
                <w:szCs w:val="20"/>
                <w:color w:val="auto"/>
              </w:rPr>
            </w:pPr>
            <w:r>
              <w:rPr>
                <w:rFonts w:ascii="Arial" w:cs="Arial" w:eastAsia="Arial" w:hAnsi="Arial"/>
                <w:sz w:val="14"/>
                <w:szCs w:val="14"/>
                <w:color w:val="auto"/>
              </w:rPr>
              <w:t xml:space="preserve">BXP’s Share of amortization of financing costs </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7,937</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5,724</w:t>
            </w:r>
          </w:p>
        </w:tc>
        <w:tc>
          <w:tcPr>
            <w:tcW w:w="0" w:type="dxa"/>
            <w:vAlign w:val="bottom"/>
          </w:tcPr>
          <w:p>
            <w:pPr>
              <w:spacing w:after="0"/>
              <w:rPr>
                <w:sz w:val="1"/>
                <w:szCs w:val="1"/>
                <w:color w:val="auto"/>
              </w:rPr>
            </w:pPr>
          </w:p>
        </w:tc>
      </w:tr>
      <w:tr>
        <w:trPr>
          <w:trHeight w:val="208"/>
        </w:trPr>
        <w:tc>
          <w:tcPr>
            <w:tcW w:w="7580" w:type="dxa"/>
            <w:vAlign w:val="bottom"/>
          </w:tcPr>
          <w:p>
            <w:pPr>
              <w:ind w:left="20"/>
              <w:spacing w:after="0"/>
              <w:rPr>
                <w:sz w:val="20"/>
                <w:szCs w:val="20"/>
                <w:color w:val="auto"/>
              </w:rPr>
            </w:pPr>
            <w:r>
              <w:rPr>
                <w:rFonts w:ascii="Arial" w:cs="Arial" w:eastAsia="Arial" w:hAnsi="Arial"/>
                <w:sz w:val="14"/>
                <w:szCs w:val="14"/>
                <w:color w:val="auto"/>
              </w:rPr>
              <w:t xml:space="preserve">Adjusted interest expense excluding capitalized interest </w:t>
            </w:r>
            <w:r>
              <w:rPr>
                <w:rFonts w:ascii="Arial" w:cs="Arial" w:eastAsia="Arial" w:hAnsi="Arial"/>
                <w:sz w:val="14"/>
                <w:szCs w:val="14"/>
                <w:b w:val="1"/>
                <w:bCs w:val="1"/>
                <w:color w:val="auto"/>
              </w:rPr>
              <w:t>(A)</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152,830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148,829</w:t>
            </w:r>
          </w:p>
        </w:tc>
        <w:tc>
          <w:tcPr>
            <w:tcW w:w="0" w:type="dxa"/>
            <w:vAlign w:val="bottom"/>
          </w:tcPr>
          <w:p>
            <w:pPr>
              <w:spacing w:after="0"/>
              <w:rPr>
                <w:sz w:val="1"/>
                <w:szCs w:val="1"/>
                <w:color w:val="auto"/>
              </w:rPr>
            </w:pPr>
          </w:p>
        </w:tc>
      </w:tr>
      <w:tr>
        <w:trPr>
          <w:trHeight w:val="210"/>
        </w:trPr>
        <w:tc>
          <w:tcPr>
            <w:tcW w:w="7580" w:type="dxa"/>
            <w:vAlign w:val="bottom"/>
          </w:tcPr>
          <w:p>
            <w:pPr>
              <w:ind w:left="20"/>
              <w:spacing w:after="0"/>
              <w:rPr>
                <w:sz w:val="20"/>
                <w:szCs w:val="20"/>
                <w:color w:val="auto"/>
              </w:rPr>
            </w:pPr>
            <w:r>
              <w:rPr>
                <w:rFonts w:ascii="Arial" w:cs="Arial" w:eastAsia="Arial" w:hAnsi="Arial"/>
                <w:sz w:val="14"/>
                <w:szCs w:val="14"/>
                <w:color w:val="auto"/>
              </w:rPr>
              <w:t>Add:</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80" w:type="dxa"/>
            <w:vAlign w:val="bottom"/>
          </w:tcPr>
          <w:p>
            <w:pPr>
              <w:ind w:left="220"/>
              <w:spacing w:after="0"/>
              <w:rPr>
                <w:sz w:val="20"/>
                <w:szCs w:val="20"/>
                <w:color w:val="auto"/>
              </w:rPr>
            </w:pPr>
            <w:r>
              <w:rPr>
                <w:rFonts w:ascii="Arial" w:cs="Arial" w:eastAsia="Arial" w:hAnsi="Arial"/>
                <w:sz w:val="14"/>
                <w:szCs w:val="14"/>
                <w:color w:val="auto"/>
              </w:rPr>
              <w:t xml:space="preserve">BXP’s Share of capitalized interest </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14,169</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12,860</w:t>
            </w:r>
          </w:p>
        </w:tc>
        <w:tc>
          <w:tcPr>
            <w:tcW w:w="0" w:type="dxa"/>
            <w:vAlign w:val="bottom"/>
          </w:tcPr>
          <w:p>
            <w:pPr>
              <w:spacing w:after="0"/>
              <w:rPr>
                <w:sz w:val="1"/>
                <w:szCs w:val="1"/>
                <w:color w:val="auto"/>
              </w:rPr>
            </w:pPr>
          </w:p>
        </w:tc>
      </w:tr>
      <w:tr>
        <w:trPr>
          <w:trHeight w:val="209"/>
        </w:trPr>
        <w:tc>
          <w:tcPr>
            <w:tcW w:w="7580" w:type="dxa"/>
            <w:vAlign w:val="bottom"/>
          </w:tcPr>
          <w:p>
            <w:pPr>
              <w:ind w:left="20"/>
              <w:spacing w:after="0"/>
              <w:rPr>
                <w:sz w:val="20"/>
                <w:szCs w:val="20"/>
                <w:color w:val="auto"/>
              </w:rPr>
            </w:pPr>
            <w:r>
              <w:rPr>
                <w:rFonts w:ascii="Arial" w:cs="Arial" w:eastAsia="Arial" w:hAnsi="Arial"/>
                <w:sz w:val="14"/>
                <w:szCs w:val="14"/>
                <w:color w:val="auto"/>
              </w:rPr>
              <w:t xml:space="preserve">Adjusted interest expense including capitalized interest </w:t>
            </w:r>
            <w:r>
              <w:rPr>
                <w:rFonts w:ascii="Arial" w:cs="Arial" w:eastAsia="Arial" w:hAnsi="Arial"/>
                <w:sz w:val="14"/>
                <w:szCs w:val="14"/>
                <w:b w:val="1"/>
                <w:bCs w:val="1"/>
                <w:color w:val="auto"/>
              </w:rPr>
              <w:t>(B)</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166,999</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161,689</w:t>
            </w:r>
          </w:p>
        </w:tc>
        <w:tc>
          <w:tcPr>
            <w:tcW w:w="0" w:type="dxa"/>
            <w:vAlign w:val="bottom"/>
          </w:tcPr>
          <w:p>
            <w:pPr>
              <w:spacing w:after="0"/>
              <w:rPr>
                <w:sz w:val="1"/>
                <w:szCs w:val="1"/>
                <w:color w:val="auto"/>
              </w:rPr>
            </w:pPr>
          </w:p>
        </w:tc>
      </w:tr>
      <w:tr>
        <w:trPr>
          <w:trHeight w:val="21"/>
        </w:trPr>
        <w:tc>
          <w:tcPr>
            <w:tcW w:w="7580" w:type="dxa"/>
            <w:vAlign w:val="bottom"/>
            <w:vMerge w:val="restart"/>
          </w:tcPr>
          <w:p>
            <w:pPr>
              <w:ind w:left="20"/>
              <w:spacing w:after="0"/>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t>
            </w:r>
            <w:r>
              <w:rPr>
                <w:rFonts w:ascii="Arial" w:cs="Arial" w:eastAsia="Arial" w:hAnsi="Arial"/>
                <w:sz w:val="12"/>
                <w:szCs w:val="12"/>
                <w:color w:val="auto"/>
              </w:rPr>
              <w:t>–</w:t>
            </w:r>
            <w:r>
              <w:rPr>
                <w:rFonts w:ascii="Arial" w:cs="Arial" w:eastAsia="Arial" w:hAnsi="Arial"/>
                <w:sz w:val="14"/>
                <w:szCs w:val="14"/>
                <w:color w:val="auto"/>
              </w:rPr>
              <w:t xml:space="preserve"> cash </w:t>
            </w:r>
            <w:r>
              <w:rPr>
                <w:rFonts w:ascii="Arial" w:cs="Arial" w:eastAsia="Arial" w:hAnsi="Arial"/>
                <w:sz w:val="18"/>
                <w:szCs w:val="18"/>
                <w:color w:val="auto"/>
                <w:vertAlign w:val="superscript"/>
              </w:rPr>
              <w:t>1, 2</w:t>
            </w:r>
            <w:r>
              <w:rPr>
                <w:rFonts w:ascii="Arial" w:cs="Arial" w:eastAsia="Arial" w:hAnsi="Arial"/>
                <w:sz w:val="14"/>
                <w:szCs w:val="14"/>
                <w:color w:val="auto"/>
              </w:rPr>
              <w:t xml:space="preserve"> </w:t>
            </w:r>
            <w:r>
              <w:rPr>
                <w:rFonts w:ascii="Arial" w:cs="Arial" w:eastAsia="Arial" w:hAnsi="Arial"/>
                <w:sz w:val="14"/>
                <w:szCs w:val="14"/>
                <w:b w:val="1"/>
                <w:bCs w:val="1"/>
                <w:color w:val="auto"/>
              </w:rPr>
              <w:t>(C)</w:t>
            </w: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7580" w:type="dxa"/>
            <w:vAlign w:val="bottom"/>
            <w:vMerge w:val="continue"/>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455,876</w:t>
            </w:r>
          </w:p>
        </w:tc>
        <w:tc>
          <w:tcPr>
            <w:tcW w:w="260" w:type="dxa"/>
            <w:vAlign w:val="bottom"/>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464,516</w:t>
            </w:r>
          </w:p>
        </w:tc>
        <w:tc>
          <w:tcPr>
            <w:tcW w:w="0" w:type="dxa"/>
            <w:vAlign w:val="bottom"/>
          </w:tcPr>
          <w:p>
            <w:pPr>
              <w:spacing w:after="0"/>
              <w:rPr>
                <w:sz w:val="1"/>
                <w:szCs w:val="1"/>
                <w:color w:val="auto"/>
              </w:rPr>
            </w:pPr>
          </w:p>
        </w:tc>
      </w:tr>
      <w:tr>
        <w:trPr>
          <w:trHeight w:val="398"/>
        </w:trPr>
        <w:tc>
          <w:tcPr>
            <w:tcW w:w="7580" w:type="dxa"/>
            <w:vAlign w:val="bottom"/>
          </w:tcPr>
          <w:p>
            <w:pPr>
              <w:ind w:left="20"/>
              <w:spacing w:after="0"/>
              <w:rPr>
                <w:sz w:val="20"/>
                <w:szCs w:val="20"/>
                <w:color w:val="auto"/>
              </w:rPr>
            </w:pPr>
            <w:r>
              <w:rPr>
                <w:rFonts w:ascii="Arial" w:cs="Arial" w:eastAsia="Arial" w:hAnsi="Arial"/>
                <w:sz w:val="14"/>
                <w:szCs w:val="14"/>
                <w:color w:val="auto"/>
              </w:rPr>
              <w:t xml:space="preserve">Interest Coverage Ratio (excluding capitalized interest) </w:t>
            </w:r>
            <w:r>
              <w:rPr>
                <w:rFonts w:ascii="Arial" w:cs="Arial" w:eastAsia="Arial" w:hAnsi="Arial"/>
                <w:sz w:val="14"/>
                <w:szCs w:val="14"/>
                <w:b w:val="1"/>
                <w:bCs w:val="1"/>
                <w:color w:val="auto"/>
              </w:rPr>
              <w:t>(C÷A)</w:t>
            </w: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2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09"/>
        </w:trPr>
        <w:tc>
          <w:tcPr>
            <w:tcW w:w="7580" w:type="dxa"/>
            <w:vAlign w:val="bottom"/>
          </w:tcPr>
          <w:p>
            <w:pPr>
              <w:ind w:left="20"/>
              <w:spacing w:after="0"/>
              <w:rPr>
                <w:sz w:val="20"/>
                <w:szCs w:val="20"/>
                <w:color w:val="auto"/>
              </w:rPr>
            </w:pPr>
            <w:r>
              <w:rPr>
                <w:rFonts w:ascii="Arial" w:cs="Arial" w:eastAsia="Arial" w:hAnsi="Arial"/>
                <w:sz w:val="14"/>
                <w:szCs w:val="14"/>
                <w:color w:val="auto"/>
              </w:rPr>
              <w:t xml:space="preserve">Interest Coverage Ratio (including capitalized interest) </w:t>
            </w:r>
            <w:r>
              <w:rPr>
                <w:rFonts w:ascii="Arial" w:cs="Arial" w:eastAsia="Arial" w:hAnsi="Arial"/>
                <w:sz w:val="14"/>
                <w:szCs w:val="14"/>
                <w:b w:val="1"/>
                <w:bCs w:val="1"/>
                <w:color w:val="auto"/>
              </w:rPr>
              <w:t>(C÷B)</w:t>
            </w: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-3282950</wp:posOffset>
            </wp:positionV>
            <wp:extent cx="257175" cy="1625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FIXED CHARGE COVERAGE RATIO </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9" w:right="339" w:bottom="3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BXP’s Share of interest expense </w:t>
      </w:r>
      <w:r>
        <w:rPr>
          <w:rFonts w:ascii="Arial" w:cs="Arial" w:eastAsia="Arial" w:hAnsi="Arial"/>
          <w:sz w:val="18"/>
          <w:szCs w:val="18"/>
          <w:color w:val="auto"/>
          <w:vertAlign w:val="superscript"/>
        </w:rPr>
        <w:t>1</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BXP’s Share of hedge amortization, net of costs </w:t>
      </w:r>
      <w:r>
        <w:rPr>
          <w:rFonts w:ascii="Arial" w:cs="Arial" w:eastAsia="Arial" w:hAnsi="Arial"/>
          <w:sz w:val="18"/>
          <w:szCs w:val="18"/>
          <w:color w:val="auto"/>
          <w:vertAlign w:val="superscript"/>
        </w:rPr>
        <w:t>1</w:t>
      </w:r>
    </w:p>
    <w:p>
      <w:pPr>
        <w:spacing w:after="0" w:line="2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BXP’s Share of fair value interest adjustment </w:t>
      </w:r>
      <w:r>
        <w:rPr>
          <w:rFonts w:ascii="Arial" w:cs="Arial" w:eastAsia="Arial" w:hAnsi="Arial"/>
          <w:sz w:val="18"/>
          <w:szCs w:val="18"/>
          <w:color w:val="auto"/>
          <w:vertAlign w:val="superscript"/>
        </w:rPr>
        <w:t>1</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BXP’s Share of amortization of financing costs </w:t>
      </w:r>
      <w:r>
        <w:rPr>
          <w:rFonts w:ascii="Arial" w:cs="Arial" w:eastAsia="Arial" w:hAnsi="Arial"/>
          <w:sz w:val="18"/>
          <w:szCs w:val="18"/>
          <w:color w:val="auto"/>
          <w:vertAlign w:val="superscript"/>
        </w:rPr>
        <w:t>1</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Add:</w:t>
      </w:r>
    </w:p>
    <w:p>
      <w:pPr>
        <w:spacing w:after="0" w:line="39"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BXP’s Share of capitalized interest </w:t>
      </w:r>
      <w:r>
        <w:rPr>
          <w:rFonts w:ascii="Arial" w:cs="Arial" w:eastAsia="Arial" w:hAnsi="Arial"/>
          <w:sz w:val="18"/>
          <w:szCs w:val="18"/>
          <w:color w:val="auto"/>
          <w:vertAlign w:val="superscript"/>
        </w:rPr>
        <w:t>1</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BXP’s Share of maintenance capital expenditures </w:t>
      </w:r>
      <w:r>
        <w:rPr>
          <w:rFonts w:ascii="Arial" w:cs="Arial" w:eastAsia="Arial" w:hAnsi="Arial"/>
          <w:sz w:val="18"/>
          <w:szCs w:val="18"/>
          <w:color w:val="auto"/>
          <w:vertAlign w:val="superscript"/>
        </w:rPr>
        <w:t>1</w:t>
      </w:r>
    </w:p>
    <w:p>
      <w:pPr>
        <w:spacing w:after="0" w:line="17" w:lineRule="exact"/>
        <w:rPr>
          <w:sz w:val="20"/>
          <w:szCs w:val="20"/>
          <w:color w:val="auto"/>
        </w:rPr>
      </w:pPr>
    </w:p>
    <w:p>
      <w:pPr>
        <w:ind w:left="20" w:right="2780" w:firstLine="202"/>
        <w:spacing w:after="0" w:line="414" w:lineRule="auto"/>
        <w:rPr>
          <w:sz w:val="20"/>
          <w:szCs w:val="20"/>
          <w:color w:val="auto"/>
        </w:rPr>
      </w:pPr>
      <w:r>
        <w:rPr>
          <w:rFonts w:ascii="Arial" w:cs="Arial" w:eastAsia="Arial" w:hAnsi="Arial"/>
          <w:sz w:val="14"/>
          <w:szCs w:val="14"/>
          <w:color w:val="auto"/>
        </w:rPr>
        <w:t xml:space="preserve">Hotel improvements, equipment upgrades and replacements Total Fixed Charges </w:t>
      </w:r>
      <w:r>
        <w:rPr>
          <w:rFonts w:ascii="Arial" w:cs="Arial" w:eastAsia="Arial" w:hAnsi="Arial"/>
          <w:sz w:val="14"/>
          <w:szCs w:val="14"/>
          <w:b w:val="1"/>
          <w:bCs w:val="1"/>
          <w:color w:val="auto"/>
        </w:rPr>
        <w:t>(A)</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w:t>
      </w:r>
      <w:r>
        <w:rPr>
          <w:rFonts w:ascii="Arial" w:cs="Arial" w:eastAsia="Arial" w:hAnsi="Arial"/>
          <w:sz w:val="12"/>
          <w:szCs w:val="12"/>
          <w:color w:val="auto"/>
        </w:rPr>
        <w:t>–</w:t>
      </w:r>
      <w:r>
        <w:rPr>
          <w:rFonts w:ascii="Arial" w:cs="Arial" w:eastAsia="Arial" w:hAnsi="Arial"/>
          <w:sz w:val="14"/>
          <w:szCs w:val="14"/>
          <w:color w:val="auto"/>
        </w:rPr>
        <w:t xml:space="preserve"> cash </w:t>
      </w:r>
      <w:r>
        <w:rPr>
          <w:rFonts w:ascii="Arial" w:cs="Arial" w:eastAsia="Arial" w:hAnsi="Arial"/>
          <w:sz w:val="18"/>
          <w:szCs w:val="18"/>
          <w:color w:val="auto"/>
          <w:vertAlign w:val="superscript"/>
        </w:rPr>
        <w:t>1, 2</w:t>
      </w:r>
      <w:r>
        <w:rPr>
          <w:rFonts w:ascii="Arial" w:cs="Arial" w:eastAsia="Arial" w:hAnsi="Arial"/>
          <w:sz w:val="14"/>
          <w:szCs w:val="14"/>
          <w:color w:val="auto"/>
        </w:rPr>
        <w:t xml:space="preserve"> </w:t>
      </w:r>
      <w:r>
        <w:rPr>
          <w:rFonts w:ascii="Arial" w:cs="Arial" w:eastAsia="Arial" w:hAnsi="Arial"/>
          <w:sz w:val="14"/>
          <w:szCs w:val="14"/>
          <w:b w:val="1"/>
          <w:bCs w:val="1"/>
          <w:color w:val="auto"/>
        </w:rPr>
        <w:t>(B)</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Fixed Charge Coverage Ratio </w:t>
      </w:r>
      <w:r>
        <w:rPr>
          <w:rFonts w:ascii="Arial" w:cs="Arial" w:eastAsia="Arial" w:hAnsi="Arial"/>
          <w:sz w:val="14"/>
          <w:szCs w:val="14"/>
          <w:b w:val="1"/>
          <w:bCs w:val="1"/>
          <w:color w:val="auto"/>
        </w:rPr>
        <w:t>(B÷A)</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1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23495</wp:posOffset>
            </wp:positionV>
            <wp:extent cx="23228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0" w:type="dxa"/>
            <w:vAlign w:val="bottom"/>
          </w:tcPr>
          <w:p>
            <w:pPr>
              <w:spacing w:after="0"/>
              <w:rPr>
                <w:sz w:val="17"/>
                <w:szCs w:val="17"/>
                <w:color w:val="auto"/>
              </w:rPr>
            </w:pP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30-Sep-26</w:t>
            </w:r>
          </w:p>
        </w:tc>
        <w:tc>
          <w:tcPr>
            <w:tcW w:w="300" w:type="dxa"/>
            <w:vAlign w:val="bottom"/>
          </w:tcPr>
          <w:p>
            <w:pPr>
              <w:spacing w:after="0"/>
              <w:rPr>
                <w:sz w:val="17"/>
                <w:szCs w:val="17"/>
                <w:color w:val="auto"/>
              </w:rPr>
            </w:pPr>
          </w:p>
        </w:tc>
        <w:tc>
          <w:tcPr>
            <w:tcW w:w="1400" w:type="dxa"/>
            <w:vAlign w:val="bottom"/>
          </w:tcPr>
          <w:p>
            <w:pPr>
              <w:jc w:val="right"/>
              <w:ind w:right="448"/>
              <w:spacing w:after="0"/>
              <w:rPr>
                <w:sz w:val="20"/>
                <w:szCs w:val="20"/>
                <w:color w:val="auto"/>
              </w:rPr>
            </w:pPr>
            <w:r>
              <w:rPr>
                <w:rFonts w:ascii="Arial" w:cs="Arial" w:eastAsia="Arial" w:hAnsi="Arial"/>
                <w:sz w:val="14"/>
                <w:szCs w:val="14"/>
                <w:b w:val="1"/>
                <w:bCs w:val="1"/>
                <w:color w:val="auto"/>
              </w:rPr>
              <w:t>30-Jun-26</w:t>
            </w:r>
          </w:p>
        </w:tc>
      </w:tr>
      <w:tr>
        <w:trPr>
          <w:trHeight w:val="202"/>
        </w:trPr>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161,904</w:t>
            </w:r>
          </w:p>
        </w:tc>
        <w:tc>
          <w:tcPr>
            <w:tcW w:w="260" w:type="dxa"/>
            <w:vAlign w:val="bottom"/>
          </w:tcPr>
          <w:p>
            <w:pPr>
              <w:spacing w:after="0"/>
              <w:rPr>
                <w:sz w:val="17"/>
                <w:szCs w:val="17"/>
                <w:color w:val="auto"/>
              </w:rPr>
            </w:pPr>
          </w:p>
        </w:tc>
        <w:tc>
          <w:tcPr>
            <w:tcW w:w="30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156,527</w:t>
            </w:r>
          </w:p>
        </w:tc>
      </w:tr>
      <w:tr>
        <w:trPr>
          <w:trHeight w:val="432"/>
        </w:trPr>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877</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1,714</w:t>
            </w:r>
          </w:p>
        </w:tc>
      </w:tr>
      <w:tr>
        <w:trPr>
          <w:trHeight w:val="216"/>
        </w:trPr>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260</w:t>
            </w:r>
          </w:p>
        </w:tc>
      </w:tr>
      <w:tr>
        <w:trPr>
          <w:trHeight w:val="216"/>
        </w:trPr>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7,937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5,724</w:t>
            </w:r>
          </w:p>
        </w:tc>
      </w:tr>
      <w:tr>
        <w:trPr>
          <w:trHeight w:val="432"/>
        </w:trPr>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14,169</w:t>
            </w: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12,860</w:t>
            </w:r>
          </w:p>
        </w:tc>
      </w:tr>
      <w:tr>
        <w:trPr>
          <w:trHeight w:val="216"/>
        </w:trPr>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14,153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14,617</w:t>
            </w:r>
          </w:p>
        </w:tc>
      </w:tr>
      <w:tr>
        <w:trPr>
          <w:trHeight w:val="220"/>
        </w:trPr>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1,285</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1,259</w:t>
            </w:r>
          </w:p>
        </w:tc>
      </w:tr>
      <w:tr>
        <w:trPr>
          <w:trHeight w:val="210"/>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182,437</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177,565</w:t>
            </w:r>
          </w:p>
        </w:tc>
      </w:tr>
      <w:tr>
        <w:trPr>
          <w:trHeight w:val="25"/>
        </w:trPr>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381"/>
        </w:trPr>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455,876</w:t>
            </w:r>
          </w:p>
        </w:tc>
        <w:tc>
          <w:tcPr>
            <w:tcW w:w="260" w:type="dxa"/>
            <w:vAlign w:val="bottom"/>
          </w:tcPr>
          <w:p>
            <w:pPr>
              <w:spacing w:after="0"/>
              <w:rPr>
                <w:sz w:val="24"/>
                <w:szCs w:val="24"/>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464,516</w:t>
            </w:r>
          </w:p>
        </w:tc>
      </w:tr>
      <w:tr>
        <w:trPr>
          <w:trHeight w:val="209"/>
        </w:trPr>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w:t>
            </w:r>
          </w:p>
        </w:tc>
      </w:tr>
    </w:tbl>
    <w:p>
      <w:pPr>
        <w:spacing w:after="0" w:line="200" w:lineRule="exact"/>
        <w:rPr>
          <w:sz w:val="20"/>
          <w:szCs w:val="20"/>
          <w:color w:val="auto"/>
        </w:rPr>
      </w:pPr>
    </w:p>
    <w:p>
      <w:pPr>
        <w:sectPr>
          <w:pgSz w:w="11900" w:h="16838" w:orient="portrait"/>
          <w:cols w:equalWidth="0" w:num="2">
            <w:col w:w="6860" w:space="720"/>
            <w:col w:w="3660"/>
          </w:cols>
          <w:pgMar w:left="320" w:top="279" w:right="339" w:bottom="3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160" w:hanging="71"/>
        <w:spacing w:after="0"/>
        <w:tabs>
          <w:tab w:leader="none" w:pos="160" w:val="left"/>
        </w:tabs>
        <w:numPr>
          <w:ilvl w:val="0"/>
          <w:numId w:val="85"/>
        </w:numPr>
        <w:rPr>
          <w:rFonts w:ascii="Arial" w:cs="Arial" w:eastAsia="Arial" w:hAnsi="Arial"/>
          <w:sz w:val="9"/>
          <w:szCs w:val="9"/>
          <w:color w:val="auto"/>
        </w:rPr>
      </w:pPr>
      <w:r>
        <w:rPr>
          <w:rFonts w:ascii="Arial" w:cs="Arial" w:eastAsia="Arial" w:hAnsi="Arial"/>
          <w:sz w:val="14"/>
          <w:szCs w:val="14"/>
          <w:color w:val="auto"/>
        </w:rPr>
        <w:t>See the Definitions and Reconciliations sections of this Supplemental package starting on page 56.</w:t>
      </w:r>
    </w:p>
    <w:p>
      <w:pPr>
        <w:spacing w:after="0" w:line="52" w:lineRule="exact"/>
        <w:rPr>
          <w:rFonts w:ascii="Arial" w:cs="Arial" w:eastAsia="Arial" w:hAnsi="Arial"/>
          <w:sz w:val="9"/>
          <w:szCs w:val="9"/>
          <w:color w:val="auto"/>
        </w:rPr>
      </w:pPr>
    </w:p>
    <w:p>
      <w:pPr>
        <w:ind w:left="80"/>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For a quantitative reconciliation of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 cash, see page 31.</w:t>
      </w:r>
    </w:p>
    <w:p>
      <w:pPr>
        <w:sectPr>
          <w:pgSz w:w="11900" w:h="16838" w:orient="portrait"/>
          <w:cols w:equalWidth="0" w:num="1">
            <w:col w:w="11240"/>
          </w:cols>
          <w:pgMar w:left="320" w:top="279" w:right="339" w:bottom="39"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279" w:right="339" w:bottom="39" w:gutter="0" w:footer="0" w:header="0"/>
          <w:type w:val="continuous"/>
        </w:sectPr>
      </w:pPr>
    </w:p>
    <w:bookmarkStart w:id="40" w:name="page41"/>
    <w:bookmarkEnd w:id="40"/>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Consolidated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in thousands)</w:t>
      </w:r>
    </w:p>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BALANCE SHEET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343 Madison</w:t>
            </w:r>
          </w:p>
        </w:tc>
        <w:tc>
          <w:tcPr>
            <w:tcW w:w="120" w:type="dxa"/>
            <w:vAlign w:val="bottom"/>
          </w:tcPr>
          <w:p>
            <w:pPr>
              <w:spacing w:after="0"/>
              <w:rPr>
                <w:sz w:val="17"/>
                <w:szCs w:val="17"/>
                <w:color w:val="auto"/>
              </w:rPr>
            </w:pPr>
          </w:p>
        </w:tc>
        <w:tc>
          <w:tcPr>
            <w:tcW w:w="1500" w:type="dxa"/>
            <w:vAlign w:val="bottom"/>
          </w:tcPr>
          <w:p>
            <w:pPr>
              <w:jc w:val="center"/>
              <w:ind w:right="48"/>
              <w:spacing w:after="0"/>
              <w:rPr>
                <w:sz w:val="20"/>
                <w:szCs w:val="20"/>
                <w:color w:val="auto"/>
              </w:rPr>
            </w:pPr>
            <w:r>
              <w:rPr>
                <w:rFonts w:ascii="Arial" w:cs="Arial" w:eastAsia="Arial" w:hAnsi="Arial"/>
                <w:sz w:val="14"/>
                <w:szCs w:val="14"/>
                <w:b w:val="1"/>
                <w:bCs w:val="1"/>
                <w:color w:val="auto"/>
              </w:rPr>
              <w:t>767 Fifth Avenue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Norges</w:t>
            </w:r>
          </w:p>
        </w:tc>
        <w:tc>
          <w:tcPr>
            <w:tcW w:w="120" w:type="dxa"/>
            <w:vAlign w:val="bottom"/>
          </w:tcPr>
          <w:p>
            <w:pPr>
              <w:spacing w:after="0"/>
              <w:rPr>
                <w:sz w:val="17"/>
                <w:szCs w:val="17"/>
                <w:color w:val="auto"/>
              </w:rPr>
            </w:pPr>
          </w:p>
        </w:tc>
        <w:tc>
          <w:tcPr>
            <w:tcW w:w="1480" w:type="dxa"/>
            <w:vAlign w:val="bottom"/>
          </w:tcPr>
          <w:p>
            <w:pPr>
              <w:jc w:val="right"/>
              <w:ind w:right="88"/>
              <w:spacing w:after="0"/>
              <w:rPr>
                <w:sz w:val="20"/>
                <w:szCs w:val="20"/>
                <w:color w:val="auto"/>
              </w:rPr>
            </w:pPr>
            <w:r>
              <w:rPr>
                <w:rFonts w:ascii="Arial" w:cs="Arial" w:eastAsia="Arial" w:hAnsi="Arial"/>
                <w:sz w:val="14"/>
                <w:szCs w:val="14"/>
                <w:b w:val="1"/>
                <w:bCs w:val="1"/>
                <w:color w:val="auto"/>
              </w:rPr>
              <w:t>Total Consolidated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 xml:space="preserve">Avenue </w:t>
            </w:r>
            <w:r>
              <w:rPr>
                <w:rFonts w:ascii="Arial" w:cs="Arial" w:eastAsia="Arial" w:hAnsi="Arial"/>
                <w:sz w:val="9"/>
                <w:szCs w:val="9"/>
                <w:b w:val="1"/>
                <w:bCs w:val="1"/>
                <w:color w:val="auto"/>
              </w:rPr>
              <w:t>1, 2</w:t>
            </w: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 xml:space="preserve">(The GM Building) </w:t>
            </w:r>
            <w:r>
              <w:rPr>
                <w:rFonts w:ascii="Arial" w:cs="Arial" w:eastAsia="Arial" w:hAnsi="Arial"/>
                <w:sz w:val="9"/>
                <w:szCs w:val="9"/>
                <w:b w:val="1"/>
                <w:bCs w:val="1"/>
                <w:color w:val="auto"/>
              </w:rPr>
              <w:t>1</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 xml:space="preserve">Joint Ventures </w:t>
            </w:r>
            <w:r>
              <w:rPr>
                <w:rFonts w:ascii="Arial" w:cs="Arial" w:eastAsia="Arial" w:hAnsi="Arial"/>
                <w:sz w:val="9"/>
                <w:szCs w:val="9"/>
                <w:b w:val="1"/>
                <w:bCs w:val="1"/>
                <w:color w:val="auto"/>
              </w:rPr>
              <w:t>1, 3</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Joint Ventures</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4080" w:type="dxa"/>
            <w:vAlign w:val="bottom"/>
          </w:tcPr>
          <w:p>
            <w:pPr>
              <w:ind w:left="20"/>
              <w:spacing w:after="0"/>
              <w:rPr>
                <w:sz w:val="20"/>
                <w:szCs w:val="20"/>
                <w:color w:val="auto"/>
              </w:rPr>
            </w:pPr>
            <w:r>
              <w:rPr>
                <w:rFonts w:ascii="Arial" w:cs="Arial" w:eastAsia="Arial" w:hAnsi="Arial"/>
                <w:sz w:val="14"/>
                <w:szCs w:val="14"/>
                <w:color w:val="auto"/>
              </w:rPr>
              <w:t>Real estate,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591,259</w:t>
            </w:r>
          </w:p>
        </w:tc>
        <w:tc>
          <w:tcPr>
            <w:tcW w:w="1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3,148,753</w:t>
            </w:r>
          </w:p>
        </w:tc>
        <w:tc>
          <w:tcPr>
            <w:tcW w:w="1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3,245,245</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6,985,257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spacing w:after="0"/>
              <w:rPr>
                <w:sz w:val="18"/>
                <w:szCs w:val="18"/>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25,921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55,081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212,001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293,003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8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87,231</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338,050</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503,242</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928,523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76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704,411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3,541,884</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3,960,488</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8,206,783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40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80" w:type="dxa"/>
            <w:vAlign w:val="bottom"/>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4"/>
                <w:szCs w:val="14"/>
                <w:color w:val="auto"/>
              </w:rPr>
              <w:t>Mortgage notes payable,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16,139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2,297,608</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992,889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3,306,636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80" w:type="dxa"/>
            <w:vAlign w:val="bottom"/>
          </w:tcPr>
          <w:p>
            <w:pPr>
              <w:ind w:left="220"/>
              <w:spacing w:after="0"/>
              <w:rPr>
                <w:sz w:val="20"/>
                <w:szCs w:val="20"/>
                <w:color w:val="auto"/>
              </w:rPr>
            </w:pPr>
            <w:r>
              <w:rPr>
                <w:rFonts w:ascii="Arial" w:cs="Arial" w:eastAsia="Arial" w:hAnsi="Arial"/>
                <w:sz w:val="14"/>
                <w:szCs w:val="14"/>
                <w:color w:val="auto"/>
              </w:rPr>
              <w:t>Other liabilities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259,200</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53,063</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165,087</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477,350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4080" w:type="dxa"/>
            <w:vAlign w:val="bottom"/>
          </w:tcPr>
          <w:p>
            <w:pPr>
              <w:ind w:left="48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275,339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2,350,671</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1,157,976</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3,783,986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080" w:type="dxa"/>
            <w:vAlign w:val="bottom"/>
          </w:tcPr>
          <w:p>
            <w:pPr>
              <w:ind w:left="20"/>
              <w:spacing w:after="0"/>
              <w:rPr>
                <w:sz w:val="20"/>
                <w:szCs w:val="20"/>
                <w:color w:val="auto"/>
              </w:rPr>
            </w:pPr>
            <w:r>
              <w:rPr>
                <w:rFonts w:ascii="Arial" w:cs="Arial" w:eastAsia="Arial" w:hAnsi="Arial"/>
                <w:sz w:val="14"/>
                <w:szCs w:val="14"/>
                <w:color w:val="auto"/>
              </w:rPr>
              <w:t>Equity:</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140"/>
              <w:spacing w:after="0"/>
              <w:rPr>
                <w:sz w:val="20"/>
                <w:szCs w:val="20"/>
                <w:color w:val="auto"/>
              </w:rPr>
            </w:pPr>
            <w:r>
              <w:rPr>
                <w:rFonts w:ascii="Arial" w:cs="Arial" w:eastAsia="Arial" w:hAnsi="Arial"/>
                <w:sz w:val="14"/>
                <w:szCs w:val="14"/>
                <w:color w:val="auto"/>
              </w:rPr>
              <w:t>BXP, Inc.</w:t>
            </w:r>
          </w:p>
        </w:tc>
        <w:tc>
          <w:tcPr>
            <w:tcW w:w="240" w:type="dxa"/>
            <w:vAlign w:val="bottom"/>
          </w:tcPr>
          <w:p>
            <w:pPr>
              <w:spacing w:after="0"/>
              <w:rPr>
                <w:sz w:val="18"/>
                <w:szCs w:val="18"/>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383,715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716,168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1,265,625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2,365,508</w:t>
            </w:r>
          </w:p>
        </w:tc>
        <w:tc>
          <w:tcPr>
            <w:tcW w:w="80" w:type="dxa"/>
            <w:vAlign w:val="bottom"/>
            <w:vMerge w:val="restart"/>
          </w:tcPr>
          <w:p>
            <w:pPr>
              <w:jc w:val="right"/>
              <w:spacing w:after="0"/>
              <w:rPr>
                <w:sz w:val="20"/>
                <w:szCs w:val="20"/>
                <w:color w:val="auto"/>
              </w:rPr>
            </w:pP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220"/>
        </w:trPr>
        <w:tc>
          <w:tcPr>
            <w:tcW w:w="4080" w:type="dxa"/>
            <w:vAlign w:val="bottom"/>
          </w:tcPr>
          <w:p>
            <w:pPr>
              <w:ind w:left="140"/>
              <w:spacing w:after="0"/>
              <w:rPr>
                <w:sz w:val="20"/>
                <w:szCs w:val="20"/>
                <w:color w:val="auto"/>
              </w:rPr>
            </w:pPr>
            <w:r>
              <w:rPr>
                <w:rFonts w:ascii="Arial" w:cs="Arial" w:eastAsia="Arial" w:hAnsi="Arial"/>
                <w:sz w:val="14"/>
                <w:szCs w:val="14"/>
                <w:color w:val="auto"/>
              </w:rPr>
              <w:t>Noncontrolling interests</w:t>
            </w: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45,357</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475,045</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1,536,887</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2,057,289</w:t>
            </w: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Pr>
          <w:p>
            <w:pPr>
              <w:ind w:left="480"/>
              <w:spacing w:after="0"/>
              <w:rPr>
                <w:sz w:val="20"/>
                <w:szCs w:val="20"/>
                <w:color w:val="auto"/>
              </w:rPr>
            </w:pPr>
            <w:r>
              <w:rPr>
                <w:rFonts w:ascii="Arial" w:cs="Arial" w:eastAsia="Arial" w:hAnsi="Arial"/>
                <w:sz w:val="14"/>
                <w:szCs w:val="14"/>
                <w:color w:val="auto"/>
              </w:rPr>
              <w:t>Total equity</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429,072</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1,191,213</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2,802,512</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4,422,797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80" w:type="dxa"/>
            <w:vAlign w:val="bottom"/>
          </w:tcPr>
          <w:p>
            <w:pPr>
              <w:ind w:left="760"/>
              <w:spacing w:after="0"/>
              <w:rPr>
                <w:sz w:val="20"/>
                <w:szCs w:val="20"/>
                <w:color w:val="auto"/>
              </w:rPr>
            </w:pPr>
            <w:r>
              <w:rPr>
                <w:rFonts w:ascii="Arial" w:cs="Arial" w:eastAsia="Arial" w:hAnsi="Arial"/>
                <w:sz w:val="14"/>
                <w:szCs w:val="14"/>
                <w:b w:val="1"/>
                <w:bCs w:val="1"/>
                <w:color w:val="auto"/>
              </w:rPr>
              <w:t>Total liabilities and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704,411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3,541,884</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3,960,488</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8,206,783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4080" w:type="dxa"/>
            <w:vAlign w:val="bottom"/>
          </w:tcPr>
          <w:p>
            <w:pPr>
              <w:ind w:left="20"/>
              <w:spacing w:after="0"/>
              <w:rPr>
                <w:sz w:val="20"/>
                <w:szCs w:val="20"/>
                <w:color w:val="auto"/>
              </w:rPr>
            </w:pPr>
            <w:r>
              <w:rPr>
                <w:rFonts w:ascii="Arial" w:cs="Arial" w:eastAsia="Arial" w:hAnsi="Arial"/>
                <w:sz w:val="14"/>
                <w:szCs w:val="14"/>
                <w:color w:val="auto"/>
              </w:rPr>
              <w:t>BXP’s nominal ownership percentage</w:t>
            </w:r>
          </w:p>
        </w:tc>
        <w:tc>
          <w:tcPr>
            <w:tcW w:w="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color w:val="auto"/>
              </w:rPr>
              <w:t>89.45%</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60.00%</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55.00%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080" w:type="dxa"/>
            <w:vAlign w:val="bottom"/>
          </w:tcPr>
          <w:p>
            <w:pPr>
              <w:ind w:left="20"/>
              <w:spacing w:after="0"/>
              <w:rPr>
                <w:sz w:val="20"/>
                <w:szCs w:val="20"/>
                <w:color w:val="auto"/>
              </w:rPr>
            </w:pPr>
            <w:r>
              <w:rPr>
                <w:rFonts w:ascii="Arial" w:cs="Arial" w:eastAsia="Arial" w:hAnsi="Arial"/>
                <w:sz w:val="14"/>
                <w:szCs w:val="14"/>
                <w:color w:val="auto"/>
              </w:rPr>
              <w:t xml:space="preserve">Partners’ share of cash and cash equivalents </w:t>
            </w:r>
            <w:r>
              <w:rPr>
                <w:rFonts w:ascii="Arial" w:cs="Arial" w:eastAsia="Arial" w:hAnsi="Arial"/>
                <w:sz w:val="9"/>
                <w:szCs w:val="9"/>
                <w:color w:val="auto"/>
              </w:rPr>
              <w:t>5</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2,736</w:t>
            </w:r>
          </w:p>
        </w:tc>
        <w:tc>
          <w:tcPr>
            <w:tcW w:w="16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22,032</w:t>
            </w:r>
          </w:p>
        </w:tc>
        <w:tc>
          <w:tcPr>
            <w:tcW w:w="1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95,400</w:t>
            </w:r>
          </w:p>
        </w:tc>
        <w:tc>
          <w:tcPr>
            <w:tcW w:w="2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120,168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4080" w:type="dxa"/>
            <w:vAlign w:val="bottom"/>
          </w:tcPr>
          <w:p>
            <w:pPr>
              <w:ind w:left="20"/>
              <w:spacing w:after="0"/>
              <w:rPr>
                <w:sz w:val="20"/>
                <w:szCs w:val="20"/>
                <w:color w:val="auto"/>
              </w:rPr>
            </w:pPr>
            <w:r>
              <w:rPr>
                <w:rFonts w:ascii="Arial" w:cs="Arial" w:eastAsia="Arial" w:hAnsi="Arial"/>
                <w:sz w:val="14"/>
                <w:szCs w:val="14"/>
                <w:color w:val="auto"/>
              </w:rPr>
              <w:t xml:space="preserve">Partners’ share of consolidated debt </w:t>
            </w:r>
            <w:r>
              <w:rPr>
                <w:rFonts w:ascii="Arial" w:cs="Arial" w:eastAsia="Arial" w:hAnsi="Arial"/>
                <w:sz w:val="9"/>
                <w:szCs w:val="9"/>
                <w:color w:val="auto"/>
              </w:rPr>
              <w:t>5</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1,703</w:t>
            </w:r>
          </w:p>
        </w:tc>
        <w:tc>
          <w:tcPr>
            <w:tcW w:w="16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919,053</w:t>
            </w:r>
          </w:p>
        </w:tc>
        <w:tc>
          <w:tcPr>
            <w:tcW w:w="180" w:type="dxa"/>
            <w:vAlign w:val="bottom"/>
          </w:tcPr>
          <w:p>
            <w:pPr>
              <w:jc w:val="right"/>
              <w:ind w:right="73"/>
              <w:spacing w:after="0"/>
              <w:rPr>
                <w:sz w:val="20"/>
                <w:szCs w:val="20"/>
                <w:color w:val="auto"/>
              </w:rPr>
            </w:pPr>
            <w:r>
              <w:rPr>
                <w:rFonts w:ascii="Arial" w:cs="Arial" w:eastAsia="Arial" w:hAnsi="Arial"/>
                <w:sz w:val="9"/>
                <w:szCs w:val="9"/>
                <w:color w:val="auto"/>
                <w:w w:val="78"/>
              </w:rPr>
              <w:t>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446,800</w:t>
            </w:r>
          </w:p>
        </w:tc>
        <w:tc>
          <w:tcPr>
            <w:tcW w:w="2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1,367,556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20" w:lineRule="exact"/>
        <w:rPr>
          <w:sz w:val="20"/>
          <w:szCs w:val="20"/>
          <w:color w:val="auto"/>
        </w:rPr>
      </w:pPr>
    </w:p>
    <w:p>
      <w:pPr>
        <w:ind w:left="80" w:hanging="72"/>
        <w:spacing w:after="0"/>
        <w:tabs>
          <w:tab w:leader="none" w:pos="80" w:val="left"/>
        </w:tabs>
        <w:numPr>
          <w:ilvl w:val="0"/>
          <w:numId w:val="86"/>
        </w:numPr>
        <w:rPr>
          <w:rFonts w:ascii="Arial" w:cs="Arial" w:eastAsia="Arial" w:hAnsi="Arial"/>
          <w:sz w:val="19"/>
          <w:szCs w:val="19"/>
          <w:color w:val="auto"/>
          <w:vertAlign w:val="superscript"/>
        </w:rPr>
      </w:pPr>
      <w:r>
        <w:rPr>
          <w:rFonts w:ascii="Arial" w:cs="Arial" w:eastAsia="Arial" w:hAnsi="Arial"/>
          <w:sz w:val="14"/>
          <w:szCs w:val="14"/>
          <w:color w:val="auto"/>
        </w:rPr>
        <w:t>Certain balances contain amounts that eliminate in consolidation.</w:t>
      </w:r>
    </w:p>
    <w:p>
      <w:pPr>
        <w:spacing w:after="0" w:line="26" w:lineRule="exact"/>
        <w:rPr>
          <w:sz w:val="20"/>
          <w:szCs w:val="20"/>
          <w:color w:val="auto"/>
        </w:rPr>
      </w:pPr>
    </w:p>
    <w:p>
      <w:pPr>
        <w:ind w:left="80" w:hanging="72"/>
        <w:spacing w:after="0"/>
        <w:tabs>
          <w:tab w:leader="none" w:pos="80" w:val="left"/>
        </w:tabs>
        <w:numPr>
          <w:ilvl w:val="0"/>
          <w:numId w:val="87"/>
        </w:numPr>
        <w:rPr>
          <w:rFonts w:ascii="Arial" w:cs="Arial" w:eastAsia="Arial" w:hAnsi="Arial"/>
          <w:sz w:val="9"/>
          <w:szCs w:val="9"/>
          <w:color w:val="auto"/>
        </w:rPr>
      </w:pPr>
      <w:r>
        <w:rPr>
          <w:rFonts w:ascii="Arial" w:cs="Arial" w:eastAsia="Arial" w:hAnsi="Arial"/>
          <w:sz w:val="14"/>
          <w:szCs w:val="14"/>
          <w:color w:val="auto"/>
        </w:rPr>
        <w:t>See the Acquisitions and Dispositions section of this Supplemental package on page 14.</w:t>
      </w:r>
    </w:p>
    <w:p>
      <w:pPr>
        <w:spacing w:after="0" w:line="41" w:lineRule="exact"/>
        <w:rPr>
          <w:sz w:val="20"/>
          <w:szCs w:val="20"/>
          <w:color w:val="auto"/>
        </w:rPr>
      </w:pPr>
    </w:p>
    <w:p>
      <w:pPr>
        <w:ind w:left="80" w:right="200" w:hanging="72"/>
        <w:spacing w:after="0" w:line="238" w:lineRule="auto"/>
        <w:tabs>
          <w:tab w:leader="none" w:pos="78" w:val="left"/>
        </w:tabs>
        <w:numPr>
          <w:ilvl w:val="0"/>
          <w:numId w:val="88"/>
        </w:numPr>
        <w:rPr>
          <w:rFonts w:ascii="Arial" w:cs="Arial" w:eastAsia="Arial" w:hAnsi="Arial"/>
          <w:sz w:val="18"/>
          <w:szCs w:val="18"/>
          <w:color w:val="auto"/>
          <w:vertAlign w:val="superscript"/>
        </w:rPr>
      </w:pPr>
      <w:r>
        <w:rPr>
          <w:rFonts w:ascii="Arial" w:cs="Arial" w:eastAsia="Arial" w:hAnsi="Arial"/>
          <w:sz w:val="14"/>
          <w:szCs w:val="14"/>
          <w:color w:val="auto"/>
        </w:rPr>
        <w:t>Norges Joint Ventures include 7 Times Square, 601 Lexington Avenue/One Five Nine East 53rd Street, 100 Federal Street, Atlantic Wharf Office, 300 Binney Street and 290 Binney Street.</w:t>
      </w:r>
    </w:p>
    <w:p>
      <w:pPr>
        <w:ind w:left="80" w:hanging="72"/>
        <w:spacing w:after="0" w:line="223" w:lineRule="auto"/>
        <w:tabs>
          <w:tab w:leader="none" w:pos="80" w:val="left"/>
        </w:tabs>
        <w:numPr>
          <w:ilvl w:val="0"/>
          <w:numId w:val="89"/>
        </w:numPr>
        <w:rPr>
          <w:rFonts w:ascii="Arial" w:cs="Arial" w:eastAsia="Arial" w:hAnsi="Arial"/>
          <w:sz w:val="19"/>
          <w:szCs w:val="19"/>
          <w:color w:val="auto"/>
          <w:vertAlign w:val="superscript"/>
        </w:rPr>
      </w:pPr>
      <w:r>
        <w:rPr>
          <w:rFonts w:ascii="Arial" w:cs="Arial" w:eastAsia="Arial" w:hAnsi="Arial"/>
          <w:sz w:val="14"/>
          <w:szCs w:val="14"/>
          <w:color w:val="auto"/>
        </w:rPr>
        <w:t>Amount excludes certain preferred shareholders’ capital.</w:t>
      </w:r>
    </w:p>
    <w:p>
      <w:pPr>
        <w:ind w:left="80" w:hanging="72"/>
        <w:spacing w:after="0" w:line="237" w:lineRule="auto"/>
        <w:tabs>
          <w:tab w:leader="none" w:pos="80" w:val="left"/>
        </w:tabs>
        <w:numPr>
          <w:ilvl w:val="0"/>
          <w:numId w:val="90"/>
        </w:numPr>
        <w:rPr>
          <w:rFonts w:ascii="Arial" w:cs="Arial" w:eastAsia="Arial" w:hAnsi="Arial"/>
          <w:sz w:val="19"/>
          <w:szCs w:val="19"/>
          <w:color w:val="auto"/>
          <w:vertAlign w:val="superscript"/>
        </w:rPr>
      </w:pPr>
      <w:r>
        <w:rPr>
          <w:rFonts w:ascii="Arial" w:cs="Arial" w:eastAsia="Arial" w:hAnsi="Arial"/>
          <w:sz w:val="14"/>
          <w:szCs w:val="14"/>
          <w:color w:val="auto"/>
        </w:rPr>
        <w:t>Amounts represent the partners’ share based on their respective ownership percentages.</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Amount adjusted for basis differentials.</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279" w:right="339" w:bottom="1440" w:gutter="0" w:footer="0" w:header="0"/>
          <w:type w:val="continuous"/>
        </w:sectPr>
      </w:pPr>
    </w:p>
    <w:bookmarkStart w:id="41" w:name="page42"/>
    <w:bookmarkEnd w:id="41"/>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Consolidated joint ventures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in thousands)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320" w:type="dxa"/>
            <w:vAlign w:val="bottom"/>
          </w:tcPr>
          <w:p>
            <w:pPr>
              <w:spacing w:after="0"/>
              <w:rPr>
                <w:sz w:val="17"/>
                <w:szCs w:val="17"/>
                <w:color w:val="auto"/>
              </w:rPr>
            </w:pP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rPr>
              <w:t>343 Madison</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767 Fifth Avenue</w:t>
            </w:r>
          </w:p>
        </w:tc>
        <w:tc>
          <w:tcPr>
            <w:tcW w:w="160" w:type="dxa"/>
            <w:vAlign w:val="bottom"/>
          </w:tcPr>
          <w:p>
            <w:pPr>
              <w:spacing w:after="0"/>
              <w:rPr>
                <w:sz w:val="17"/>
                <w:szCs w:val="17"/>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Norges</w:t>
            </w:r>
          </w:p>
        </w:tc>
        <w:tc>
          <w:tcPr>
            <w:tcW w:w="120" w:type="dxa"/>
            <w:vAlign w:val="bottom"/>
          </w:tcPr>
          <w:p>
            <w:pPr>
              <w:spacing w:after="0"/>
              <w:rPr>
                <w:sz w:val="17"/>
                <w:szCs w:val="17"/>
                <w:color w:val="auto"/>
              </w:rPr>
            </w:pPr>
          </w:p>
        </w:tc>
        <w:tc>
          <w:tcPr>
            <w:tcW w:w="1460" w:type="dxa"/>
            <w:vAlign w:val="bottom"/>
          </w:tcPr>
          <w:p>
            <w:pPr>
              <w:jc w:val="center"/>
              <w:ind w:right="48"/>
              <w:spacing w:after="0"/>
              <w:rPr>
                <w:sz w:val="20"/>
                <w:szCs w:val="20"/>
                <w:color w:val="auto"/>
              </w:rPr>
            </w:pPr>
            <w:r>
              <w:rPr>
                <w:rFonts w:ascii="Arial" w:cs="Arial" w:eastAsia="Arial" w:hAnsi="Arial"/>
                <w:sz w:val="14"/>
                <w:szCs w:val="14"/>
                <w:b w:val="1"/>
                <w:bCs w:val="1"/>
                <w:color w:val="auto"/>
              </w:rPr>
              <w:t>Total Consolidated</w:t>
            </w:r>
          </w:p>
        </w:tc>
        <w:tc>
          <w:tcPr>
            <w:tcW w:w="0" w:type="dxa"/>
            <w:vAlign w:val="bottom"/>
          </w:tcPr>
          <w:p>
            <w:pPr>
              <w:spacing w:after="0"/>
              <w:rPr>
                <w:sz w:val="1"/>
                <w:szCs w:val="1"/>
                <w:color w:val="auto"/>
              </w:rPr>
            </w:pPr>
          </w:p>
        </w:tc>
      </w:tr>
      <w:tr>
        <w:trPr>
          <w:trHeight w:val="218"/>
        </w:trPr>
        <w:tc>
          <w:tcPr>
            <w:tcW w:w="4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8"/>
              </w:rPr>
              <w:t xml:space="preserve">Avenue </w:t>
            </w:r>
            <w:r>
              <w:rPr>
                <w:rFonts w:ascii="Arial" w:cs="Arial" w:eastAsia="Arial" w:hAnsi="Arial"/>
                <w:sz w:val="18"/>
                <w:szCs w:val="18"/>
                <w:b w:val="1"/>
                <w:bCs w:val="1"/>
                <w:color w:val="auto"/>
                <w:w w:val="98"/>
                <w:vertAlign w:val="superscript"/>
              </w:rPr>
              <w:t>1</w:t>
            </w: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(The GM Building)</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 xml:space="preserve">Joint Ventures </w:t>
            </w:r>
            <w:r>
              <w:rPr>
                <w:rFonts w:ascii="Arial" w:cs="Arial" w:eastAsia="Arial" w:hAnsi="Arial"/>
                <w:sz w:val="18"/>
                <w:szCs w:val="18"/>
                <w:b w:val="1"/>
                <w:bCs w:val="1"/>
                <w:color w:val="auto"/>
                <w:vertAlign w:val="superscript"/>
              </w:rPr>
              <w:t>2</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Joint Ventures</w:t>
            </w:r>
          </w:p>
        </w:tc>
        <w:tc>
          <w:tcPr>
            <w:tcW w:w="0" w:type="dxa"/>
            <w:vAlign w:val="bottom"/>
          </w:tcPr>
          <w:p>
            <w:pPr>
              <w:spacing w:after="0"/>
              <w:rPr>
                <w:sz w:val="1"/>
                <w:szCs w:val="1"/>
                <w:color w:val="auto"/>
              </w:rPr>
            </w:pPr>
          </w:p>
        </w:tc>
      </w:tr>
      <w:tr>
        <w:trPr>
          <w:trHeight w:val="202"/>
        </w:trPr>
        <w:tc>
          <w:tcPr>
            <w:tcW w:w="4320" w:type="dxa"/>
            <w:vAlign w:val="bottom"/>
          </w:tcPr>
          <w:p>
            <w:pPr>
              <w:ind w:left="20"/>
              <w:spacing w:after="0"/>
              <w:rPr>
                <w:sz w:val="20"/>
                <w:szCs w:val="20"/>
                <w:color w:val="auto"/>
              </w:rPr>
            </w:pPr>
            <w:r>
              <w:rPr>
                <w:rFonts w:ascii="Arial" w:cs="Arial" w:eastAsia="Arial" w:hAnsi="Arial"/>
                <w:sz w:val="14"/>
                <w:szCs w:val="14"/>
                <w:color w:val="auto"/>
              </w:rPr>
              <w:t>Revenue</w:t>
            </w: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4320" w:type="dxa"/>
            <w:vAlign w:val="bottom"/>
          </w:tcPr>
          <w:p>
            <w:pPr>
              <w:ind w:left="220"/>
              <w:spacing w:after="0"/>
              <w:rPr>
                <w:sz w:val="20"/>
                <w:szCs w:val="20"/>
                <w:color w:val="auto"/>
              </w:rPr>
            </w:pPr>
            <w:r>
              <w:rPr>
                <w:rFonts w:ascii="Arial" w:cs="Arial" w:eastAsia="Arial" w:hAnsi="Arial"/>
                <w:sz w:val="14"/>
                <w:szCs w:val="14"/>
                <w:color w:val="auto"/>
              </w:rPr>
              <w:t xml:space="preserve">Lease </w:t>
            </w:r>
            <w:r>
              <w:rPr>
                <w:rFonts w:ascii="Arial" w:cs="Arial" w:eastAsia="Arial" w:hAnsi="Arial"/>
                <w:sz w:val="18"/>
                <w:szCs w:val="18"/>
                <w:color w:val="auto"/>
                <w:vertAlign w:val="superscript"/>
              </w:rPr>
              <w:t>3</w:t>
            </w: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86,821</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139,165</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225,986</w:t>
            </w:r>
          </w:p>
        </w:tc>
        <w:tc>
          <w:tcPr>
            <w:tcW w:w="0" w:type="dxa"/>
            <w:vAlign w:val="bottom"/>
          </w:tcPr>
          <w:p>
            <w:pPr>
              <w:spacing w:after="0"/>
              <w:rPr>
                <w:sz w:val="1"/>
                <w:szCs w:val="1"/>
                <w:color w:val="auto"/>
              </w:rPr>
            </w:pPr>
          </w:p>
        </w:tc>
      </w:tr>
      <w:tr>
        <w:trPr>
          <w:trHeight w:val="190"/>
        </w:trPr>
        <w:tc>
          <w:tcPr>
            <w:tcW w:w="4320" w:type="dxa"/>
            <w:vAlign w:val="bottom"/>
          </w:tcPr>
          <w:p>
            <w:pPr>
              <w:ind w:left="220"/>
              <w:spacing w:after="0"/>
              <w:rPr>
                <w:sz w:val="20"/>
                <w:szCs w:val="20"/>
                <w:color w:val="auto"/>
              </w:rPr>
            </w:pPr>
            <w:r>
              <w:rPr>
                <w:rFonts w:ascii="Arial" w:cs="Arial" w:eastAsia="Arial" w:hAnsi="Arial"/>
                <w:sz w:val="14"/>
                <w:szCs w:val="14"/>
                <w:color w:val="auto"/>
              </w:rPr>
              <w:t>Straight-line rent</w:t>
            </w:r>
          </w:p>
        </w:tc>
        <w:tc>
          <w:tcPr>
            <w:tcW w:w="1280" w:type="dxa"/>
            <w:vAlign w:val="bottom"/>
          </w:tcPr>
          <w:p>
            <w:pPr>
              <w:spacing w:after="0"/>
              <w:rPr>
                <w:sz w:val="16"/>
                <w:szCs w:val="16"/>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834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10,092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10,926</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4"/>
                <w:szCs w:val="14"/>
                <w:color w:val="auto"/>
              </w:rPr>
              <w:t>Fair value lease revenue</w:t>
            </w:r>
          </w:p>
        </w:tc>
        <w:tc>
          <w:tcPr>
            <w:tcW w:w="12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20"/>
        </w:trPr>
        <w:tc>
          <w:tcPr>
            <w:tcW w:w="4320" w:type="dxa"/>
            <w:vAlign w:val="bottom"/>
          </w:tcPr>
          <w:p>
            <w:pPr>
              <w:ind w:left="220"/>
              <w:spacing w:after="0"/>
              <w:rPr>
                <w:sz w:val="20"/>
                <w:szCs w:val="20"/>
                <w:color w:val="auto"/>
              </w:rPr>
            </w:pPr>
            <w:r>
              <w:rPr>
                <w:rFonts w:ascii="Arial" w:cs="Arial" w:eastAsia="Arial" w:hAnsi="Arial"/>
                <w:sz w:val="14"/>
                <w:szCs w:val="14"/>
                <w:color w:val="auto"/>
              </w:rPr>
              <w:t>Termination income</w:t>
            </w:r>
          </w:p>
        </w:tc>
        <w:tc>
          <w:tcPr>
            <w:tcW w:w="1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4320" w:type="dxa"/>
            <w:vAlign w:val="bottom"/>
          </w:tcPr>
          <w:p>
            <w:pPr>
              <w:ind w:left="480"/>
              <w:spacing w:after="0"/>
              <w:rPr>
                <w:sz w:val="20"/>
                <w:szCs w:val="20"/>
                <w:color w:val="auto"/>
              </w:rPr>
            </w:pPr>
            <w:r>
              <w:rPr>
                <w:rFonts w:ascii="Arial" w:cs="Arial" w:eastAsia="Arial" w:hAnsi="Arial"/>
                <w:sz w:val="14"/>
                <w:szCs w:val="14"/>
                <w:color w:val="auto"/>
              </w:rPr>
              <w:t>Total lease revenue</w:t>
            </w:r>
          </w:p>
        </w:tc>
        <w:tc>
          <w:tcPr>
            <w:tcW w:w="1280" w:type="dxa"/>
            <w:vAlign w:val="bottom"/>
          </w:tcPr>
          <w:p>
            <w:pPr>
              <w:spacing w:after="0"/>
              <w:rPr>
                <w:sz w:val="17"/>
                <w:szCs w:val="17"/>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87,628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149,257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236,885</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4"/>
                <w:szCs w:val="14"/>
                <w:color w:val="auto"/>
              </w:rPr>
              <w:t>Parking and other</w:t>
            </w:r>
          </w:p>
        </w:tc>
        <w:tc>
          <w:tcPr>
            <w:tcW w:w="12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3,022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3,022</w:t>
            </w:r>
          </w:p>
        </w:tc>
        <w:tc>
          <w:tcPr>
            <w:tcW w:w="0" w:type="dxa"/>
            <w:vAlign w:val="bottom"/>
          </w:tcPr>
          <w:p>
            <w:pPr>
              <w:spacing w:after="0"/>
              <w:rPr>
                <w:sz w:val="1"/>
                <w:szCs w:val="1"/>
                <w:color w:val="auto"/>
              </w:rPr>
            </w:pPr>
          </w:p>
        </w:tc>
      </w:tr>
      <w:tr>
        <w:trPr>
          <w:trHeight w:val="218"/>
        </w:trPr>
        <w:tc>
          <w:tcPr>
            <w:tcW w:w="4320" w:type="dxa"/>
            <w:vAlign w:val="bottom"/>
          </w:tcPr>
          <w:p>
            <w:pPr>
              <w:ind w:left="220"/>
              <w:spacing w:after="0"/>
              <w:rPr>
                <w:sz w:val="20"/>
                <w:szCs w:val="20"/>
                <w:color w:val="auto"/>
              </w:rPr>
            </w:pPr>
            <w:r>
              <w:rPr>
                <w:rFonts w:ascii="Arial" w:cs="Arial" w:eastAsia="Arial" w:hAnsi="Arial"/>
                <w:sz w:val="14"/>
                <w:szCs w:val="14"/>
                <w:color w:val="auto"/>
              </w:rPr>
              <w:t>Insurance proceeds</w:t>
            </w:r>
          </w:p>
        </w:tc>
        <w:tc>
          <w:tcPr>
            <w:tcW w:w="1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234"/>
        </w:trPr>
        <w:tc>
          <w:tcPr>
            <w:tcW w:w="4320" w:type="dxa"/>
            <w:vAlign w:val="bottom"/>
          </w:tcPr>
          <w:p>
            <w:pPr>
              <w:ind w:left="480"/>
              <w:spacing w:after="0"/>
              <w:rPr>
                <w:sz w:val="20"/>
                <w:szCs w:val="20"/>
                <w:color w:val="auto"/>
              </w:rPr>
            </w:pPr>
            <w:r>
              <w:rPr>
                <w:rFonts w:ascii="Arial" w:cs="Arial" w:eastAsia="Arial" w:hAnsi="Arial"/>
                <w:sz w:val="14"/>
                <w:szCs w:val="14"/>
                <w:color w:val="auto"/>
              </w:rPr>
              <w:t xml:space="preserve">Total rental revenue </w:t>
            </w:r>
            <w:r>
              <w:rPr>
                <w:rFonts w:ascii="Arial" w:cs="Arial" w:eastAsia="Arial" w:hAnsi="Arial"/>
                <w:sz w:val="18"/>
                <w:szCs w:val="18"/>
                <w:color w:val="auto"/>
                <w:vertAlign w:val="superscript"/>
              </w:rPr>
              <w:t>4</w:t>
            </w:r>
          </w:p>
        </w:tc>
        <w:tc>
          <w:tcPr>
            <w:tcW w:w="128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88,114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152,279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240,393</w:t>
            </w:r>
          </w:p>
        </w:tc>
        <w:tc>
          <w:tcPr>
            <w:tcW w:w="0" w:type="dxa"/>
            <w:vAlign w:val="bottom"/>
          </w:tcPr>
          <w:p>
            <w:pPr>
              <w:spacing w:after="0"/>
              <w:rPr>
                <w:sz w:val="1"/>
                <w:szCs w:val="1"/>
                <w:color w:val="auto"/>
              </w:rPr>
            </w:pPr>
          </w:p>
        </w:tc>
      </w:tr>
      <w:tr>
        <w:trPr>
          <w:trHeight w:val="190"/>
        </w:trPr>
        <w:tc>
          <w:tcPr>
            <w:tcW w:w="4320" w:type="dxa"/>
            <w:vAlign w:val="bottom"/>
          </w:tcPr>
          <w:p>
            <w:pPr>
              <w:ind w:left="20"/>
              <w:spacing w:after="0"/>
              <w:rPr>
                <w:sz w:val="20"/>
                <w:szCs w:val="20"/>
                <w:color w:val="auto"/>
              </w:rPr>
            </w:pPr>
            <w:r>
              <w:rPr>
                <w:rFonts w:ascii="Arial" w:cs="Arial" w:eastAsia="Arial" w:hAnsi="Arial"/>
                <w:sz w:val="14"/>
                <w:szCs w:val="14"/>
                <w:color w:val="auto"/>
              </w:rPr>
              <w:t>Expenses</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4"/>
                <w:szCs w:val="14"/>
                <w:color w:val="auto"/>
              </w:rPr>
              <w:t>Operating</w:t>
            </w:r>
          </w:p>
        </w:tc>
        <w:tc>
          <w:tcPr>
            <w:tcW w:w="12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36,390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52,112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88,502</w:t>
            </w:r>
          </w:p>
        </w:tc>
        <w:tc>
          <w:tcPr>
            <w:tcW w:w="0" w:type="dxa"/>
            <w:vAlign w:val="bottom"/>
          </w:tcPr>
          <w:p>
            <w:pPr>
              <w:spacing w:after="0"/>
              <w:rPr>
                <w:sz w:val="1"/>
                <w:szCs w:val="1"/>
                <w:color w:val="auto"/>
              </w:rPr>
            </w:pPr>
          </w:p>
        </w:tc>
      </w:tr>
      <w:tr>
        <w:trPr>
          <w:trHeight w:val="220"/>
        </w:trPr>
        <w:tc>
          <w:tcPr>
            <w:tcW w:w="4320" w:type="dxa"/>
            <w:vAlign w:val="bottom"/>
          </w:tcPr>
          <w:p>
            <w:pPr>
              <w:ind w:left="220"/>
              <w:spacing w:after="0"/>
              <w:rPr>
                <w:sz w:val="20"/>
                <w:szCs w:val="20"/>
                <w:color w:val="auto"/>
              </w:rPr>
            </w:pPr>
            <w:r>
              <w:rPr>
                <w:rFonts w:ascii="Arial" w:cs="Arial" w:eastAsia="Arial" w:hAnsi="Arial"/>
                <w:sz w:val="14"/>
                <w:szCs w:val="14"/>
                <w:color w:val="auto"/>
              </w:rPr>
              <w:t>Restoration costs related to insurance claim</w:t>
            </w:r>
          </w:p>
        </w:tc>
        <w:tc>
          <w:tcPr>
            <w:tcW w:w="1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432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12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51,724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100,167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151,891</w:t>
            </w:r>
          </w:p>
        </w:tc>
        <w:tc>
          <w:tcPr>
            <w:tcW w:w="0" w:type="dxa"/>
            <w:vAlign w:val="bottom"/>
          </w:tcPr>
          <w:p>
            <w:pPr>
              <w:spacing w:after="0"/>
              <w:rPr>
                <w:sz w:val="1"/>
                <w:szCs w:val="1"/>
                <w:color w:val="auto"/>
              </w:rPr>
            </w:pPr>
          </w:p>
        </w:tc>
      </w:tr>
      <w:tr>
        <w:trPr>
          <w:trHeight w:val="464"/>
        </w:trPr>
        <w:tc>
          <w:tcPr>
            <w:tcW w:w="432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2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4"/>
                <w:szCs w:val="14"/>
                <w:color w:val="auto"/>
              </w:rPr>
              <w:t>Development and management services revenue</w:t>
            </w:r>
          </w:p>
        </w:tc>
        <w:tc>
          <w:tcPr>
            <w:tcW w:w="12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4"/>
                <w:szCs w:val="14"/>
                <w:color w:val="auto"/>
              </w:rPr>
              <w:t>Gain from investments in securities</w:t>
            </w:r>
          </w:p>
        </w:tc>
        <w:tc>
          <w:tcPr>
            <w:tcW w:w="12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4"/>
                <w:szCs w:val="14"/>
                <w:color w:val="auto"/>
              </w:rPr>
              <w:t>Interest and other income</w:t>
            </w:r>
          </w:p>
        </w:tc>
        <w:tc>
          <w:tcPr>
            <w:tcW w:w="12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1,796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2,290</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12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(21,395)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(7,718)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(29,113)</w:t>
            </w:r>
          </w:p>
        </w:tc>
        <w:tc>
          <w:tcPr>
            <w:tcW w:w="0" w:type="dxa"/>
            <w:vAlign w:val="bottom"/>
          </w:tcPr>
          <w:p>
            <w:pPr>
              <w:spacing w:after="0"/>
              <w:rPr>
                <w:sz w:val="1"/>
                <w:szCs w:val="1"/>
                <w:color w:val="auto"/>
              </w:rPr>
            </w:pPr>
          </w:p>
        </w:tc>
      </w:tr>
      <w:tr>
        <w:trPr>
          <w:trHeight w:val="216"/>
        </w:trPr>
        <w:tc>
          <w:tcPr>
            <w:tcW w:w="4320" w:type="dxa"/>
            <w:vAlign w:val="bottom"/>
          </w:tcPr>
          <w:p>
            <w:pPr>
              <w:ind w:left="220"/>
              <w:spacing w:after="0"/>
              <w:rPr>
                <w:sz w:val="20"/>
                <w:szCs w:val="20"/>
                <w:color w:val="auto"/>
              </w:rPr>
            </w:pPr>
            <w:r>
              <w:rPr>
                <w:rFonts w:ascii="Arial" w:cs="Arial" w:eastAsia="Arial" w:hAnsi="Arial"/>
                <w:sz w:val="14"/>
                <w:szCs w:val="14"/>
                <w:color w:val="auto"/>
              </w:rPr>
              <w:t>Depreciation and amortization expense</w:t>
            </w:r>
          </w:p>
        </w:tc>
        <w:tc>
          <w:tcPr>
            <w:tcW w:w="128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(18,431)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(35,274)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(53,705)</w:t>
            </w:r>
          </w:p>
        </w:tc>
        <w:tc>
          <w:tcPr>
            <w:tcW w:w="0" w:type="dxa"/>
            <w:vAlign w:val="bottom"/>
          </w:tcPr>
          <w:p>
            <w:pPr>
              <w:spacing w:after="0"/>
              <w:rPr>
                <w:sz w:val="1"/>
                <w:szCs w:val="1"/>
                <w:color w:val="auto"/>
              </w:rPr>
            </w:pPr>
          </w:p>
        </w:tc>
      </w:tr>
      <w:tr>
        <w:trPr>
          <w:trHeight w:val="220"/>
        </w:trPr>
        <w:tc>
          <w:tcPr>
            <w:tcW w:w="4320" w:type="dxa"/>
            <w:vAlign w:val="bottom"/>
          </w:tcPr>
          <w:p>
            <w:pPr>
              <w:ind w:left="220"/>
              <w:spacing w:after="0"/>
              <w:rPr>
                <w:sz w:val="20"/>
                <w:szCs w:val="20"/>
                <w:color w:val="auto"/>
              </w:rPr>
            </w:pPr>
            <w:r>
              <w:rPr>
                <w:rFonts w:ascii="Arial" w:cs="Arial" w:eastAsia="Arial" w:hAnsi="Arial"/>
                <w:sz w:val="14"/>
                <w:szCs w:val="14"/>
                <w:color w:val="auto"/>
              </w:rPr>
              <w:t>General and administrative expense</w:t>
            </w:r>
          </w:p>
        </w:tc>
        <w:tc>
          <w:tcPr>
            <w:tcW w:w="1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09"/>
        </w:trPr>
        <w:tc>
          <w:tcPr>
            <w:tcW w:w="4320" w:type="dxa"/>
            <w:vAlign w:val="bottom"/>
          </w:tcPr>
          <w:p>
            <w:pPr>
              <w:ind w:left="480"/>
              <w:spacing w:after="0"/>
              <w:rPr>
                <w:sz w:val="20"/>
                <w:szCs w:val="20"/>
                <w:color w:val="auto"/>
              </w:rPr>
            </w:pPr>
            <w:r>
              <w:rPr>
                <w:rFonts w:ascii="Arial" w:cs="Arial" w:eastAsia="Arial" w:hAnsi="Arial"/>
                <w:sz w:val="14"/>
                <w:szCs w:val="14"/>
                <w:color w:val="auto"/>
              </w:rPr>
              <w:t>Total other income (expense)</w:t>
            </w:r>
          </w:p>
        </w:tc>
        <w:tc>
          <w:tcPr>
            <w:tcW w:w="1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(39,355)</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(41,205)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(80,560)</w:t>
            </w:r>
          </w:p>
        </w:tc>
        <w:tc>
          <w:tcPr>
            <w:tcW w:w="0" w:type="dxa"/>
            <w:vAlign w:val="bottom"/>
          </w:tcPr>
          <w:p>
            <w:pPr>
              <w:spacing w:after="0"/>
              <w:rPr>
                <w:sz w:val="1"/>
                <w:szCs w:val="1"/>
                <w:color w:val="auto"/>
              </w:rPr>
            </w:pPr>
          </w:p>
        </w:tc>
      </w:tr>
      <w:tr>
        <w:trPr>
          <w:trHeight w:val="214"/>
        </w:trPr>
        <w:tc>
          <w:tcPr>
            <w:tcW w:w="43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12,369</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58,962</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71,331</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FUNDS FROM OPERATIONS (FFO)</w:t>
            </w: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7"/>
        </w:trPr>
        <w:tc>
          <w:tcPr>
            <w:tcW w:w="4320" w:type="dxa"/>
            <w:vAlign w:val="bottom"/>
            <w:tcBorders>
              <w:bottom w:val="single" w:sz="8" w:color="auto"/>
            </w:tcBorders>
            <w:vMerge w:val="continue"/>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4320" w:type="dxa"/>
            <w:vAlign w:val="bottom"/>
          </w:tcPr>
          <w:p>
            <w:pPr>
              <w:ind w:left="20"/>
              <w:spacing w:after="0"/>
              <w:rPr>
                <w:sz w:val="20"/>
                <w:szCs w:val="20"/>
                <w:color w:val="auto"/>
              </w:rPr>
            </w:pPr>
            <w:r>
              <w:rPr>
                <w:rFonts w:ascii="Arial" w:cs="Arial" w:eastAsia="Arial" w:hAnsi="Arial"/>
                <w:sz w:val="14"/>
                <w:szCs w:val="14"/>
                <w:color w:val="auto"/>
              </w:rPr>
              <w:t>BXP’s nominal ownership percentage</w:t>
            </w:r>
          </w:p>
        </w:tc>
        <w:tc>
          <w:tcPr>
            <w:tcW w:w="12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color w:val="auto"/>
              </w:rPr>
              <w:t>89.45%</w:t>
            </w:r>
          </w:p>
        </w:tc>
        <w:tc>
          <w:tcPr>
            <w:tcW w:w="2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60.00%</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55.00%</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320" w:type="dxa"/>
            <w:vAlign w:val="bottom"/>
          </w:tcPr>
          <w:p>
            <w:pPr>
              <w:spacing w:after="0"/>
              <w:rPr>
                <w:sz w:val="24"/>
                <w:szCs w:val="24"/>
                <w:color w:val="auto"/>
              </w:rPr>
            </w:pPr>
          </w:p>
        </w:tc>
        <w:tc>
          <w:tcPr>
            <w:tcW w:w="1280" w:type="dxa"/>
            <w:vAlign w:val="bottom"/>
          </w:tcPr>
          <w:p>
            <w:pPr>
              <w:jc w:val="center"/>
              <w:ind w:left="188"/>
              <w:spacing w:after="0"/>
              <w:rPr>
                <w:sz w:val="20"/>
                <w:szCs w:val="20"/>
                <w:color w:val="auto"/>
              </w:rPr>
            </w:pPr>
            <w:r>
              <w:rPr>
                <w:rFonts w:ascii="Arial" w:cs="Arial" w:eastAsia="Arial" w:hAnsi="Arial"/>
                <w:sz w:val="14"/>
                <w:szCs w:val="14"/>
                <w:b w:val="1"/>
                <w:bCs w:val="1"/>
                <w:color w:val="auto"/>
              </w:rPr>
              <w:t>343 Madison</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767 Fifth Avenue</w:t>
            </w:r>
          </w:p>
        </w:tc>
        <w:tc>
          <w:tcPr>
            <w:tcW w:w="160" w:type="dxa"/>
            <w:vAlign w:val="bottom"/>
          </w:tcPr>
          <w:p>
            <w:pPr>
              <w:spacing w:after="0"/>
              <w:rPr>
                <w:sz w:val="24"/>
                <w:szCs w:val="24"/>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Norges</w:t>
            </w:r>
          </w:p>
        </w:tc>
        <w:tc>
          <w:tcPr>
            <w:tcW w:w="120" w:type="dxa"/>
            <w:vAlign w:val="bottom"/>
          </w:tcPr>
          <w:p>
            <w:pPr>
              <w:spacing w:after="0"/>
              <w:rPr>
                <w:sz w:val="24"/>
                <w:szCs w:val="24"/>
                <w:color w:val="auto"/>
              </w:rPr>
            </w:pPr>
          </w:p>
        </w:tc>
        <w:tc>
          <w:tcPr>
            <w:tcW w:w="1460" w:type="dxa"/>
            <w:vAlign w:val="bottom"/>
          </w:tcPr>
          <w:p>
            <w:pPr>
              <w:jc w:val="center"/>
              <w:ind w:right="48"/>
              <w:spacing w:after="0"/>
              <w:rPr>
                <w:sz w:val="20"/>
                <w:szCs w:val="20"/>
                <w:color w:val="auto"/>
              </w:rPr>
            </w:pPr>
            <w:r>
              <w:rPr>
                <w:rFonts w:ascii="Arial" w:cs="Arial" w:eastAsia="Arial" w:hAnsi="Arial"/>
                <w:sz w:val="14"/>
                <w:szCs w:val="14"/>
                <w:b w:val="1"/>
                <w:bCs w:val="1"/>
                <w:color w:val="auto"/>
              </w:rPr>
              <w:t>Total Consolidated</w:t>
            </w:r>
          </w:p>
        </w:tc>
        <w:tc>
          <w:tcPr>
            <w:tcW w:w="0" w:type="dxa"/>
            <w:vAlign w:val="bottom"/>
          </w:tcPr>
          <w:p>
            <w:pPr>
              <w:spacing w:after="0"/>
              <w:rPr>
                <w:sz w:val="1"/>
                <w:szCs w:val="1"/>
                <w:color w:val="auto"/>
              </w:rPr>
            </w:pPr>
          </w:p>
        </w:tc>
      </w:tr>
      <w:tr>
        <w:trPr>
          <w:trHeight w:val="218"/>
        </w:trPr>
        <w:tc>
          <w:tcPr>
            <w:tcW w:w="4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Reconciliation of Partners’ share of FFO</w:t>
            </w:r>
          </w:p>
        </w:tc>
        <w:tc>
          <w:tcPr>
            <w:tcW w:w="128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8"/>
              </w:rPr>
              <w:t xml:space="preserve">Avenue </w:t>
            </w:r>
            <w:r>
              <w:rPr>
                <w:rFonts w:ascii="Arial" w:cs="Arial" w:eastAsia="Arial" w:hAnsi="Arial"/>
                <w:sz w:val="18"/>
                <w:szCs w:val="18"/>
                <w:b w:val="1"/>
                <w:bCs w:val="1"/>
                <w:color w:val="auto"/>
                <w:w w:val="98"/>
                <w:vertAlign w:val="superscript"/>
              </w:rPr>
              <w:t>1</w:t>
            </w: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(The GM Building)</w:t>
            </w: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 xml:space="preserve">Joint Ventures </w:t>
            </w:r>
            <w:r>
              <w:rPr>
                <w:rFonts w:ascii="Arial" w:cs="Arial" w:eastAsia="Arial" w:hAnsi="Arial"/>
                <w:sz w:val="18"/>
                <w:szCs w:val="18"/>
                <w:b w:val="1"/>
                <w:bCs w:val="1"/>
                <w:color w:val="auto"/>
                <w:vertAlign w:val="superscript"/>
              </w:rPr>
              <w:t>2</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Joint Ventures</w:t>
            </w:r>
          </w:p>
        </w:tc>
        <w:tc>
          <w:tcPr>
            <w:tcW w:w="0" w:type="dxa"/>
            <w:vAlign w:val="bottom"/>
          </w:tcPr>
          <w:p>
            <w:pPr>
              <w:spacing w:after="0"/>
              <w:rPr>
                <w:sz w:val="1"/>
                <w:szCs w:val="1"/>
                <w:color w:val="auto"/>
              </w:rPr>
            </w:pPr>
          </w:p>
        </w:tc>
      </w:tr>
      <w:tr>
        <w:trPr>
          <w:trHeight w:val="201"/>
        </w:trPr>
        <w:tc>
          <w:tcPr>
            <w:tcW w:w="43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12,369</w:t>
            </w:r>
          </w:p>
        </w:tc>
        <w:tc>
          <w:tcPr>
            <w:tcW w:w="2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58,962</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71,331</w:t>
            </w:r>
          </w:p>
        </w:tc>
        <w:tc>
          <w:tcPr>
            <w:tcW w:w="0" w:type="dxa"/>
            <w:vAlign w:val="bottom"/>
          </w:tcPr>
          <w:p>
            <w:pPr>
              <w:spacing w:after="0"/>
              <w:rPr>
                <w:sz w:val="1"/>
                <w:szCs w:val="1"/>
                <w:color w:val="auto"/>
              </w:rPr>
            </w:pPr>
          </w:p>
        </w:tc>
      </w:tr>
      <w:tr>
        <w:trPr>
          <w:trHeight w:val="220"/>
        </w:trPr>
        <w:tc>
          <w:tcPr>
            <w:tcW w:w="4320" w:type="dxa"/>
            <w:vAlign w:val="bottom"/>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1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18,431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35,274</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53,705</w:t>
            </w:r>
          </w:p>
        </w:tc>
        <w:tc>
          <w:tcPr>
            <w:tcW w:w="0" w:type="dxa"/>
            <w:vAlign w:val="bottom"/>
          </w:tcPr>
          <w:p>
            <w:pPr>
              <w:spacing w:after="0"/>
              <w:rPr>
                <w:sz w:val="1"/>
                <w:szCs w:val="1"/>
                <w:color w:val="auto"/>
              </w:rPr>
            </w:pPr>
          </w:p>
        </w:tc>
      </w:tr>
      <w:tr>
        <w:trPr>
          <w:trHeight w:val="213"/>
        </w:trPr>
        <w:tc>
          <w:tcPr>
            <w:tcW w:w="4320" w:type="dxa"/>
            <w:vAlign w:val="bottom"/>
          </w:tcPr>
          <w:p>
            <w:pPr>
              <w:ind w:left="20"/>
              <w:spacing w:after="0"/>
              <w:rPr>
                <w:sz w:val="20"/>
                <w:szCs w:val="20"/>
                <w:color w:val="auto"/>
              </w:rPr>
            </w:pPr>
            <w:r>
              <w:rPr>
                <w:rFonts w:ascii="Arial" w:cs="Arial" w:eastAsia="Arial" w:hAnsi="Arial"/>
                <w:sz w:val="14"/>
                <w:szCs w:val="14"/>
                <w:color w:val="auto"/>
              </w:rPr>
              <w:t>Entity FFO</w:t>
            </w: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50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30,800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94,236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125,036</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sectPr>
          <w:pgSz w:w="11900" w:h="16838" w:orient="portrait"/>
          <w:cols w:equalWidth="0" w:num="1">
            <w:col w:w="11240"/>
          </w:cols>
          <w:pgMar w:left="320" w:top="279" w:right="339" w:bottom="1440" w:gutter="0" w:footer="0" w:header="0"/>
        </w:sectPr>
      </w:pPr>
    </w:p>
    <w:p>
      <w:pPr>
        <w:ind w:left="20"/>
        <w:spacing w:after="0"/>
        <w:rPr>
          <w:sz w:val="20"/>
          <w:szCs w:val="20"/>
          <w:color w:val="auto"/>
        </w:rPr>
      </w:pPr>
      <w:r>
        <w:rPr>
          <w:rFonts w:ascii="Arial" w:cs="Arial" w:eastAsia="Arial" w:hAnsi="Arial"/>
          <w:sz w:val="14"/>
          <w:szCs w:val="14"/>
          <w:color w:val="auto"/>
        </w:rPr>
        <w:t>Noncontrolling interest in property partnerships (Partners’ NCI)</w:t>
      </w:r>
    </w:p>
    <w:p>
      <w:pPr>
        <w:ind w:left="180"/>
        <w:spacing w:after="0"/>
        <w:rPr>
          <w:sz w:val="20"/>
          <w:szCs w:val="20"/>
          <w:color w:val="auto"/>
        </w:rPr>
      </w:pPr>
      <w:r>
        <w:rPr>
          <w:rFonts w:ascii="Arial" w:cs="Arial" w:eastAsia="Arial" w:hAnsi="Arial"/>
          <w:sz w:val="9"/>
          <w:szCs w:val="9"/>
          <w:color w:val="auto"/>
        </w:rPr>
        <w:t>5</w:t>
      </w:r>
    </w:p>
    <w:p>
      <w:pPr>
        <w:spacing w:after="0" w:line="107" w:lineRule="exact"/>
        <w:rPr>
          <w:sz w:val="20"/>
          <w:szCs w:val="20"/>
          <w:color w:val="auto"/>
        </w:rPr>
      </w:pPr>
    </w:p>
    <w:p>
      <w:pPr>
        <w:ind w:left="180" w:hanging="161"/>
        <w:spacing w:after="0" w:line="262" w:lineRule="auto"/>
        <w:rPr>
          <w:sz w:val="20"/>
          <w:szCs w:val="20"/>
          <w:color w:val="auto"/>
        </w:rPr>
      </w:pPr>
      <w:r>
        <w:rPr>
          <w:rFonts w:ascii="Arial" w:cs="Arial" w:eastAsia="Arial" w:hAnsi="Arial"/>
          <w:sz w:val="14"/>
          <w:szCs w:val="14"/>
          <w:color w:val="auto"/>
        </w:rPr>
        <w:t xml:space="preserve">Partners’ share of depreciation and amortization expense after BXP’s basis differential </w:t>
      </w:r>
      <w:r>
        <w:rPr>
          <w:rFonts w:ascii="Arial" w:cs="Arial" w:eastAsia="Arial" w:hAnsi="Arial"/>
          <w:sz w:val="18"/>
          <w:szCs w:val="18"/>
          <w:color w:val="auto"/>
          <w:vertAlign w:val="superscript"/>
        </w:rPr>
        <w:t>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Partners’ share FFO </w:t>
      </w:r>
      <w:r>
        <w:rPr>
          <w:rFonts w:ascii="Arial" w:cs="Arial" w:eastAsia="Arial" w:hAnsi="Arial"/>
          <w:sz w:val="18"/>
          <w:szCs w:val="18"/>
          <w:color w:val="auto"/>
          <w:vertAlign w:val="superscript"/>
        </w:rPr>
        <w:t>5</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3,833</w:t>
            </w:r>
          </w:p>
        </w:tc>
        <w:tc>
          <w:tcPr>
            <w:tcW w:w="220" w:type="dxa"/>
            <w:vAlign w:val="bottom"/>
          </w:tcPr>
          <w:p>
            <w:pPr>
              <w:spacing w:after="0"/>
              <w:rPr>
                <w:sz w:val="16"/>
                <w:szCs w:val="16"/>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24,859</w:t>
            </w:r>
          </w:p>
        </w:tc>
        <w:tc>
          <w:tcPr>
            <w:tcW w:w="220" w:type="dxa"/>
            <w:vAlign w:val="bottom"/>
          </w:tcPr>
          <w:p>
            <w:pPr>
              <w:spacing w:after="0"/>
              <w:rPr>
                <w:sz w:val="16"/>
                <w:szCs w:val="16"/>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28,692</w:t>
            </w:r>
          </w:p>
        </w:tc>
      </w:tr>
      <w:tr>
        <w:trPr>
          <w:trHeight w:val="369"/>
        </w:trPr>
        <w:tc>
          <w:tcPr>
            <w:tcW w:w="7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7,731</w:t>
            </w:r>
          </w:p>
        </w:tc>
        <w:tc>
          <w:tcPr>
            <w:tcW w:w="2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16,170</w:t>
            </w:r>
          </w:p>
        </w:tc>
        <w:tc>
          <w:tcPr>
            <w:tcW w:w="2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23,901</w:t>
            </w:r>
          </w:p>
        </w:tc>
      </w:tr>
      <w:tr>
        <w:trPr>
          <w:trHeight w:val="210"/>
        </w:trPr>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11,564</w:t>
            </w:r>
          </w:p>
        </w:tc>
        <w:tc>
          <w:tcPr>
            <w:tcW w:w="220" w:type="dxa"/>
            <w:vAlign w:val="bottom"/>
          </w:tcPr>
          <w:p>
            <w:pPr>
              <w:spacing w:after="0"/>
              <w:rPr>
                <w:sz w:val="18"/>
                <w:szCs w:val="18"/>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41,029</w:t>
            </w:r>
          </w:p>
        </w:tc>
        <w:tc>
          <w:tcPr>
            <w:tcW w:w="220" w:type="dxa"/>
            <w:vAlign w:val="bottom"/>
          </w:tcPr>
          <w:p>
            <w:pPr>
              <w:spacing w:after="0"/>
              <w:rPr>
                <w:sz w:val="18"/>
                <w:szCs w:val="18"/>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52,593</w:t>
            </w:r>
          </w:p>
        </w:tc>
      </w:tr>
      <w:tr>
        <w:trPr>
          <w:trHeight w:val="25"/>
        </w:trPr>
        <w:tc>
          <w:tcPr>
            <w:tcW w:w="7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9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r>
    </w:tbl>
    <w:p>
      <w:pPr>
        <w:spacing w:after="0" w:line="193" w:lineRule="exact"/>
        <w:rPr>
          <w:sz w:val="20"/>
          <w:szCs w:val="20"/>
          <w:color w:val="auto"/>
        </w:rPr>
      </w:pPr>
    </w:p>
    <w:p>
      <w:pPr>
        <w:sectPr>
          <w:pgSz w:w="11900" w:h="16838" w:orient="portrait"/>
          <w:cols w:equalWidth="0" w:num="2">
            <w:col w:w="4000" w:space="320"/>
            <w:col w:w="6920"/>
          </w:cols>
          <w:pgMar w:left="320" w:top="279" w:right="33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Reconciliation of BXP’s share of FFO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4300" w:type="dxa"/>
            <w:vAlign w:val="bottom"/>
          </w:tcPr>
          <w:p>
            <w:pPr>
              <w:spacing w:after="0"/>
              <w:rPr>
                <w:sz w:val="20"/>
                <w:szCs w:val="20"/>
                <w:color w:val="auto"/>
              </w:rPr>
            </w:pPr>
            <w:r>
              <w:rPr>
                <w:rFonts w:ascii="Arial" w:cs="Arial" w:eastAsia="Arial" w:hAnsi="Arial"/>
                <w:sz w:val="14"/>
                <w:szCs w:val="14"/>
                <w:color w:val="auto"/>
              </w:rPr>
              <w:t>BXP’s share of net income adjusted for partners’ NCI</w:t>
            </w:r>
          </w:p>
        </w:tc>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8,536</w:t>
            </w:r>
          </w:p>
        </w:tc>
        <w:tc>
          <w:tcPr>
            <w:tcW w:w="220" w:type="dxa"/>
            <w:vAlign w:val="bottom"/>
          </w:tcPr>
          <w:p>
            <w:pPr>
              <w:spacing w:after="0"/>
              <w:rPr>
                <w:sz w:val="16"/>
                <w:szCs w:val="16"/>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34,103</w:t>
            </w:r>
          </w:p>
        </w:tc>
        <w:tc>
          <w:tcPr>
            <w:tcW w:w="220" w:type="dxa"/>
            <w:vAlign w:val="bottom"/>
          </w:tcPr>
          <w:p>
            <w:pPr>
              <w:spacing w:after="0"/>
              <w:rPr>
                <w:sz w:val="16"/>
                <w:szCs w:val="16"/>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42,639</w:t>
            </w:r>
          </w:p>
        </w:tc>
        <w:tc>
          <w:tcPr>
            <w:tcW w:w="0" w:type="dxa"/>
            <w:vAlign w:val="bottom"/>
          </w:tcPr>
          <w:p>
            <w:pPr>
              <w:spacing w:after="0"/>
              <w:rPr>
                <w:sz w:val="1"/>
                <w:szCs w:val="1"/>
                <w:color w:val="auto"/>
              </w:rPr>
            </w:pPr>
          </w:p>
        </w:tc>
      </w:tr>
      <w:tr>
        <w:trPr>
          <w:trHeight w:val="174"/>
        </w:trPr>
        <w:tc>
          <w:tcPr>
            <w:tcW w:w="4300" w:type="dxa"/>
            <w:vAlign w:val="bottom"/>
          </w:tcPr>
          <w:p>
            <w:pPr>
              <w:spacing w:after="0"/>
              <w:rPr>
                <w:sz w:val="20"/>
                <w:szCs w:val="20"/>
                <w:color w:val="auto"/>
              </w:rPr>
            </w:pPr>
            <w:r>
              <w:rPr>
                <w:rFonts w:ascii="Arial" w:cs="Arial" w:eastAsia="Arial" w:hAnsi="Arial"/>
                <w:sz w:val="14"/>
                <w:szCs w:val="14"/>
                <w:color w:val="auto"/>
              </w:rPr>
              <w:t>Depreciation and amortization expense - BXP’s basis</w:t>
            </w:r>
          </w:p>
        </w:tc>
        <w:tc>
          <w:tcPr>
            <w:tcW w:w="720" w:type="dxa"/>
            <w:vAlign w:val="bottom"/>
          </w:tcPr>
          <w:p>
            <w:pPr>
              <w:spacing w:after="0"/>
              <w:rPr>
                <w:sz w:val="15"/>
                <w:szCs w:val="15"/>
                <w:color w:val="auto"/>
              </w:rPr>
            </w:pPr>
          </w:p>
        </w:tc>
        <w:tc>
          <w:tcPr>
            <w:tcW w:w="106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743</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804</w:t>
            </w:r>
          </w:p>
        </w:tc>
        <w:tc>
          <w:tcPr>
            <w:tcW w:w="0" w:type="dxa"/>
            <w:vAlign w:val="bottom"/>
          </w:tcPr>
          <w:p>
            <w:pPr>
              <w:spacing w:after="0"/>
              <w:rPr>
                <w:sz w:val="1"/>
                <w:szCs w:val="1"/>
                <w:color w:val="auto"/>
              </w:rPr>
            </w:pPr>
          </w:p>
        </w:tc>
      </w:tr>
      <w:tr>
        <w:trPr>
          <w:trHeight w:val="190"/>
        </w:trPr>
        <w:tc>
          <w:tcPr>
            <w:tcW w:w="4300" w:type="dxa"/>
            <w:vAlign w:val="bottom"/>
          </w:tcPr>
          <w:p>
            <w:pPr>
              <w:ind w:left="160"/>
              <w:spacing w:after="0"/>
              <w:rPr>
                <w:sz w:val="20"/>
                <w:szCs w:val="20"/>
                <w:color w:val="auto"/>
              </w:rPr>
            </w:pPr>
            <w:r>
              <w:rPr>
                <w:rFonts w:ascii="Arial" w:cs="Arial" w:eastAsia="Arial" w:hAnsi="Arial"/>
                <w:sz w:val="14"/>
                <w:szCs w:val="14"/>
                <w:color w:val="auto"/>
              </w:rPr>
              <w:t>difference</w:t>
            </w:r>
          </w:p>
        </w:tc>
        <w:tc>
          <w:tcPr>
            <w:tcW w:w="7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00" w:type="dxa"/>
            <w:vAlign w:val="bottom"/>
          </w:tcPr>
          <w:p>
            <w:pPr>
              <w:spacing w:after="0"/>
              <w:rPr>
                <w:sz w:val="20"/>
                <w:szCs w:val="20"/>
                <w:color w:val="auto"/>
              </w:rPr>
            </w:pPr>
            <w:r>
              <w:rPr>
                <w:rFonts w:ascii="Arial" w:cs="Arial" w:eastAsia="Arial" w:hAnsi="Arial"/>
                <w:sz w:val="14"/>
                <w:szCs w:val="14"/>
                <w:color w:val="auto"/>
              </w:rPr>
              <w:t>BXP’s share of depreciation and amortization expense</w:t>
            </w:r>
          </w:p>
        </w:tc>
        <w:tc>
          <w:tcPr>
            <w:tcW w:w="7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10,639</w:t>
            </w: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18,361</w:t>
            </w:r>
          </w:p>
        </w:tc>
        <w:tc>
          <w:tcPr>
            <w:tcW w:w="22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29,000</w:t>
            </w:r>
          </w:p>
        </w:tc>
        <w:tc>
          <w:tcPr>
            <w:tcW w:w="0" w:type="dxa"/>
            <w:vAlign w:val="bottom"/>
          </w:tcPr>
          <w:p>
            <w:pPr>
              <w:spacing w:after="0"/>
              <w:rPr>
                <w:sz w:val="1"/>
                <w:szCs w:val="1"/>
                <w:color w:val="auto"/>
              </w:rPr>
            </w:pPr>
          </w:p>
        </w:tc>
      </w:tr>
      <w:tr>
        <w:trPr>
          <w:trHeight w:val="214"/>
        </w:trPr>
        <w:tc>
          <w:tcPr>
            <w:tcW w:w="4300" w:type="dxa"/>
            <w:vAlign w:val="bottom"/>
          </w:tcPr>
          <w:p>
            <w:pPr>
              <w:spacing w:after="0"/>
              <w:rPr>
                <w:sz w:val="20"/>
                <w:szCs w:val="20"/>
                <w:color w:val="auto"/>
              </w:rPr>
            </w:pPr>
            <w:r>
              <w:rPr>
                <w:rFonts w:ascii="Arial" w:cs="Arial" w:eastAsia="Arial" w:hAnsi="Arial"/>
                <w:sz w:val="14"/>
                <w:szCs w:val="14"/>
                <w:color w:val="auto"/>
              </w:rPr>
              <w:t>BXP’s share of FFO</w:t>
            </w:r>
          </w:p>
        </w:tc>
        <w:tc>
          <w:tcPr>
            <w:tcW w:w="72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19,236</w:t>
            </w:r>
          </w:p>
        </w:tc>
        <w:tc>
          <w:tcPr>
            <w:tcW w:w="220" w:type="dxa"/>
            <w:vAlign w:val="bottom"/>
          </w:tcPr>
          <w:p>
            <w:pPr>
              <w:spacing w:after="0"/>
              <w:rPr>
                <w:sz w:val="18"/>
                <w:szCs w:val="18"/>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53,207</w:t>
            </w:r>
          </w:p>
        </w:tc>
        <w:tc>
          <w:tcPr>
            <w:tcW w:w="220" w:type="dxa"/>
            <w:vAlign w:val="bottom"/>
          </w:tcPr>
          <w:p>
            <w:pPr>
              <w:spacing w:after="0"/>
              <w:rPr>
                <w:sz w:val="18"/>
                <w:szCs w:val="18"/>
                <w:color w:val="auto"/>
              </w:rPr>
            </w:pPr>
          </w:p>
        </w:tc>
        <w:tc>
          <w:tcPr>
            <w:tcW w:w="58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72,443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20" w:lineRule="exact"/>
        <w:rPr>
          <w:sz w:val="20"/>
          <w:szCs w:val="20"/>
          <w:color w:val="auto"/>
        </w:rPr>
      </w:pPr>
    </w:p>
    <w:p>
      <w:pPr>
        <w:ind w:left="80" w:hanging="72"/>
        <w:spacing w:after="0"/>
        <w:tabs>
          <w:tab w:leader="none" w:pos="80" w:val="left"/>
        </w:tabs>
        <w:numPr>
          <w:ilvl w:val="0"/>
          <w:numId w:val="91"/>
        </w:numPr>
        <w:rPr>
          <w:rFonts w:ascii="Arial" w:cs="Arial" w:eastAsia="Arial" w:hAnsi="Arial"/>
          <w:sz w:val="19"/>
          <w:szCs w:val="19"/>
          <w:color w:val="auto"/>
          <w:vertAlign w:val="superscript"/>
        </w:rPr>
      </w:pPr>
      <w:r>
        <w:rPr>
          <w:rFonts w:ascii="Arial" w:cs="Arial" w:eastAsia="Arial" w:hAnsi="Arial"/>
          <w:sz w:val="14"/>
          <w:szCs w:val="14"/>
          <w:color w:val="auto"/>
        </w:rPr>
        <w:t>See the Acquisitions and Dispositions section of this Supplemental package on page 14.</w:t>
      </w:r>
    </w:p>
    <w:p>
      <w:pPr>
        <w:spacing w:after="0" w:line="31" w:lineRule="exact"/>
        <w:rPr>
          <w:sz w:val="20"/>
          <w:szCs w:val="20"/>
          <w:color w:val="auto"/>
        </w:rPr>
      </w:pPr>
    </w:p>
    <w:p>
      <w:pPr>
        <w:ind w:left="80" w:right="160" w:hanging="72"/>
        <w:spacing w:after="0" w:line="226" w:lineRule="auto"/>
        <w:tabs>
          <w:tab w:leader="none" w:pos="77" w:val="left"/>
        </w:tabs>
        <w:numPr>
          <w:ilvl w:val="0"/>
          <w:numId w:val="92"/>
        </w:numPr>
        <w:rPr>
          <w:rFonts w:ascii="Arial" w:cs="Arial" w:eastAsia="Arial" w:hAnsi="Arial"/>
          <w:sz w:val="18"/>
          <w:szCs w:val="18"/>
          <w:color w:val="auto"/>
          <w:vertAlign w:val="superscript"/>
        </w:rPr>
      </w:pPr>
      <w:r>
        <w:rPr>
          <w:rFonts w:ascii="Arial" w:cs="Arial" w:eastAsia="Arial" w:hAnsi="Arial"/>
          <w:sz w:val="14"/>
          <w:szCs w:val="14"/>
          <w:color w:val="auto"/>
        </w:rPr>
        <w:t>Norges Joint Ventures include 7 Times Square, 601 Lexington Avenue/One Five Nine East 53rd Street, 100 Federal Street, Atlantic Wharf Office, 300 Binney Street, and 290 Binney Street.</w:t>
      </w:r>
    </w:p>
    <w:p>
      <w:pPr>
        <w:ind w:left="100" w:hanging="92"/>
        <w:spacing w:after="0" w:line="237" w:lineRule="auto"/>
        <w:tabs>
          <w:tab w:leader="none" w:pos="100" w:val="left"/>
        </w:tabs>
        <w:numPr>
          <w:ilvl w:val="0"/>
          <w:numId w:val="93"/>
        </w:numPr>
        <w:rPr>
          <w:rFonts w:ascii="Arial" w:cs="Arial" w:eastAsia="Arial" w:hAnsi="Arial"/>
          <w:sz w:val="19"/>
          <w:szCs w:val="19"/>
          <w:color w:val="auto"/>
          <w:vertAlign w:val="superscript"/>
        </w:rPr>
      </w:pPr>
      <w:r>
        <w:rPr>
          <w:rFonts w:ascii="Arial" w:cs="Arial" w:eastAsia="Arial" w:hAnsi="Arial"/>
          <w:sz w:val="14"/>
          <w:szCs w:val="14"/>
          <w:color w:val="auto"/>
        </w:rPr>
        <w:t>Lease revenue includes recoveries and service income from clients.</w:t>
      </w:r>
    </w:p>
    <w:p>
      <w:pPr>
        <w:spacing w:after="0" w:line="27" w:lineRule="exact"/>
        <w:rPr>
          <w:sz w:val="20"/>
          <w:szCs w:val="20"/>
          <w:color w:val="auto"/>
        </w:rPr>
      </w:pPr>
    </w:p>
    <w:p>
      <w:pPr>
        <w:ind w:left="100" w:hanging="92"/>
        <w:spacing w:after="0"/>
        <w:tabs>
          <w:tab w:leader="none" w:pos="100" w:val="left"/>
        </w:tabs>
        <w:numPr>
          <w:ilvl w:val="0"/>
          <w:numId w:val="94"/>
        </w:numPr>
        <w:rPr>
          <w:rFonts w:ascii="Arial" w:cs="Arial" w:eastAsia="Arial" w:hAnsi="Arial"/>
          <w:sz w:val="9"/>
          <w:szCs w:val="9"/>
          <w:color w:val="auto"/>
        </w:rPr>
      </w:pPr>
      <w:r>
        <w:rPr>
          <w:rFonts w:ascii="Arial" w:cs="Arial" w:eastAsia="Arial" w:hAnsi="Arial"/>
          <w:sz w:val="14"/>
          <w:szCs w:val="14"/>
          <w:color w:val="auto"/>
        </w:rPr>
        <w:t>See the Definitions and Reconciliations sections of this Supplemental package starting on page 56.</w:t>
      </w:r>
    </w:p>
    <w:p>
      <w:pPr>
        <w:spacing w:after="0" w:line="41" w:lineRule="exact"/>
        <w:rPr>
          <w:sz w:val="20"/>
          <w:szCs w:val="20"/>
          <w:color w:val="auto"/>
        </w:rPr>
      </w:pPr>
    </w:p>
    <w:p>
      <w:pPr>
        <w:ind w:left="80" w:right="120" w:hanging="72"/>
        <w:spacing w:after="0" w:line="231" w:lineRule="auto"/>
        <w:tabs>
          <w:tab w:leader="none" w:pos="91" w:val="left"/>
        </w:tabs>
        <w:numPr>
          <w:ilvl w:val="0"/>
          <w:numId w:val="95"/>
        </w:numPr>
        <w:rPr>
          <w:rFonts w:ascii="Arial" w:cs="Arial" w:eastAsia="Arial" w:hAnsi="Arial"/>
          <w:sz w:val="19"/>
          <w:szCs w:val="19"/>
          <w:color w:val="auto"/>
          <w:vertAlign w:val="superscript"/>
        </w:rPr>
      </w:pPr>
      <w:r>
        <w:rPr>
          <w:rFonts w:ascii="Arial" w:cs="Arial" w:eastAsia="Arial" w:hAnsi="Arial"/>
          <w:sz w:val="14"/>
          <w:szCs w:val="14"/>
          <w:color w:val="auto"/>
        </w:rPr>
        <w:t>Amounts represent the partners’ share based on their respective ownership percentages and are adjusted for basis differentials and the allocations of management and other fees and depreciation and amortization related to capitalized fees.</w:t>
      </w:r>
    </w:p>
    <w:p>
      <w:pPr>
        <w:sectPr>
          <w:pgSz w:w="11900" w:h="16838" w:orient="portrait"/>
          <w:cols w:equalWidth="0" w:num="1">
            <w:col w:w="11240"/>
          </w:cols>
          <w:pgMar w:left="320" w:top="279" w:right="339" w:bottom="1440" w:gutter="0" w:footer="0" w:header="0"/>
          <w:type w:val="continuous"/>
        </w:sectPr>
      </w:pPr>
    </w:p>
    <w:p>
      <w:pPr>
        <w:spacing w:after="0" w:line="6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279" w:right="339" w:bottom="1440" w:gutter="0" w:footer="0" w:header="0"/>
          <w:type w:val="continuous"/>
        </w:sectPr>
      </w:pPr>
    </w:p>
    <w:bookmarkStart w:id="42" w:name="page43"/>
    <w:bookmarkEnd w:id="42"/>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Unconsolidated joint ventures </w:t>
      </w:r>
      <w:r>
        <w:rPr>
          <w:rFonts w:ascii="Arial" w:cs="Arial" w:eastAsia="Arial" w:hAnsi="Arial"/>
          <w:sz w:val="18"/>
          <w:szCs w:val="18"/>
          <w:b w:val="1"/>
          <w:bCs w:val="1"/>
          <w:color w:val="00497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dollars in thousands)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BALANCE SHEET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BXP’s Nominal</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2"/>
          </w:tcPr>
          <w:p>
            <w:pPr>
              <w:ind w:left="20"/>
              <w:spacing w:after="0"/>
              <w:rPr>
                <w:sz w:val="20"/>
                <w:szCs w:val="20"/>
                <w:color w:val="auto"/>
              </w:rPr>
            </w:pPr>
            <w:r>
              <w:rPr>
                <w:rFonts w:ascii="Arial" w:cs="Arial" w:eastAsia="Arial" w:hAnsi="Arial"/>
                <w:sz w:val="13"/>
                <w:szCs w:val="13"/>
                <w:b w:val="1"/>
                <w:bCs w:val="1"/>
                <w:color w:val="auto"/>
              </w:rPr>
              <w:t>Mortgage/Mezzanine/Construction</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3"/>
                <w:szCs w:val="13"/>
                <w:b w:val="1"/>
                <w:bCs w:val="1"/>
                <w:color w:val="auto"/>
              </w:rPr>
              <w:t>Interest Rate</w:t>
            </w:r>
          </w:p>
        </w:tc>
        <w:tc>
          <w:tcPr>
            <w:tcW w:w="0" w:type="dxa"/>
            <w:vAlign w:val="bottom"/>
          </w:tcPr>
          <w:p>
            <w:pPr>
              <w:spacing w:after="0"/>
              <w:rPr>
                <w:sz w:val="1"/>
                <w:szCs w:val="1"/>
                <w:color w:val="auto"/>
              </w:rPr>
            </w:pPr>
          </w:p>
        </w:tc>
      </w:tr>
      <w:tr>
        <w:trPr>
          <w:trHeight w:val="200"/>
        </w:trPr>
        <w:tc>
          <w:tcPr>
            <w:tcW w:w="2860" w:type="dxa"/>
            <w:vAlign w:val="bottom"/>
          </w:tcPr>
          <w:p>
            <w:pPr>
              <w:ind w:left="20"/>
              <w:spacing w:after="0"/>
              <w:rPr>
                <w:sz w:val="20"/>
                <w:szCs w:val="20"/>
                <w:color w:val="auto"/>
              </w:rPr>
            </w:pPr>
            <w:r>
              <w:rPr>
                <w:rFonts w:ascii="Arial" w:cs="Arial" w:eastAsia="Arial" w:hAnsi="Arial"/>
                <w:sz w:val="13"/>
                <w:szCs w:val="13"/>
                <w:b w:val="1"/>
                <w:bCs w:val="1"/>
                <w:color w:val="auto"/>
              </w:rPr>
              <w:t>Property</w:t>
            </w:r>
          </w:p>
        </w:tc>
        <w:tc>
          <w:tcPr>
            <w:tcW w:w="160" w:type="dxa"/>
            <w:vAlign w:val="bottom"/>
          </w:tcPr>
          <w:p>
            <w:pPr>
              <w:spacing w:after="0"/>
              <w:rPr>
                <w:sz w:val="17"/>
                <w:szCs w:val="17"/>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Ownership</w:t>
            </w: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Net Equity</w:t>
            </w:r>
          </w:p>
        </w:tc>
        <w:tc>
          <w:tcPr>
            <w:tcW w:w="300" w:type="dxa"/>
            <w:vAlign w:val="bottom"/>
          </w:tcPr>
          <w:p>
            <w:pPr>
              <w:spacing w:after="0"/>
              <w:rPr>
                <w:sz w:val="17"/>
                <w:szCs w:val="17"/>
                <w:color w:val="auto"/>
              </w:rPr>
            </w:pPr>
          </w:p>
        </w:tc>
        <w:tc>
          <w:tcPr>
            <w:tcW w:w="1940" w:type="dxa"/>
            <w:vAlign w:val="bottom"/>
          </w:tcPr>
          <w:p>
            <w:pPr>
              <w:jc w:val="right"/>
              <w:ind w:right="428"/>
              <w:spacing w:after="0"/>
              <w:rPr>
                <w:sz w:val="20"/>
                <w:szCs w:val="20"/>
                <w:color w:val="auto"/>
              </w:rPr>
            </w:pPr>
            <w:r>
              <w:rPr>
                <w:rFonts w:ascii="Arial" w:cs="Arial" w:eastAsia="Arial" w:hAnsi="Arial"/>
                <w:sz w:val="13"/>
                <w:szCs w:val="13"/>
                <w:b w:val="1"/>
                <w:bCs w:val="1"/>
                <w:color w:val="auto"/>
              </w:rPr>
              <w:t>Loans Payable, Net</w:t>
            </w:r>
          </w:p>
        </w:tc>
        <w:tc>
          <w:tcPr>
            <w:tcW w:w="180" w:type="dxa"/>
            <w:vAlign w:val="bottom"/>
          </w:tcPr>
          <w:p>
            <w:pPr>
              <w:spacing w:after="0"/>
              <w:rPr>
                <w:sz w:val="17"/>
                <w:szCs w:val="17"/>
                <w:color w:val="auto"/>
              </w:rPr>
            </w:pPr>
          </w:p>
        </w:tc>
        <w:tc>
          <w:tcPr>
            <w:tcW w:w="1520" w:type="dxa"/>
            <w:vAlign w:val="bottom"/>
            <w:gridSpan w:val="2"/>
          </w:tcPr>
          <w:p>
            <w:pPr>
              <w:ind w:left="240"/>
              <w:spacing w:after="0"/>
              <w:rPr>
                <w:sz w:val="20"/>
                <w:szCs w:val="20"/>
                <w:color w:val="auto"/>
              </w:rPr>
            </w:pPr>
            <w:r>
              <w:rPr>
                <w:rFonts w:ascii="Arial" w:cs="Arial" w:eastAsia="Arial" w:hAnsi="Arial"/>
                <w:sz w:val="13"/>
                <w:szCs w:val="13"/>
                <w:b w:val="1"/>
                <w:bCs w:val="1"/>
                <w:color w:val="auto"/>
              </w:rPr>
              <w:t>Maturity Date</w:t>
            </w:r>
          </w:p>
        </w:tc>
        <w:tc>
          <w:tcPr>
            <w:tcW w:w="940" w:type="dxa"/>
            <w:vAlign w:val="bottom"/>
            <w:gridSpan w:val="2"/>
          </w:tcPr>
          <w:p>
            <w:pPr>
              <w:ind w:left="180"/>
              <w:spacing w:after="0"/>
              <w:rPr>
                <w:sz w:val="20"/>
                <w:szCs w:val="20"/>
                <w:color w:val="auto"/>
              </w:rPr>
            </w:pPr>
            <w:r>
              <w:rPr>
                <w:rFonts w:ascii="Arial" w:cs="Arial" w:eastAsia="Arial" w:hAnsi="Arial"/>
                <w:sz w:val="13"/>
                <w:szCs w:val="13"/>
                <w:b w:val="1"/>
                <w:bCs w:val="1"/>
                <w:color w:val="auto"/>
              </w:rPr>
              <w:t>Stated</w:t>
            </w:r>
          </w:p>
        </w:tc>
        <w:tc>
          <w:tcPr>
            <w:tcW w:w="820" w:type="dxa"/>
            <w:vAlign w:val="bottom"/>
          </w:tcPr>
          <w:p>
            <w:pPr>
              <w:jc w:val="right"/>
              <w:ind w:right="88"/>
              <w:spacing w:after="0"/>
              <w:rPr>
                <w:sz w:val="20"/>
                <w:szCs w:val="20"/>
                <w:color w:val="auto"/>
              </w:rPr>
            </w:pPr>
            <w:r>
              <w:rPr>
                <w:rFonts w:ascii="Arial" w:cs="Arial" w:eastAsia="Arial" w:hAnsi="Arial"/>
                <w:sz w:val="13"/>
                <w:szCs w:val="13"/>
                <w:b w:val="1"/>
                <w:bCs w:val="1"/>
                <w:color w:val="auto"/>
              </w:rPr>
              <w:t xml:space="preserve">GAAP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208"/>
        </w:trPr>
        <w:tc>
          <w:tcPr>
            <w:tcW w:w="28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Boston</w:t>
            </w:r>
          </w:p>
        </w:tc>
        <w:tc>
          <w:tcPr>
            <w:tcW w:w="1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240"/>
              <w:spacing w:after="0"/>
              <w:rPr>
                <w:sz w:val="20"/>
                <w:szCs w:val="20"/>
                <w:color w:val="auto"/>
              </w:rPr>
            </w:pPr>
            <w:r>
              <w:rPr>
                <w:rFonts w:ascii="Arial" w:cs="Arial" w:eastAsia="Arial" w:hAnsi="Arial"/>
                <w:sz w:val="14"/>
                <w:szCs w:val="14"/>
                <w:color w:val="auto"/>
              </w:rPr>
              <w:t>The Hub on Causeway - Podium</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48,704</w:t>
            </w:r>
          </w:p>
        </w:tc>
        <w:tc>
          <w:tcPr>
            <w:tcW w:w="18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61,922</w:t>
            </w: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April 9, 2031</w:t>
            </w:r>
          </w:p>
        </w:tc>
        <w:tc>
          <w:tcPr>
            <w:tcW w:w="780" w:type="dxa"/>
            <w:vAlign w:val="bottom"/>
          </w:tcPr>
          <w:p>
            <w:pPr>
              <w:jc w:val="right"/>
              <w:spacing w:after="0"/>
              <w:rPr>
                <w:sz w:val="20"/>
                <w:szCs w:val="20"/>
                <w:color w:val="auto"/>
              </w:rPr>
            </w:pPr>
            <w:r>
              <w:rPr>
                <w:rFonts w:ascii="Arial" w:cs="Arial" w:eastAsia="Arial" w:hAnsi="Arial"/>
                <w:sz w:val="14"/>
                <w:szCs w:val="14"/>
                <w:color w:val="auto"/>
              </w:rPr>
              <w:t>5.73 %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5.94 %</w:t>
            </w:r>
          </w:p>
        </w:tc>
        <w:tc>
          <w:tcPr>
            <w:tcW w:w="0" w:type="dxa"/>
            <w:vAlign w:val="bottom"/>
          </w:tcPr>
          <w:p>
            <w:pPr>
              <w:spacing w:after="0"/>
              <w:rPr>
                <w:sz w:val="1"/>
                <w:szCs w:val="1"/>
                <w:color w:val="auto"/>
              </w:rPr>
            </w:pPr>
          </w:p>
        </w:tc>
      </w:tr>
      <w:tr>
        <w:trPr>
          <w:trHeight w:val="216"/>
        </w:trPr>
        <w:tc>
          <w:tcPr>
            <w:tcW w:w="2860" w:type="dxa"/>
            <w:vAlign w:val="bottom"/>
          </w:tcPr>
          <w:p>
            <w:pPr>
              <w:ind w:left="240"/>
              <w:spacing w:after="0"/>
              <w:rPr>
                <w:sz w:val="20"/>
                <w:szCs w:val="20"/>
                <w:color w:val="auto"/>
              </w:rPr>
            </w:pPr>
            <w:r>
              <w:rPr>
                <w:rFonts w:ascii="Arial" w:cs="Arial" w:eastAsia="Arial" w:hAnsi="Arial"/>
                <w:sz w:val="14"/>
                <w:szCs w:val="14"/>
                <w:color w:val="auto"/>
              </w:rPr>
              <w:t>100 Causeway Street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44,008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168,428</w:t>
            </w: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April 9, 2031</w:t>
            </w:r>
          </w:p>
        </w:tc>
        <w:tc>
          <w:tcPr>
            <w:tcW w:w="780" w:type="dxa"/>
            <w:vAlign w:val="bottom"/>
          </w:tcPr>
          <w:p>
            <w:pPr>
              <w:jc w:val="right"/>
              <w:spacing w:after="0"/>
              <w:rPr>
                <w:sz w:val="20"/>
                <w:szCs w:val="20"/>
                <w:color w:val="auto"/>
              </w:rPr>
            </w:pPr>
            <w:r>
              <w:rPr>
                <w:rFonts w:ascii="Arial" w:cs="Arial" w:eastAsia="Arial" w:hAnsi="Arial"/>
                <w:sz w:val="14"/>
                <w:szCs w:val="14"/>
                <w:color w:val="auto"/>
              </w:rPr>
              <w:t>5.73 %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5.94 %</w:t>
            </w:r>
          </w:p>
        </w:tc>
        <w:tc>
          <w:tcPr>
            <w:tcW w:w="0" w:type="dxa"/>
            <w:vAlign w:val="bottom"/>
          </w:tcPr>
          <w:p>
            <w:pPr>
              <w:spacing w:after="0"/>
              <w:rPr>
                <w:sz w:val="1"/>
                <w:szCs w:val="1"/>
                <w:color w:val="auto"/>
              </w:rPr>
            </w:pPr>
          </w:p>
        </w:tc>
      </w:tr>
      <w:tr>
        <w:trPr>
          <w:trHeight w:val="216"/>
        </w:trPr>
        <w:tc>
          <w:tcPr>
            <w:tcW w:w="2860" w:type="dxa"/>
            <w:vAlign w:val="bottom"/>
          </w:tcPr>
          <w:p>
            <w:pPr>
              <w:ind w:left="240"/>
              <w:spacing w:after="0"/>
              <w:rPr>
                <w:sz w:val="20"/>
                <w:szCs w:val="20"/>
                <w:color w:val="auto"/>
              </w:rPr>
            </w:pPr>
            <w:r>
              <w:rPr>
                <w:rFonts w:ascii="Arial" w:cs="Arial" w:eastAsia="Arial" w:hAnsi="Arial"/>
                <w:sz w:val="14"/>
                <w:szCs w:val="14"/>
                <w:color w:val="auto"/>
              </w:rPr>
              <w:t>Hub50House</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35,593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92,110</w:t>
            </w: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June 17, 2032</w:t>
            </w:r>
          </w:p>
        </w:tc>
        <w:tc>
          <w:tcPr>
            <w:tcW w:w="780" w:type="dxa"/>
            <w:vAlign w:val="bottom"/>
          </w:tcPr>
          <w:p>
            <w:pPr>
              <w:jc w:val="right"/>
              <w:spacing w:after="0"/>
              <w:rPr>
                <w:sz w:val="20"/>
                <w:szCs w:val="20"/>
                <w:color w:val="auto"/>
              </w:rPr>
            </w:pPr>
            <w:r>
              <w:rPr>
                <w:rFonts w:ascii="Arial" w:cs="Arial" w:eastAsia="Arial" w:hAnsi="Arial"/>
                <w:sz w:val="14"/>
                <w:szCs w:val="14"/>
                <w:color w:val="auto"/>
              </w:rPr>
              <w:t>4.43 %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4.51 %</w:t>
            </w:r>
          </w:p>
        </w:tc>
        <w:tc>
          <w:tcPr>
            <w:tcW w:w="0" w:type="dxa"/>
            <w:vAlign w:val="bottom"/>
          </w:tcPr>
          <w:p>
            <w:pPr>
              <w:spacing w:after="0"/>
              <w:rPr>
                <w:sz w:val="1"/>
                <w:szCs w:val="1"/>
                <w:color w:val="auto"/>
              </w:rPr>
            </w:pPr>
          </w:p>
        </w:tc>
      </w:tr>
      <w:tr>
        <w:trPr>
          <w:trHeight w:val="216"/>
        </w:trPr>
        <w:tc>
          <w:tcPr>
            <w:tcW w:w="2860" w:type="dxa"/>
            <w:vAlign w:val="bottom"/>
          </w:tcPr>
          <w:p>
            <w:pPr>
              <w:ind w:left="240"/>
              <w:spacing w:after="0"/>
              <w:rPr>
                <w:sz w:val="20"/>
                <w:szCs w:val="20"/>
                <w:color w:val="auto"/>
              </w:rPr>
            </w:pPr>
            <w:r>
              <w:rPr>
                <w:rFonts w:ascii="Arial" w:cs="Arial" w:eastAsia="Arial" w:hAnsi="Arial"/>
                <w:sz w:val="14"/>
                <w:szCs w:val="14"/>
                <w:color w:val="auto"/>
              </w:rPr>
              <w:t>Hotel Air Rights</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12,036</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5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8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6"/>
        </w:trPr>
        <w:tc>
          <w:tcPr>
            <w:tcW w:w="2860" w:type="dxa"/>
            <w:vAlign w:val="bottom"/>
          </w:tcPr>
          <w:p>
            <w:pPr>
              <w:ind w:left="240"/>
              <w:spacing w:after="0"/>
              <w:rPr>
                <w:sz w:val="20"/>
                <w:szCs w:val="20"/>
                <w:color w:val="auto"/>
              </w:rPr>
            </w:pPr>
            <w:r>
              <w:rPr>
                <w:rFonts w:ascii="Arial" w:cs="Arial" w:eastAsia="Arial" w:hAnsi="Arial"/>
                <w:sz w:val="14"/>
                <w:szCs w:val="14"/>
                <w:color w:val="auto"/>
              </w:rPr>
              <w:t>1265 Main Street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4,904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15,892</w:t>
            </w: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January 1, 2032</w:t>
            </w:r>
          </w:p>
        </w:tc>
        <w:tc>
          <w:tcPr>
            <w:tcW w:w="780" w:type="dxa"/>
            <w:vAlign w:val="bottom"/>
          </w:tcPr>
          <w:p>
            <w:pPr>
              <w:jc w:val="right"/>
              <w:spacing w:after="0"/>
              <w:rPr>
                <w:sz w:val="20"/>
                <w:szCs w:val="20"/>
                <w:color w:val="auto"/>
              </w:rPr>
            </w:pPr>
            <w:r>
              <w:rPr>
                <w:rFonts w:ascii="Arial" w:cs="Arial" w:eastAsia="Arial" w:hAnsi="Arial"/>
                <w:sz w:val="14"/>
                <w:szCs w:val="14"/>
                <w:color w:val="auto"/>
              </w:rPr>
              <w:t>3.77 %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3.84 %</w:t>
            </w:r>
          </w:p>
        </w:tc>
        <w:tc>
          <w:tcPr>
            <w:tcW w:w="0" w:type="dxa"/>
            <w:vAlign w:val="bottom"/>
          </w:tcPr>
          <w:p>
            <w:pPr>
              <w:spacing w:after="0"/>
              <w:rPr>
                <w:sz w:val="1"/>
                <w:szCs w:val="1"/>
                <w:color w:val="auto"/>
              </w:rPr>
            </w:pPr>
          </w:p>
        </w:tc>
      </w:tr>
      <w:tr>
        <w:trPr>
          <w:trHeight w:val="244"/>
        </w:trPr>
        <w:tc>
          <w:tcPr>
            <w:tcW w:w="2860" w:type="dxa"/>
            <w:vAlign w:val="bottom"/>
          </w:tcPr>
          <w:p>
            <w:pPr>
              <w:ind w:left="240"/>
              <w:spacing w:after="0"/>
              <w:rPr>
                <w:sz w:val="20"/>
                <w:szCs w:val="20"/>
                <w:color w:val="auto"/>
              </w:rPr>
            </w:pPr>
            <w:r>
              <w:rPr>
                <w:rFonts w:ascii="Arial" w:cs="Arial" w:eastAsia="Arial" w:hAnsi="Arial"/>
                <w:sz w:val="14"/>
                <w:szCs w:val="14"/>
                <w:color w:val="auto"/>
              </w:rPr>
              <w:t xml:space="preserve">17 Hartwell Avenue </w:t>
            </w:r>
            <w:r>
              <w:rPr>
                <w:rFonts w:ascii="Arial" w:cs="Arial" w:eastAsia="Arial" w:hAnsi="Arial"/>
                <w:sz w:val="18"/>
                <w:szCs w:val="18"/>
                <w:color w:val="auto"/>
                <w:vertAlign w:val="superscript"/>
              </w:rPr>
              <w:t>3</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20.00 %</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16,797</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4,156</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July 10, 2030</w:t>
            </w:r>
          </w:p>
        </w:tc>
        <w:tc>
          <w:tcPr>
            <w:tcW w:w="780" w:type="dxa"/>
            <w:vAlign w:val="bottom"/>
          </w:tcPr>
          <w:p>
            <w:pPr>
              <w:jc w:val="right"/>
              <w:spacing w:after="0"/>
              <w:rPr>
                <w:sz w:val="20"/>
                <w:szCs w:val="20"/>
                <w:color w:val="auto"/>
              </w:rPr>
            </w:pPr>
            <w:r>
              <w:rPr>
                <w:rFonts w:ascii="Arial" w:cs="Arial" w:eastAsia="Arial" w:hAnsi="Arial"/>
                <w:sz w:val="14"/>
                <w:szCs w:val="14"/>
                <w:color w:val="auto"/>
              </w:rPr>
              <w:t>6.75 %</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6.93 %</w:t>
            </w:r>
          </w:p>
        </w:tc>
        <w:tc>
          <w:tcPr>
            <w:tcW w:w="0" w:type="dxa"/>
            <w:vAlign w:val="bottom"/>
          </w:tcPr>
          <w:p>
            <w:pPr>
              <w:spacing w:after="0"/>
              <w:rPr>
                <w:sz w:val="1"/>
                <w:szCs w:val="1"/>
                <w:color w:val="auto"/>
              </w:rPr>
            </w:pPr>
          </w:p>
        </w:tc>
      </w:tr>
      <w:tr>
        <w:trPr>
          <w:trHeight w:val="194"/>
        </w:trPr>
        <w:tc>
          <w:tcPr>
            <w:tcW w:w="2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Los Angeles</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240"/>
              <w:spacing w:after="0"/>
              <w:rPr>
                <w:sz w:val="20"/>
                <w:szCs w:val="20"/>
                <w:color w:val="auto"/>
              </w:rPr>
            </w:pPr>
            <w:r>
              <w:rPr>
                <w:rFonts w:ascii="Arial" w:cs="Arial" w:eastAsia="Arial" w:hAnsi="Arial"/>
                <w:sz w:val="14"/>
                <w:szCs w:val="14"/>
                <w:color w:val="auto"/>
              </w:rPr>
              <w:t>Colorado Center</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13,067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274,925</w:t>
            </w: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August 9, 2027</w:t>
            </w:r>
          </w:p>
        </w:tc>
        <w:tc>
          <w:tcPr>
            <w:tcW w:w="780" w:type="dxa"/>
            <w:vAlign w:val="bottom"/>
          </w:tcPr>
          <w:p>
            <w:pPr>
              <w:jc w:val="right"/>
              <w:spacing w:after="0"/>
              <w:rPr>
                <w:sz w:val="20"/>
                <w:szCs w:val="20"/>
                <w:color w:val="auto"/>
              </w:rPr>
            </w:pPr>
            <w:r>
              <w:rPr>
                <w:rFonts w:ascii="Arial" w:cs="Arial" w:eastAsia="Arial" w:hAnsi="Arial"/>
                <w:sz w:val="14"/>
                <w:szCs w:val="14"/>
                <w:color w:val="auto"/>
              </w:rPr>
              <w:t>3.56 %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3.59 %</w:t>
            </w:r>
          </w:p>
        </w:tc>
        <w:tc>
          <w:tcPr>
            <w:tcW w:w="0" w:type="dxa"/>
            <w:vAlign w:val="bottom"/>
          </w:tcPr>
          <w:p>
            <w:pPr>
              <w:spacing w:after="0"/>
              <w:rPr>
                <w:sz w:val="1"/>
                <w:szCs w:val="1"/>
                <w:color w:val="auto"/>
              </w:rPr>
            </w:pPr>
          </w:p>
        </w:tc>
      </w:tr>
      <w:tr>
        <w:trPr>
          <w:trHeight w:val="244"/>
        </w:trPr>
        <w:tc>
          <w:tcPr>
            <w:tcW w:w="2860" w:type="dxa"/>
            <w:vAlign w:val="bottom"/>
          </w:tcPr>
          <w:p>
            <w:pPr>
              <w:ind w:left="240"/>
              <w:spacing w:after="0"/>
              <w:rPr>
                <w:sz w:val="20"/>
                <w:szCs w:val="20"/>
                <w:color w:val="auto"/>
              </w:rPr>
            </w:pPr>
            <w:r>
              <w:rPr>
                <w:rFonts w:ascii="Arial" w:cs="Arial" w:eastAsia="Arial" w:hAnsi="Arial"/>
                <w:sz w:val="14"/>
                <w:szCs w:val="14"/>
                <w:color w:val="auto"/>
              </w:rPr>
              <w:t xml:space="preserve">Beach Cities Media Campus </w:t>
            </w:r>
            <w:r>
              <w:rPr>
                <w:rFonts w:ascii="Arial" w:cs="Arial" w:eastAsia="Arial" w:hAnsi="Arial"/>
                <w:sz w:val="18"/>
                <w:szCs w:val="18"/>
                <w:color w:val="auto"/>
                <w:vertAlign w:val="superscript"/>
              </w:rPr>
              <w:t>4</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5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8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4"/>
        </w:trPr>
        <w:tc>
          <w:tcPr>
            <w:tcW w:w="2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New York</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240"/>
              <w:spacing w:after="0"/>
              <w:rPr>
                <w:sz w:val="20"/>
                <w:szCs w:val="20"/>
                <w:color w:val="auto"/>
              </w:rPr>
            </w:pPr>
            <w:r>
              <w:rPr>
                <w:rFonts w:ascii="Arial" w:cs="Arial" w:eastAsia="Arial" w:hAnsi="Arial"/>
                <w:sz w:val="14"/>
                <w:szCs w:val="14"/>
                <w:color w:val="auto"/>
              </w:rPr>
              <w:t>360 Park Avenue South</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71.11 %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114,662</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155,923</w:t>
            </w: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December 13, 2027</w:t>
            </w:r>
          </w:p>
        </w:tc>
        <w:tc>
          <w:tcPr>
            <w:tcW w:w="780" w:type="dxa"/>
            <w:vAlign w:val="bottom"/>
          </w:tcPr>
          <w:p>
            <w:pPr>
              <w:jc w:val="right"/>
              <w:spacing w:after="0"/>
              <w:rPr>
                <w:sz w:val="20"/>
                <w:szCs w:val="20"/>
                <w:color w:val="auto"/>
              </w:rPr>
            </w:pPr>
            <w:r>
              <w:rPr>
                <w:rFonts w:ascii="Arial" w:cs="Arial" w:eastAsia="Arial" w:hAnsi="Arial"/>
                <w:sz w:val="14"/>
                <w:szCs w:val="14"/>
                <w:color w:val="auto"/>
              </w:rPr>
              <w:t>6.32 %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6.63 %</w:t>
            </w:r>
          </w:p>
        </w:tc>
        <w:tc>
          <w:tcPr>
            <w:tcW w:w="0" w:type="dxa"/>
            <w:vAlign w:val="bottom"/>
          </w:tcPr>
          <w:p>
            <w:pPr>
              <w:spacing w:after="0"/>
              <w:rPr>
                <w:sz w:val="1"/>
                <w:szCs w:val="1"/>
                <w:color w:val="auto"/>
              </w:rPr>
            </w:pPr>
          </w:p>
        </w:tc>
      </w:tr>
      <w:tr>
        <w:trPr>
          <w:trHeight w:val="242"/>
        </w:trPr>
        <w:tc>
          <w:tcPr>
            <w:tcW w:w="2860" w:type="dxa"/>
            <w:vAlign w:val="bottom"/>
          </w:tcPr>
          <w:p>
            <w:pPr>
              <w:ind w:left="240"/>
              <w:spacing w:after="0"/>
              <w:rPr>
                <w:sz w:val="20"/>
                <w:szCs w:val="20"/>
                <w:color w:val="auto"/>
              </w:rPr>
            </w:pPr>
            <w:r>
              <w:rPr>
                <w:rFonts w:ascii="Arial" w:cs="Arial" w:eastAsia="Arial" w:hAnsi="Arial"/>
                <w:sz w:val="14"/>
                <w:szCs w:val="14"/>
                <w:color w:val="auto"/>
              </w:rPr>
              <w:t xml:space="preserve">Dock 72 </w:t>
            </w:r>
            <w:r>
              <w:rPr>
                <w:rFonts w:ascii="Arial" w:cs="Arial" w:eastAsia="Arial" w:hAnsi="Arial"/>
                <w:sz w:val="18"/>
                <w:szCs w:val="18"/>
                <w:color w:val="auto"/>
                <w:vertAlign w:val="superscript"/>
              </w:rPr>
              <w:t>5</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81,928</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5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2860" w:type="dxa"/>
            <w:vAlign w:val="bottom"/>
          </w:tcPr>
          <w:p>
            <w:pPr>
              <w:ind w:left="240"/>
              <w:spacing w:after="0"/>
              <w:rPr>
                <w:sz w:val="20"/>
                <w:szCs w:val="20"/>
                <w:color w:val="auto"/>
              </w:rPr>
            </w:pPr>
            <w:r>
              <w:rPr>
                <w:rFonts w:ascii="Arial" w:cs="Arial" w:eastAsia="Arial" w:hAnsi="Arial"/>
                <w:sz w:val="14"/>
                <w:szCs w:val="14"/>
                <w:color w:val="auto"/>
              </w:rPr>
              <w:t>200 Fifth Avenue</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26.69 %</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93,827</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153,859</w:t>
            </w:r>
          </w:p>
        </w:tc>
        <w:tc>
          <w:tcPr>
            <w:tcW w:w="18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November 24, 2028</w:t>
            </w:r>
          </w:p>
        </w:tc>
        <w:tc>
          <w:tcPr>
            <w:tcW w:w="780" w:type="dxa"/>
            <w:vAlign w:val="bottom"/>
          </w:tcPr>
          <w:p>
            <w:pPr>
              <w:jc w:val="right"/>
              <w:spacing w:after="0"/>
              <w:rPr>
                <w:sz w:val="20"/>
                <w:szCs w:val="20"/>
                <w:color w:val="auto"/>
              </w:rPr>
            </w:pPr>
            <w:r>
              <w:rPr>
                <w:rFonts w:ascii="Arial" w:cs="Arial" w:eastAsia="Arial" w:hAnsi="Arial"/>
                <w:sz w:val="14"/>
                <w:szCs w:val="14"/>
                <w:color w:val="auto"/>
              </w:rPr>
              <w:t>4.34 %</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5.60 %</w:t>
            </w:r>
          </w:p>
        </w:tc>
        <w:tc>
          <w:tcPr>
            <w:tcW w:w="0" w:type="dxa"/>
            <w:vAlign w:val="bottom"/>
          </w:tcPr>
          <w:p>
            <w:pPr>
              <w:spacing w:after="0"/>
              <w:rPr>
                <w:sz w:val="1"/>
                <w:szCs w:val="1"/>
                <w:color w:val="auto"/>
              </w:rPr>
            </w:pPr>
          </w:p>
        </w:tc>
      </w:tr>
      <w:tr>
        <w:trPr>
          <w:trHeight w:val="239"/>
        </w:trPr>
        <w:tc>
          <w:tcPr>
            <w:tcW w:w="2860" w:type="dxa"/>
            <w:vAlign w:val="bottom"/>
          </w:tcPr>
          <w:p>
            <w:pPr>
              <w:ind w:left="240"/>
              <w:spacing w:after="0"/>
              <w:rPr>
                <w:sz w:val="20"/>
                <w:szCs w:val="20"/>
                <w:color w:val="auto"/>
              </w:rPr>
            </w:pPr>
            <w:r>
              <w:rPr>
                <w:rFonts w:ascii="Arial" w:cs="Arial" w:eastAsia="Arial" w:hAnsi="Arial"/>
                <w:sz w:val="14"/>
                <w:szCs w:val="14"/>
                <w:color w:val="auto"/>
              </w:rPr>
              <w:t xml:space="preserve">3 Hudson Boulevard </w:t>
            </w:r>
            <w:r>
              <w:rPr>
                <w:rFonts w:ascii="Arial" w:cs="Arial" w:eastAsia="Arial" w:hAnsi="Arial"/>
                <w:sz w:val="18"/>
                <w:szCs w:val="18"/>
                <w:color w:val="auto"/>
                <w:vertAlign w:val="superscript"/>
              </w:rPr>
              <w:t>6</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25.00 %</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106,930</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33,619</w:t>
            </w:r>
          </w:p>
        </w:tc>
        <w:tc>
          <w:tcPr>
            <w:tcW w:w="18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November 9, 2027</w:t>
            </w:r>
          </w:p>
        </w:tc>
        <w:tc>
          <w:tcPr>
            <w:tcW w:w="780" w:type="dxa"/>
            <w:vAlign w:val="bottom"/>
          </w:tcPr>
          <w:p>
            <w:pPr>
              <w:jc w:val="right"/>
              <w:spacing w:after="0"/>
              <w:rPr>
                <w:sz w:val="20"/>
                <w:szCs w:val="20"/>
                <w:color w:val="auto"/>
              </w:rPr>
            </w:pPr>
            <w:r>
              <w:rPr>
                <w:rFonts w:ascii="Arial" w:cs="Arial" w:eastAsia="Arial" w:hAnsi="Arial"/>
                <w:sz w:val="14"/>
                <w:szCs w:val="14"/>
                <w:color w:val="auto"/>
              </w:rPr>
              <w:t>9.41 %</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10.85 %</w:t>
            </w:r>
          </w:p>
        </w:tc>
        <w:tc>
          <w:tcPr>
            <w:tcW w:w="0" w:type="dxa"/>
            <w:vAlign w:val="bottom"/>
          </w:tcPr>
          <w:p>
            <w:pPr>
              <w:spacing w:after="0"/>
              <w:rPr>
                <w:sz w:val="1"/>
                <w:szCs w:val="1"/>
                <w:color w:val="auto"/>
              </w:rPr>
            </w:pPr>
          </w:p>
        </w:tc>
      </w:tr>
      <w:tr>
        <w:trPr>
          <w:trHeight w:val="216"/>
        </w:trPr>
        <w:tc>
          <w:tcPr>
            <w:tcW w:w="2860" w:type="dxa"/>
            <w:vAlign w:val="bottom"/>
          </w:tcPr>
          <w:p>
            <w:pPr>
              <w:ind w:left="240"/>
              <w:spacing w:after="0"/>
              <w:rPr>
                <w:sz w:val="20"/>
                <w:szCs w:val="20"/>
                <w:color w:val="auto"/>
              </w:rPr>
            </w:pPr>
            <w:r>
              <w:rPr>
                <w:rFonts w:ascii="Arial" w:cs="Arial" w:eastAsia="Arial" w:hAnsi="Arial"/>
                <w:sz w:val="14"/>
                <w:szCs w:val="14"/>
                <w:color w:val="auto"/>
              </w:rPr>
              <w:t xml:space="preserve">290 Coles Street - Common Equity </w:t>
            </w:r>
            <w:r>
              <w:rPr>
                <w:rFonts w:ascii="Arial" w:cs="Arial" w:eastAsia="Arial" w:hAnsi="Arial"/>
                <w:sz w:val="18"/>
                <w:szCs w:val="18"/>
                <w:color w:val="auto"/>
                <w:vertAlign w:val="superscript"/>
              </w:rPr>
              <w:t>7</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19.46 %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19,571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8,980</w:t>
            </w: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March 5, 2029</w:t>
            </w:r>
          </w:p>
        </w:tc>
        <w:tc>
          <w:tcPr>
            <w:tcW w:w="780" w:type="dxa"/>
            <w:vAlign w:val="bottom"/>
          </w:tcPr>
          <w:p>
            <w:pPr>
              <w:jc w:val="right"/>
              <w:spacing w:after="0"/>
              <w:rPr>
                <w:sz w:val="20"/>
                <w:szCs w:val="20"/>
                <w:color w:val="auto"/>
              </w:rPr>
            </w:pPr>
            <w:r>
              <w:rPr>
                <w:rFonts w:ascii="Arial" w:cs="Arial" w:eastAsia="Arial" w:hAnsi="Arial"/>
                <w:sz w:val="14"/>
                <w:szCs w:val="14"/>
                <w:color w:val="auto"/>
              </w:rPr>
              <w:t>6.21 %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6.52 %</w:t>
            </w:r>
          </w:p>
        </w:tc>
        <w:tc>
          <w:tcPr>
            <w:tcW w:w="0" w:type="dxa"/>
            <w:vAlign w:val="bottom"/>
          </w:tcPr>
          <w:p>
            <w:pPr>
              <w:spacing w:after="0"/>
              <w:rPr>
                <w:sz w:val="1"/>
                <w:szCs w:val="1"/>
                <w:color w:val="auto"/>
              </w:rPr>
            </w:pPr>
          </w:p>
        </w:tc>
      </w:tr>
      <w:tr>
        <w:trPr>
          <w:trHeight w:val="220"/>
        </w:trPr>
        <w:tc>
          <w:tcPr>
            <w:tcW w:w="2860" w:type="dxa"/>
            <w:vAlign w:val="bottom"/>
          </w:tcPr>
          <w:p>
            <w:pPr>
              <w:ind w:left="240"/>
              <w:spacing w:after="0"/>
              <w:rPr>
                <w:sz w:val="20"/>
                <w:szCs w:val="20"/>
                <w:color w:val="auto"/>
              </w:rPr>
            </w:pPr>
            <w:r>
              <w:rPr>
                <w:rFonts w:ascii="Arial" w:cs="Arial" w:eastAsia="Arial" w:hAnsi="Arial"/>
                <w:sz w:val="14"/>
                <w:szCs w:val="14"/>
                <w:color w:val="auto"/>
              </w:rPr>
              <w:t xml:space="preserve">290 Coles Street - Preferred Equity </w:t>
            </w:r>
            <w:r>
              <w:rPr>
                <w:rFonts w:ascii="Arial" w:cs="Arial" w:eastAsia="Arial" w:hAnsi="Arial"/>
                <w:sz w:val="18"/>
                <w:szCs w:val="18"/>
                <w:color w:val="auto"/>
                <w:vertAlign w:val="superscript"/>
              </w:rPr>
              <w:t>8</w:t>
            </w:r>
          </w:p>
        </w:tc>
        <w:tc>
          <w:tcPr>
            <w:tcW w:w="1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4"/>
                <w:szCs w:val="14"/>
                <w:color w:val="auto"/>
              </w:rPr>
              <w:t>— %</w:t>
            </w: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70,458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5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8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4"/>
        </w:trPr>
        <w:tc>
          <w:tcPr>
            <w:tcW w:w="2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San Francisco</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240"/>
              <w:spacing w:after="0"/>
              <w:rPr>
                <w:sz w:val="20"/>
                <w:szCs w:val="20"/>
                <w:color w:val="auto"/>
              </w:rPr>
            </w:pPr>
            <w:r>
              <w:rPr>
                <w:rFonts w:ascii="Arial" w:cs="Arial" w:eastAsia="Arial" w:hAnsi="Arial"/>
                <w:sz w:val="14"/>
                <w:szCs w:val="14"/>
                <w:color w:val="auto"/>
              </w:rPr>
              <w:t>Platform 16</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55.00 %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58,338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5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8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2"/>
        </w:trPr>
        <w:tc>
          <w:tcPr>
            <w:tcW w:w="2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Seattle</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240"/>
              <w:spacing w:after="0"/>
              <w:rPr>
                <w:sz w:val="20"/>
                <w:szCs w:val="20"/>
                <w:color w:val="auto"/>
              </w:rPr>
            </w:pPr>
            <w:r>
              <w:rPr>
                <w:rFonts w:ascii="Arial" w:cs="Arial" w:eastAsia="Arial" w:hAnsi="Arial"/>
                <w:sz w:val="14"/>
                <w:szCs w:val="14"/>
                <w:color w:val="auto"/>
              </w:rPr>
              <w:t>Safeco Plaza</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33.67 %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(560)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84,175</w:t>
            </w:r>
          </w:p>
        </w:tc>
        <w:tc>
          <w:tcPr>
            <w:tcW w:w="180" w:type="dxa"/>
            <w:vAlign w:val="bottom"/>
          </w:tcPr>
          <w:p>
            <w:pPr>
              <w:spacing w:after="0"/>
              <w:rPr>
                <w:sz w:val="18"/>
                <w:szCs w:val="18"/>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November 30, 2028</w:t>
            </w:r>
          </w:p>
        </w:tc>
        <w:tc>
          <w:tcPr>
            <w:tcW w:w="780" w:type="dxa"/>
            <w:vAlign w:val="bottom"/>
          </w:tcPr>
          <w:p>
            <w:pPr>
              <w:jc w:val="right"/>
              <w:spacing w:after="0"/>
              <w:rPr>
                <w:sz w:val="20"/>
                <w:szCs w:val="20"/>
                <w:color w:val="auto"/>
              </w:rPr>
            </w:pPr>
            <w:r>
              <w:rPr>
                <w:rFonts w:ascii="Arial" w:cs="Arial" w:eastAsia="Arial" w:hAnsi="Arial"/>
                <w:sz w:val="14"/>
                <w:szCs w:val="14"/>
                <w:color w:val="auto"/>
              </w:rPr>
              <w:t>4.00 %</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4.09 %</w:t>
            </w:r>
          </w:p>
        </w:tc>
        <w:tc>
          <w:tcPr>
            <w:tcW w:w="0" w:type="dxa"/>
            <w:vAlign w:val="bottom"/>
          </w:tcPr>
          <w:p>
            <w:pPr>
              <w:spacing w:after="0"/>
              <w:rPr>
                <w:sz w:val="1"/>
                <w:szCs w:val="1"/>
                <w:color w:val="auto"/>
              </w:rPr>
            </w:pPr>
          </w:p>
        </w:tc>
      </w:tr>
      <w:tr>
        <w:trPr>
          <w:trHeight w:val="222"/>
        </w:trPr>
        <w:tc>
          <w:tcPr>
            <w:tcW w:w="286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Washington, DC</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60" w:type="dxa"/>
            <w:vAlign w:val="bottom"/>
          </w:tcPr>
          <w:p>
            <w:pPr>
              <w:ind w:left="240"/>
              <w:spacing w:after="0"/>
              <w:rPr>
                <w:sz w:val="20"/>
                <w:szCs w:val="20"/>
                <w:color w:val="auto"/>
              </w:rPr>
            </w:pPr>
            <w:r>
              <w:rPr>
                <w:rFonts w:ascii="Arial" w:cs="Arial" w:eastAsia="Arial" w:hAnsi="Arial"/>
                <w:sz w:val="14"/>
                <w:szCs w:val="14"/>
                <w:color w:val="auto"/>
              </w:rPr>
              <w:t>1001 6th Street</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45,750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5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8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6"/>
        </w:trPr>
        <w:tc>
          <w:tcPr>
            <w:tcW w:w="2860" w:type="dxa"/>
            <w:vAlign w:val="bottom"/>
          </w:tcPr>
          <w:p>
            <w:pPr>
              <w:ind w:left="240"/>
              <w:spacing w:after="0"/>
              <w:rPr>
                <w:sz w:val="20"/>
                <w:szCs w:val="20"/>
                <w:color w:val="auto"/>
              </w:rPr>
            </w:pPr>
            <w:r>
              <w:rPr>
                <w:rFonts w:ascii="Arial" w:cs="Arial" w:eastAsia="Arial" w:hAnsi="Arial"/>
                <w:sz w:val="14"/>
                <w:szCs w:val="14"/>
                <w:color w:val="auto"/>
              </w:rPr>
              <w:t>13100 Worldgate Drive</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50.00 %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16,363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5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8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6"/>
        </w:trPr>
        <w:tc>
          <w:tcPr>
            <w:tcW w:w="2860" w:type="dxa"/>
            <w:vAlign w:val="bottom"/>
          </w:tcPr>
          <w:p>
            <w:pPr>
              <w:ind w:left="240"/>
              <w:spacing w:after="0"/>
              <w:rPr>
                <w:sz w:val="20"/>
                <w:szCs w:val="20"/>
                <w:color w:val="auto"/>
              </w:rPr>
            </w:pPr>
            <w:r>
              <w:rPr>
                <w:rFonts w:ascii="Arial" w:cs="Arial" w:eastAsia="Arial" w:hAnsi="Arial"/>
                <w:sz w:val="14"/>
                <w:szCs w:val="14"/>
                <w:color w:val="auto"/>
              </w:rPr>
              <w:t>Wisconsin Place Parking Facility</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33.33 %</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28,570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520" w:type="dxa"/>
            <w:vAlign w:val="bottom"/>
            <w:gridSpan w:val="2"/>
          </w:tcPr>
          <w:p>
            <w:pPr>
              <w:ind w:left="112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 %</w:t>
            </w:r>
          </w:p>
        </w:tc>
        <w:tc>
          <w:tcPr>
            <w:tcW w:w="82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0"/>
        </w:trPr>
        <w:tc>
          <w:tcPr>
            <w:tcW w:w="2860" w:type="dxa"/>
            <w:vAlign w:val="bottom"/>
            <w:vMerge w:val="restart"/>
          </w:tcPr>
          <w:p>
            <w:pPr>
              <w:ind w:left="240"/>
              <w:spacing w:after="0"/>
              <w:rPr>
                <w:sz w:val="20"/>
                <w:szCs w:val="20"/>
                <w:color w:val="auto"/>
              </w:rPr>
            </w:pPr>
            <w:r>
              <w:rPr>
                <w:rFonts w:ascii="Arial" w:cs="Arial" w:eastAsia="Arial" w:hAnsi="Arial"/>
                <w:sz w:val="14"/>
                <w:szCs w:val="14"/>
                <w:color w:val="auto"/>
              </w:rPr>
              <w:t xml:space="preserve">500 North Capitol Street, N.W. </w:t>
            </w:r>
            <w:r>
              <w:rPr>
                <w:rFonts w:ascii="Arial" w:cs="Arial" w:eastAsia="Arial" w:hAnsi="Arial"/>
                <w:sz w:val="18"/>
                <w:szCs w:val="18"/>
                <w:color w:val="auto"/>
                <w:vertAlign w:val="superscript"/>
              </w:rPr>
              <w:t>9</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color w:val="auto"/>
              </w:rPr>
              <w:t>30.00 %</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(2,645)</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4"/>
                <w:szCs w:val="14"/>
                <w:color w:val="auto"/>
              </w:rPr>
              <w:t>20,894</w:t>
            </w:r>
          </w:p>
        </w:tc>
        <w:tc>
          <w:tcPr>
            <w:tcW w:w="180" w:type="dxa"/>
            <w:vAlign w:val="bottom"/>
          </w:tcPr>
          <w:p>
            <w:pPr>
              <w:spacing w:after="0"/>
              <w:rPr>
                <w:sz w:val="14"/>
                <w:szCs w:val="14"/>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September 25,</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6.78 %</w:t>
            </w:r>
          </w:p>
        </w:tc>
        <w:tc>
          <w:tcPr>
            <w:tcW w:w="1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6.86 %</w:t>
            </w:r>
          </w:p>
        </w:tc>
        <w:tc>
          <w:tcPr>
            <w:tcW w:w="0" w:type="dxa"/>
            <w:vAlign w:val="bottom"/>
          </w:tcPr>
          <w:p>
            <w:pPr>
              <w:spacing w:after="0"/>
              <w:rPr>
                <w:sz w:val="1"/>
                <w:szCs w:val="1"/>
                <w:color w:val="auto"/>
              </w:rPr>
            </w:pPr>
          </w:p>
        </w:tc>
      </w:tr>
      <w:tr>
        <w:trPr>
          <w:trHeight w:val="207"/>
        </w:trPr>
        <w:tc>
          <w:tcPr>
            <w:tcW w:w="2860" w:type="dxa"/>
            <w:vAlign w:val="bottom"/>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vMerge w:val="continue"/>
          </w:tcPr>
          <w:p>
            <w:pPr>
              <w:spacing w:after="0"/>
              <w:rPr>
                <w:sz w:val="17"/>
                <w:szCs w:val="17"/>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860" w:type="dxa"/>
            <w:vAlign w:val="bottom"/>
          </w:tcPr>
          <w:p>
            <w:pPr>
              <w:ind w:left="240"/>
              <w:spacing w:after="0"/>
              <w:rPr>
                <w:sz w:val="20"/>
                <w:szCs w:val="20"/>
                <w:color w:val="auto"/>
              </w:rPr>
            </w:pPr>
            <w:r>
              <w:rPr>
                <w:rFonts w:ascii="Arial" w:cs="Arial" w:eastAsia="Arial" w:hAnsi="Arial"/>
                <w:sz w:val="14"/>
                <w:szCs w:val="14"/>
                <w:color w:val="auto"/>
              </w:rPr>
              <w:t>Skymark - Reston Next Residential</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20.00 %</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13,776</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27,994</w:t>
            </w:r>
          </w:p>
        </w:tc>
        <w:tc>
          <w:tcPr>
            <w:tcW w:w="180" w:type="dxa"/>
            <w:vAlign w:val="bottom"/>
          </w:tcPr>
          <w:p>
            <w:pPr>
              <w:spacing w:after="0"/>
              <w:rPr>
                <w:sz w:val="16"/>
                <w:szCs w:val="16"/>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November 13, 2026</w:t>
            </w:r>
          </w:p>
        </w:tc>
        <w:tc>
          <w:tcPr>
            <w:tcW w:w="780" w:type="dxa"/>
            <w:vAlign w:val="bottom"/>
          </w:tcPr>
          <w:p>
            <w:pPr>
              <w:jc w:val="right"/>
              <w:spacing w:after="0"/>
              <w:rPr>
                <w:sz w:val="20"/>
                <w:szCs w:val="20"/>
                <w:color w:val="auto"/>
              </w:rPr>
            </w:pPr>
            <w:r>
              <w:rPr>
                <w:rFonts w:ascii="Arial" w:cs="Arial" w:eastAsia="Arial" w:hAnsi="Arial"/>
                <w:sz w:val="14"/>
                <w:szCs w:val="14"/>
                <w:color w:val="auto"/>
              </w:rPr>
              <w:t>5.68 %</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5.70 %</w:t>
            </w:r>
          </w:p>
        </w:tc>
        <w:tc>
          <w:tcPr>
            <w:tcW w:w="0" w:type="dxa"/>
            <w:vAlign w:val="bottom"/>
          </w:tcPr>
          <w:p>
            <w:pPr>
              <w:spacing w:after="0"/>
              <w:rPr>
                <w:sz w:val="1"/>
                <w:szCs w:val="1"/>
                <w:color w:val="auto"/>
              </w:rPr>
            </w:pPr>
          </w:p>
        </w:tc>
      </w:tr>
      <w:tr>
        <w:trPr>
          <w:trHeight w:val="224"/>
        </w:trPr>
        <w:tc>
          <w:tcPr>
            <w:tcW w:w="2860" w:type="dxa"/>
            <w:vAlign w:val="bottom"/>
          </w:tcPr>
          <w:p>
            <w:pPr>
              <w:ind w:left="240"/>
              <w:spacing w:after="0"/>
              <w:rPr>
                <w:sz w:val="20"/>
                <w:szCs w:val="20"/>
                <w:color w:val="auto"/>
              </w:rPr>
            </w:pPr>
            <w:r>
              <w:rPr>
                <w:rFonts w:ascii="Arial" w:cs="Arial" w:eastAsia="Arial" w:hAnsi="Arial"/>
                <w:sz w:val="14"/>
                <w:szCs w:val="14"/>
                <w:color w:val="auto"/>
              </w:rPr>
              <w:t xml:space="preserve">13150 Worldgate Drive </w:t>
            </w:r>
            <w:r>
              <w:rPr>
                <w:rFonts w:ascii="Arial" w:cs="Arial" w:eastAsia="Arial" w:hAnsi="Arial"/>
                <w:sz w:val="18"/>
                <w:szCs w:val="18"/>
                <w:color w:val="auto"/>
                <w:vertAlign w:val="superscript"/>
              </w:rPr>
              <w:t>10</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20.00 %</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4"/>
                <w:szCs w:val="14"/>
                <w:color w:val="auto"/>
              </w:rPr>
              <w:t>June 10, 2031</w:t>
            </w:r>
          </w:p>
        </w:tc>
        <w:tc>
          <w:tcPr>
            <w:tcW w:w="940" w:type="dxa"/>
            <w:vAlign w:val="bottom"/>
            <w:gridSpan w:val="2"/>
          </w:tcPr>
          <w:p>
            <w:pPr>
              <w:ind w:left="520"/>
              <w:spacing w:after="0"/>
              <w:rPr>
                <w:sz w:val="20"/>
                <w:szCs w:val="20"/>
                <w:color w:val="auto"/>
              </w:rPr>
            </w:pPr>
            <w:r>
              <w:rPr>
                <w:rFonts w:ascii="Arial" w:cs="Arial" w:eastAsia="Arial" w:hAnsi="Arial"/>
                <w:sz w:val="14"/>
                <w:szCs w:val="14"/>
                <w:color w:val="auto"/>
              </w:rPr>
              <w:t>N/A</w:t>
            </w:r>
          </w:p>
        </w:tc>
        <w:tc>
          <w:tcPr>
            <w:tcW w:w="8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01"/>
        </w:trPr>
        <w:tc>
          <w:tcPr>
            <w:tcW w:w="2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827,552</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2860" w:type="dxa"/>
            <w:vAlign w:val="bottom"/>
          </w:tcPr>
          <w:p>
            <w:pPr>
              <w:ind w:left="20"/>
              <w:spacing w:after="0"/>
              <w:rPr>
                <w:sz w:val="20"/>
                <w:szCs w:val="20"/>
                <w:color w:val="auto"/>
              </w:rPr>
            </w:pPr>
            <w:r>
              <w:rPr>
                <w:rFonts w:ascii="Arial" w:cs="Arial" w:eastAsia="Arial" w:hAnsi="Arial"/>
                <w:sz w:val="14"/>
                <w:szCs w:val="14"/>
                <w:color w:val="auto"/>
              </w:rPr>
              <w:t>Investments with deficit balances reflected</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3,676</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60" w:type="dxa"/>
            <w:vAlign w:val="bottom"/>
          </w:tcPr>
          <w:p>
            <w:pPr>
              <w:ind w:left="180"/>
              <w:spacing w:after="0"/>
              <w:rPr>
                <w:sz w:val="20"/>
                <w:szCs w:val="20"/>
                <w:color w:val="auto"/>
              </w:rPr>
            </w:pPr>
            <w:r>
              <w:rPr>
                <w:rFonts w:ascii="Arial" w:cs="Arial" w:eastAsia="Arial" w:hAnsi="Arial"/>
                <w:sz w:val="14"/>
                <w:szCs w:val="14"/>
                <w:color w:val="auto"/>
              </w:rPr>
              <w:t>within Other Liabilities</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60" w:type="dxa"/>
            <w:vAlign w:val="bottom"/>
          </w:tcPr>
          <w:p>
            <w:pPr>
              <w:ind w:left="20"/>
              <w:spacing w:after="0" w:line="142" w:lineRule="exact"/>
              <w:rPr>
                <w:sz w:val="20"/>
                <w:szCs w:val="20"/>
                <w:color w:val="auto"/>
              </w:rPr>
            </w:pPr>
            <w:r>
              <w:rPr>
                <w:rFonts w:ascii="Arial" w:cs="Arial" w:eastAsia="Arial" w:hAnsi="Arial"/>
                <w:sz w:val="14"/>
                <w:szCs w:val="14"/>
                <w:color w:val="auto"/>
              </w:rPr>
              <w:t>Investments in Unconsolidated Joint</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831,228</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180"/>
              <w:spacing w:after="0"/>
              <w:rPr>
                <w:sz w:val="20"/>
                <w:szCs w:val="20"/>
                <w:color w:val="auto"/>
              </w:rPr>
            </w:pPr>
            <w:r>
              <w:rPr>
                <w:rFonts w:ascii="Arial" w:cs="Arial" w:eastAsia="Arial" w:hAnsi="Arial"/>
                <w:sz w:val="14"/>
                <w:szCs w:val="14"/>
                <w:color w:val="auto"/>
              </w:rPr>
              <w:t>Ventures</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860" w:type="dxa"/>
            <w:vAlign w:val="bottom"/>
            <w:vMerge w:val="restart"/>
          </w:tcPr>
          <w:p>
            <w:pPr>
              <w:ind w:left="20"/>
              <w:spacing w:after="0"/>
              <w:rPr>
                <w:sz w:val="20"/>
                <w:szCs w:val="20"/>
                <w:color w:val="auto"/>
              </w:rPr>
            </w:pPr>
            <w:r>
              <w:rPr>
                <w:rFonts w:ascii="Arial" w:cs="Arial" w:eastAsia="Arial" w:hAnsi="Arial"/>
                <w:sz w:val="14"/>
                <w:szCs w:val="14"/>
                <w:color w:val="auto"/>
              </w:rPr>
              <w:t>Mortgage/Mezzanine/Construction Loans</w:t>
            </w: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8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940" w:type="dxa"/>
            <w:vAlign w:val="bottom"/>
            <w:vMerge w:val="restart"/>
          </w:tcPr>
          <w:p>
            <w:pPr>
              <w:jc w:val="right"/>
              <w:spacing w:after="0"/>
              <w:rPr>
                <w:sz w:val="20"/>
                <w:szCs w:val="20"/>
                <w:color w:val="auto"/>
              </w:rPr>
            </w:pPr>
            <w:r>
              <w:rPr>
                <w:rFonts w:ascii="Arial" w:cs="Arial" w:eastAsia="Arial" w:hAnsi="Arial"/>
                <w:sz w:val="14"/>
                <w:szCs w:val="14"/>
                <w:color w:val="auto"/>
              </w:rPr>
              <w:t>1,102,877</w:t>
            </w: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860" w:type="dxa"/>
            <w:vAlign w:val="bottom"/>
          </w:tcPr>
          <w:p>
            <w:pPr>
              <w:ind w:left="180"/>
              <w:spacing w:after="0"/>
              <w:rPr>
                <w:sz w:val="20"/>
                <w:szCs w:val="20"/>
                <w:color w:val="auto"/>
              </w:rPr>
            </w:pPr>
            <w:r>
              <w:rPr>
                <w:rFonts w:ascii="Arial" w:cs="Arial" w:eastAsia="Arial" w:hAnsi="Arial"/>
                <w:sz w:val="14"/>
                <w:szCs w:val="14"/>
                <w:color w:val="auto"/>
              </w:rPr>
              <w:t>Payable, Net</w:t>
            </w: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94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436880</wp:posOffset>
            </wp:positionV>
            <wp:extent cx="6283325" cy="16459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83325" cy="164592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1240"/>
          </w:cols>
          <w:pgMar w:left="320" w:top="279" w:right="339" w:bottom="1440" w:gutter="0" w:footer="0" w:header="0"/>
          <w:type w:val="continuous"/>
        </w:sectPr>
      </w:pPr>
    </w:p>
    <w:bookmarkStart w:id="43" w:name="page44"/>
    <w:bookmarkEnd w:id="43"/>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Unconsolidated joint ventures (continued) </w:t>
      </w:r>
      <w:r>
        <w:rPr>
          <w:rFonts w:ascii="Arial" w:cs="Arial" w:eastAsia="Arial" w:hAnsi="Arial"/>
          <w:sz w:val="18"/>
          <w:szCs w:val="18"/>
          <w:b w:val="1"/>
          <w:bCs w:val="1"/>
          <w:color w:val="00497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FLOATING AND FIXED RATE DEBT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9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Weighted Average</w:t>
            </w:r>
          </w:p>
        </w:tc>
        <w:tc>
          <w:tcPr>
            <w:tcW w:w="1600" w:type="dxa"/>
            <w:vAlign w:val="bottom"/>
            <w:tcBorders>
              <w:bottom w:val="single" w:sz="8" w:color="auto"/>
            </w:tcBorders>
          </w:tcPr>
          <w:p>
            <w:pPr>
              <w:spacing w:after="0"/>
              <w:rPr>
                <w:sz w:val="17"/>
                <w:szCs w:val="17"/>
                <w:color w:val="auto"/>
              </w:rPr>
            </w:pPr>
          </w:p>
        </w:tc>
      </w:tr>
      <w:tr>
        <w:trPr>
          <w:trHeight w:val="211"/>
        </w:trPr>
        <w:tc>
          <w:tcPr>
            <w:tcW w:w="3940" w:type="dxa"/>
            <w:vAlign w:val="bottom"/>
          </w:tcPr>
          <w:p>
            <w:pPr>
              <w:spacing w:after="0"/>
              <w:rPr>
                <w:sz w:val="18"/>
                <w:szCs w:val="18"/>
                <w:color w:val="auto"/>
              </w:rPr>
            </w:pPr>
          </w:p>
        </w:tc>
        <w:tc>
          <w:tcPr>
            <w:tcW w:w="1900" w:type="dxa"/>
            <w:vAlign w:val="bottom"/>
            <w:gridSpan w:val="2"/>
          </w:tcPr>
          <w:p>
            <w:pPr>
              <w:ind w:left="360"/>
              <w:spacing w:after="0"/>
              <w:rPr>
                <w:sz w:val="20"/>
                <w:szCs w:val="20"/>
                <w:color w:val="auto"/>
              </w:rPr>
            </w:pPr>
            <w:r>
              <w:rPr>
                <w:rFonts w:ascii="Arial" w:cs="Arial" w:eastAsia="Arial" w:hAnsi="Arial"/>
                <w:sz w:val="14"/>
                <w:szCs w:val="14"/>
                <w:b w:val="1"/>
                <w:bCs w:val="1"/>
                <w:color w:val="auto"/>
              </w:rPr>
              <w:t>% of Total Debt</w:t>
            </w:r>
          </w:p>
        </w:tc>
        <w:tc>
          <w:tcPr>
            <w:tcW w:w="1900" w:type="dxa"/>
            <w:vAlign w:val="bottom"/>
            <w:gridSpan w:val="2"/>
          </w:tcPr>
          <w:p>
            <w:pPr>
              <w:ind w:left="420"/>
              <w:spacing w:after="0"/>
              <w:rPr>
                <w:sz w:val="20"/>
                <w:szCs w:val="20"/>
                <w:color w:val="auto"/>
              </w:rPr>
            </w:pPr>
            <w:r>
              <w:rPr>
                <w:rFonts w:ascii="Arial" w:cs="Arial" w:eastAsia="Arial" w:hAnsi="Arial"/>
                <w:sz w:val="14"/>
                <w:szCs w:val="14"/>
                <w:b w:val="1"/>
                <w:bCs w:val="1"/>
                <w:color w:val="auto"/>
              </w:rPr>
              <w:t>Stated Rates</w:t>
            </w:r>
          </w:p>
        </w:tc>
        <w:tc>
          <w:tcPr>
            <w:tcW w:w="1880" w:type="dxa"/>
            <w:vAlign w:val="bottom"/>
            <w:gridSpan w:val="2"/>
          </w:tcPr>
          <w:p>
            <w:pPr>
              <w:ind w:left="380"/>
              <w:spacing w:after="0"/>
              <w:rPr>
                <w:sz w:val="20"/>
                <w:szCs w:val="20"/>
                <w:color w:val="auto"/>
              </w:rPr>
            </w:pPr>
            <w:r>
              <w:rPr>
                <w:rFonts w:ascii="Arial" w:cs="Arial" w:eastAsia="Arial" w:hAnsi="Arial"/>
                <w:sz w:val="14"/>
                <w:szCs w:val="14"/>
                <w:b w:val="1"/>
                <w:bCs w:val="1"/>
                <w:color w:val="auto"/>
              </w:rPr>
              <w:t xml:space="preserve">GAAP Rates </w:t>
            </w:r>
            <w:r>
              <w:rPr>
                <w:rFonts w:ascii="Arial" w:cs="Arial" w:eastAsia="Arial" w:hAnsi="Arial"/>
                <w:sz w:val="18"/>
                <w:szCs w:val="18"/>
                <w:b w:val="1"/>
                <w:bCs w:val="1"/>
                <w:color w:val="auto"/>
                <w:vertAlign w:val="superscript"/>
              </w:rPr>
              <w:t>2</w:t>
            </w: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Maturity (years)</w:t>
            </w:r>
          </w:p>
        </w:tc>
      </w:tr>
      <w:tr>
        <w:trPr>
          <w:trHeight w:val="202"/>
        </w:trPr>
        <w:tc>
          <w:tcPr>
            <w:tcW w:w="3940" w:type="dxa"/>
            <w:vAlign w:val="bottom"/>
          </w:tcPr>
          <w:p>
            <w:pPr>
              <w:spacing w:after="0"/>
              <w:rPr>
                <w:sz w:val="20"/>
                <w:szCs w:val="20"/>
                <w:color w:val="auto"/>
              </w:rPr>
            </w:pPr>
            <w:r>
              <w:rPr>
                <w:rFonts w:ascii="Arial" w:cs="Arial" w:eastAsia="Arial" w:hAnsi="Arial"/>
                <w:sz w:val="14"/>
                <w:szCs w:val="14"/>
                <w:color w:val="auto"/>
              </w:rPr>
              <w:t>Floating Rate Debt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20.54 %</w:t>
            </w:r>
          </w:p>
        </w:tc>
        <w:tc>
          <w:tcPr>
            <w:tcW w:w="200" w:type="dxa"/>
            <w:vAlign w:val="bottom"/>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6.37 %</w:t>
            </w:r>
          </w:p>
        </w:tc>
        <w:tc>
          <w:tcPr>
            <w:tcW w:w="200" w:type="dxa"/>
            <w:vAlign w:val="bottom"/>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7.05 %</w:t>
            </w:r>
          </w:p>
        </w:tc>
        <w:tc>
          <w:tcPr>
            <w:tcW w:w="20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20"/>
        </w:trPr>
        <w:tc>
          <w:tcPr>
            <w:tcW w:w="3940" w:type="dxa"/>
            <w:vAlign w:val="bottom"/>
          </w:tcPr>
          <w:p>
            <w:pPr>
              <w:spacing w:after="0"/>
              <w:rPr>
                <w:sz w:val="20"/>
                <w:szCs w:val="20"/>
                <w:color w:val="auto"/>
              </w:rPr>
            </w:pPr>
            <w:r>
              <w:rPr>
                <w:rFonts w:ascii="Arial" w:cs="Arial" w:eastAsia="Arial" w:hAnsi="Arial"/>
                <w:sz w:val="14"/>
                <w:szCs w:val="14"/>
                <w:color w:val="auto"/>
              </w:rPr>
              <w:t>Fixed Rate Debt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79.46 %</w:t>
            </w:r>
          </w:p>
        </w:tc>
        <w:tc>
          <w:tcPr>
            <w:tcW w:w="2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4.50 %</w:t>
            </w:r>
          </w:p>
        </w:tc>
        <w:tc>
          <w:tcPr>
            <w:tcW w:w="2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4.80 %</w:t>
            </w:r>
          </w:p>
        </w:tc>
        <w:tc>
          <w:tcPr>
            <w:tcW w:w="2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r>
      <w:tr>
        <w:trPr>
          <w:trHeight w:val="206"/>
        </w:trPr>
        <w:tc>
          <w:tcPr>
            <w:tcW w:w="3940" w:type="dxa"/>
            <w:vAlign w:val="bottom"/>
          </w:tcPr>
          <w:p>
            <w:pPr>
              <w:spacing w:after="0"/>
              <w:rPr>
                <w:sz w:val="20"/>
                <w:szCs w:val="20"/>
                <w:color w:val="auto"/>
              </w:rPr>
            </w:pPr>
            <w:r>
              <w:rPr>
                <w:rFonts w:ascii="Arial" w:cs="Arial" w:eastAsia="Arial" w:hAnsi="Arial"/>
                <w:sz w:val="14"/>
                <w:szCs w:val="14"/>
                <w:color w:val="auto"/>
              </w:rPr>
              <w:t>Total Debt</w:t>
            </w:r>
          </w:p>
        </w:tc>
        <w:tc>
          <w:tcPr>
            <w:tcW w:w="1700" w:type="dxa"/>
            <w:vAlign w:val="bottom"/>
          </w:tcPr>
          <w:p>
            <w:pPr>
              <w:jc w:val="right"/>
              <w:spacing w:after="0"/>
              <w:rPr>
                <w:sz w:val="20"/>
                <w:szCs w:val="20"/>
                <w:color w:val="auto"/>
              </w:rPr>
            </w:pPr>
            <w:r>
              <w:rPr>
                <w:rFonts w:ascii="Arial" w:cs="Arial" w:eastAsia="Arial" w:hAnsi="Arial"/>
                <w:sz w:val="14"/>
                <w:szCs w:val="14"/>
                <w:color w:val="auto"/>
              </w:rPr>
              <w:t>100.00 %</w:t>
            </w:r>
          </w:p>
        </w:tc>
        <w:tc>
          <w:tcPr>
            <w:tcW w:w="2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4.88 %</w:t>
            </w: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5.26 %</w:t>
            </w:r>
          </w:p>
        </w:tc>
        <w:tc>
          <w:tcPr>
            <w:tcW w:w="2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35" w:lineRule="exact"/>
        <w:rPr>
          <w:sz w:val="20"/>
          <w:szCs w:val="20"/>
          <w:color w:val="auto"/>
        </w:rPr>
      </w:pPr>
    </w:p>
    <w:p>
      <w:pPr>
        <w:ind w:left="160" w:hanging="71"/>
        <w:spacing w:after="0"/>
        <w:tabs>
          <w:tab w:leader="none" w:pos="160" w:val="left"/>
        </w:tabs>
        <w:numPr>
          <w:ilvl w:val="0"/>
          <w:numId w:val="96"/>
        </w:numPr>
        <w:rPr>
          <w:rFonts w:ascii="Arial" w:cs="Arial" w:eastAsia="Arial" w:hAnsi="Arial"/>
          <w:sz w:val="9"/>
          <w:szCs w:val="9"/>
          <w:color w:val="auto"/>
        </w:rPr>
      </w:pPr>
      <w:r>
        <w:rPr>
          <w:rFonts w:ascii="Arial" w:cs="Arial" w:eastAsia="Arial" w:hAnsi="Arial"/>
          <w:sz w:val="14"/>
          <w:szCs w:val="14"/>
          <w:color w:val="auto"/>
        </w:rPr>
        <w:t>Amounts represent BXP’s share based on its ownership percentage.</w:t>
      </w:r>
    </w:p>
    <w:p>
      <w:pPr>
        <w:spacing w:after="0" w:line="55" w:lineRule="exact"/>
        <w:rPr>
          <w:sz w:val="20"/>
          <w:szCs w:val="20"/>
          <w:color w:val="auto"/>
        </w:rPr>
      </w:pPr>
    </w:p>
    <w:p>
      <w:pPr>
        <w:ind w:left="180" w:right="20" w:hanging="91"/>
        <w:spacing w:after="0" w:line="231" w:lineRule="auto"/>
        <w:tabs>
          <w:tab w:leader="none" w:pos="178" w:val="left"/>
        </w:tabs>
        <w:numPr>
          <w:ilvl w:val="0"/>
          <w:numId w:val="97"/>
        </w:numPr>
        <w:rPr>
          <w:rFonts w:ascii="Arial" w:cs="Arial" w:eastAsia="Arial" w:hAnsi="Arial"/>
          <w:sz w:val="19"/>
          <w:szCs w:val="19"/>
          <w:color w:val="auto"/>
          <w:vertAlign w:val="superscript"/>
        </w:rPr>
      </w:pPr>
      <w:r>
        <w:rPr>
          <w:rFonts w:ascii="Arial" w:cs="Arial" w:eastAsia="Arial" w:hAnsi="Arial"/>
          <w:sz w:val="14"/>
          <w:szCs w:val="14"/>
          <w:color w:val="auto"/>
        </w:rPr>
        <w:t>The GAAP interest rate differs from the stated interest rate due to the inclusion of the amortization of financing charges, which includes mortgage recording fees, the effects of hedging transactions (if any) and adjustments required under Accounting Standards Codification 805 “Business Combinations” to reflect loans at their fair values (if any).</w:t>
      </w:r>
    </w:p>
    <w:p>
      <w:pPr>
        <w:ind w:left="160" w:hanging="71"/>
        <w:spacing w:after="0" w:line="222" w:lineRule="auto"/>
        <w:tabs>
          <w:tab w:leader="none" w:pos="160" w:val="left"/>
        </w:tabs>
        <w:numPr>
          <w:ilvl w:val="0"/>
          <w:numId w:val="98"/>
        </w:numPr>
        <w:rPr>
          <w:rFonts w:ascii="Arial" w:cs="Arial" w:eastAsia="Arial" w:hAnsi="Arial"/>
          <w:sz w:val="19"/>
          <w:szCs w:val="19"/>
          <w:color w:val="auto"/>
          <w:vertAlign w:val="superscript"/>
        </w:rPr>
      </w:pPr>
      <w:r>
        <w:rPr>
          <w:rFonts w:ascii="Arial" w:cs="Arial" w:eastAsia="Arial" w:hAnsi="Arial"/>
          <w:sz w:val="14"/>
          <w:szCs w:val="14"/>
          <w:color w:val="auto"/>
        </w:rPr>
        <w:t>The construction financing has a borrowing capacity of $98.7 million.</w:t>
      </w:r>
    </w:p>
    <w:p>
      <w:pPr>
        <w:ind w:left="160" w:hanging="71"/>
        <w:spacing w:after="0" w:line="238" w:lineRule="auto"/>
        <w:tabs>
          <w:tab w:leader="none" w:pos="160" w:val="left"/>
        </w:tabs>
        <w:numPr>
          <w:ilvl w:val="0"/>
          <w:numId w:val="99"/>
        </w:numPr>
        <w:rPr>
          <w:rFonts w:ascii="Arial" w:cs="Arial" w:eastAsia="Arial" w:hAnsi="Arial"/>
          <w:sz w:val="19"/>
          <w:szCs w:val="19"/>
          <w:color w:val="auto"/>
          <w:vertAlign w:val="superscript"/>
        </w:rPr>
      </w:pPr>
      <w:r>
        <w:rPr>
          <w:rFonts w:ascii="Arial" w:cs="Arial" w:eastAsia="Arial" w:hAnsi="Arial"/>
          <w:sz w:val="14"/>
          <w:szCs w:val="14"/>
          <w:color w:val="auto"/>
        </w:rPr>
        <w:t>The Company completed the sale of the property on September 17, 2025 and is currently in the process of dissolving the joint venture.</w:t>
      </w:r>
    </w:p>
    <w:p>
      <w:pPr>
        <w:spacing w:after="0" w:line="26" w:lineRule="exact"/>
        <w:rPr>
          <w:rFonts w:ascii="Arial" w:cs="Arial" w:eastAsia="Arial" w:hAnsi="Arial"/>
          <w:sz w:val="19"/>
          <w:szCs w:val="19"/>
          <w:color w:val="auto"/>
          <w:vertAlign w:val="superscript"/>
        </w:rPr>
      </w:pPr>
    </w:p>
    <w:p>
      <w:pPr>
        <w:ind w:left="80"/>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This investment includes a net deficit balance from the amenity joint venture.</w:t>
      </w:r>
    </w:p>
    <w:p>
      <w:pPr>
        <w:spacing w:after="0" w:line="1" w:lineRule="exact"/>
        <w:rPr>
          <w:sz w:val="20"/>
          <w:szCs w:val="20"/>
          <w:color w:val="auto"/>
        </w:rPr>
      </w:pPr>
    </w:p>
    <w:p>
      <w:pPr>
        <w:ind w:left="180" w:right="40" w:hanging="91"/>
        <w:spacing w:after="0" w:line="238" w:lineRule="auto"/>
        <w:tabs>
          <w:tab w:leader="none" w:pos="178" w:val="left"/>
        </w:tabs>
        <w:numPr>
          <w:ilvl w:val="0"/>
          <w:numId w:val="100"/>
        </w:numPr>
        <w:rPr>
          <w:rFonts w:ascii="Arial" w:cs="Arial" w:eastAsia="Arial" w:hAnsi="Arial"/>
          <w:sz w:val="19"/>
          <w:szCs w:val="19"/>
          <w:color w:val="auto"/>
          <w:vertAlign w:val="superscript"/>
        </w:rPr>
      </w:pPr>
      <w:r>
        <w:rPr>
          <w:rFonts w:ascii="Arial" w:cs="Arial" w:eastAsia="Arial" w:hAnsi="Arial"/>
          <w:sz w:val="14"/>
          <w:szCs w:val="14"/>
          <w:color w:val="auto"/>
        </w:rPr>
        <w:t>The indebtedness consists of (x) a senior loan with a third-party lender with a principal amount of $108.0 million that bears interest at a variable rate equal to Term SOFR plus 5.25% per annum and (y) a mezzanine loan provided by the Company with a maximum commitment of $50.0 million that bears interest at a variable rate equal to Term SOFR plus 7.25% per annum. As of September 30, 2026, the Company has funded approximately $28.6 million of the mezzanine loan. The loan is reflected as related party notes receivable, net on the Company’s Consolidated Balance Sheets.</w:t>
      </w:r>
    </w:p>
    <w:p>
      <w:pPr>
        <w:spacing w:after="0" w:line="14" w:lineRule="exact"/>
        <w:rPr>
          <w:sz w:val="20"/>
          <w:szCs w:val="20"/>
          <w:color w:val="auto"/>
        </w:rPr>
      </w:pPr>
    </w:p>
    <w:p>
      <w:pPr>
        <w:ind w:left="160" w:hanging="71"/>
        <w:spacing w:after="0"/>
        <w:tabs>
          <w:tab w:leader="none" w:pos="160" w:val="left"/>
        </w:tabs>
        <w:numPr>
          <w:ilvl w:val="0"/>
          <w:numId w:val="101"/>
        </w:numPr>
        <w:rPr>
          <w:rFonts w:ascii="Arial" w:cs="Arial" w:eastAsia="Arial" w:hAnsi="Arial"/>
          <w:sz w:val="9"/>
          <w:szCs w:val="9"/>
          <w:color w:val="auto"/>
        </w:rPr>
      </w:pPr>
      <w:r>
        <w:rPr>
          <w:rFonts w:ascii="Arial" w:cs="Arial" w:eastAsia="Arial" w:hAnsi="Arial"/>
          <w:sz w:val="14"/>
          <w:szCs w:val="14"/>
          <w:color w:val="auto"/>
        </w:rPr>
        <w:t>The construction financing has a borrowing capacity of $225.0 million.</w:t>
      </w:r>
    </w:p>
    <w:p>
      <w:pPr>
        <w:spacing w:after="0" w:line="55" w:lineRule="exact"/>
        <w:rPr>
          <w:sz w:val="20"/>
          <w:szCs w:val="20"/>
          <w:color w:val="auto"/>
        </w:rPr>
      </w:pPr>
    </w:p>
    <w:p>
      <w:pPr>
        <w:ind w:left="180" w:hanging="91"/>
        <w:spacing w:after="0" w:line="231" w:lineRule="auto"/>
        <w:tabs>
          <w:tab w:leader="none" w:pos="178" w:val="left"/>
        </w:tabs>
        <w:numPr>
          <w:ilvl w:val="0"/>
          <w:numId w:val="102"/>
        </w:numPr>
        <w:rPr>
          <w:rFonts w:ascii="Arial" w:cs="Arial" w:eastAsia="Arial" w:hAnsi="Arial"/>
          <w:sz w:val="19"/>
          <w:szCs w:val="19"/>
          <w:color w:val="auto"/>
          <w:vertAlign w:val="superscript"/>
        </w:rPr>
      </w:pPr>
      <w:r>
        <w:rPr>
          <w:rFonts w:ascii="Arial" w:cs="Arial" w:eastAsia="Arial" w:hAnsi="Arial"/>
          <w:sz w:val="14"/>
          <w:szCs w:val="14"/>
          <w:color w:val="auto"/>
        </w:rPr>
        <w:t>The Company has fully funded the first $65.0 million of required capital through its preferred equity investment accruing at a 13% internal rate of return and is to be redeemed, in full, upon the earlier of two years after stabilization or March 5, 2030.</w:t>
      </w:r>
    </w:p>
    <w:p>
      <w:pPr>
        <w:spacing w:after="0" w:line="13" w:lineRule="exact"/>
        <w:rPr>
          <w:sz w:val="20"/>
          <w:szCs w:val="20"/>
          <w:color w:val="auto"/>
        </w:rPr>
      </w:pPr>
    </w:p>
    <w:p>
      <w:pPr>
        <w:ind w:left="180" w:right="160" w:hanging="91"/>
        <w:spacing w:after="0" w:line="231" w:lineRule="auto"/>
        <w:tabs>
          <w:tab w:leader="none" w:pos="178"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The indebtedness consists of (x) a $70.0 million component that bears interest at a fixed rate of 6.78% per annum and (y) a $35.0 million component that bears interest at a variable rate equal to Term SOFR plus 2.00% per annum and as of September 30, 2026, is available to be advanced to the joint venture.</w:t>
      </w:r>
    </w:p>
    <w:p>
      <w:pPr>
        <w:spacing w:after="0" w:line="13" w:lineRule="exact"/>
        <w:rPr>
          <w:sz w:val="20"/>
          <w:szCs w:val="20"/>
          <w:color w:val="auto"/>
        </w:rPr>
      </w:pPr>
    </w:p>
    <w:p>
      <w:pPr>
        <w:ind w:left="160" w:hanging="152"/>
        <w:spacing w:after="0"/>
        <w:tabs>
          <w:tab w:leader="none" w:pos="160" w:val="left"/>
        </w:tabs>
        <w:numPr>
          <w:ilvl w:val="0"/>
          <w:numId w:val="104"/>
        </w:numPr>
        <w:rPr>
          <w:rFonts w:ascii="Arial" w:cs="Arial" w:eastAsia="Arial" w:hAnsi="Arial"/>
          <w:sz w:val="9"/>
          <w:szCs w:val="9"/>
          <w:color w:val="auto"/>
        </w:rPr>
      </w:pPr>
      <w:r>
        <w:rPr>
          <w:rFonts w:ascii="Arial" w:cs="Arial" w:eastAsia="Arial" w:hAnsi="Arial"/>
          <w:sz w:val="14"/>
          <w:szCs w:val="14"/>
          <w:color w:val="auto"/>
        </w:rPr>
        <w:t>No amounts have been drawn under the $68.2 million construction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ectPr>
          <w:pgSz w:w="11900" w:h="16838" w:orient="portrait"/>
          <w:cols w:equalWidth="0" w:num="1">
            <w:col w:w="11240"/>
          </w:cols>
          <w:pgMar w:left="320" w:top="279" w:right="339" w:bottom="1440" w:gutter="0" w:footer="0" w:header="0"/>
        </w:sectPr>
      </w:pPr>
    </w:p>
    <w:bookmarkStart w:id="44" w:name="page45"/>
    <w:bookmarkEnd w:id="44"/>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Unconsolidated joint ventures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in thousands)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RESULTS OF OPERATIONS </w:t>
      </w:r>
      <w:r>
        <w:rPr>
          <w:rFonts w:ascii="Arial" w:cs="Arial" w:eastAsia="Arial" w:hAnsi="Arial"/>
          <w:sz w:val="9"/>
          <w:szCs w:val="9"/>
          <w:b w:val="1"/>
          <w:bCs w:val="1"/>
          <w:i w:val="1"/>
          <w:i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jc w:val="center"/>
              <w:ind w:right="320"/>
              <w:spacing w:after="0"/>
              <w:rPr>
                <w:sz w:val="20"/>
                <w:szCs w:val="20"/>
                <w:color w:val="auto"/>
              </w:rPr>
            </w:pPr>
            <w:r>
              <w:rPr>
                <w:rFonts w:ascii="Arial" w:cs="Arial" w:eastAsia="Arial" w:hAnsi="Arial"/>
                <w:sz w:val="14"/>
                <w:szCs w:val="14"/>
                <w:color w:val="auto"/>
              </w:rPr>
              <w:t>San</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color w:val="auto"/>
              </w:rPr>
              <w:t>Washington,</w:t>
            </w:r>
          </w:p>
        </w:tc>
        <w:tc>
          <w:tcPr>
            <w:tcW w:w="100" w:type="dxa"/>
            <w:vAlign w:val="bottom"/>
          </w:tcPr>
          <w:p>
            <w:pPr>
              <w:spacing w:after="0"/>
              <w:rPr>
                <w:sz w:val="14"/>
                <w:szCs w:val="14"/>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color w:val="auto"/>
              </w:rPr>
              <w:t>Boston</w:t>
            </w:r>
          </w:p>
        </w:tc>
        <w:tc>
          <w:tcPr>
            <w:tcW w:w="900" w:type="dxa"/>
            <w:vAlign w:val="bottom"/>
            <w:gridSpan w:val="2"/>
            <w:vMerge w:val="restart"/>
          </w:tcPr>
          <w:p>
            <w:pPr>
              <w:jc w:val="right"/>
              <w:spacing w:after="0"/>
              <w:rPr>
                <w:sz w:val="20"/>
                <w:szCs w:val="20"/>
                <w:color w:val="auto"/>
              </w:rPr>
            </w:pPr>
            <w:r>
              <w:rPr>
                <w:rFonts w:ascii="Arial" w:cs="Arial" w:eastAsia="Arial" w:hAnsi="Arial"/>
                <w:sz w:val="14"/>
                <w:szCs w:val="14"/>
                <w:color w:val="auto"/>
              </w:rPr>
              <w:t>Los Angeles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48"/>
              <w:spacing w:after="0"/>
              <w:rPr>
                <w:sz w:val="20"/>
                <w:szCs w:val="20"/>
                <w:color w:val="auto"/>
              </w:rPr>
            </w:pPr>
            <w:r>
              <w:rPr>
                <w:rFonts w:ascii="Arial" w:cs="Arial" w:eastAsia="Arial" w:hAnsi="Arial"/>
                <w:sz w:val="14"/>
                <w:szCs w:val="14"/>
                <w:color w:val="auto"/>
                <w:w w:val="98"/>
              </w:rPr>
              <w:t>New York</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4"/>
                <w:szCs w:val="14"/>
                <w:color w:val="auto"/>
              </w:rPr>
              <w:t>Seattle</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Unconsolidated</w:t>
            </w:r>
          </w:p>
        </w:tc>
        <w:tc>
          <w:tcPr>
            <w:tcW w:w="0" w:type="dxa"/>
            <w:vAlign w:val="bottom"/>
          </w:tcPr>
          <w:p>
            <w:pPr>
              <w:spacing w:after="0"/>
              <w:rPr>
                <w:sz w:val="1"/>
                <w:szCs w:val="1"/>
                <w:color w:val="auto"/>
              </w:rPr>
            </w:pPr>
          </w:p>
        </w:tc>
      </w:tr>
      <w:tr>
        <w:trPr>
          <w:trHeight w:val="189"/>
        </w:trPr>
        <w:tc>
          <w:tcPr>
            <w:tcW w:w="3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color w:val="auto"/>
              </w:rPr>
              <w:t>Francisco</w:t>
            </w: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color w:val="auto"/>
                <w:w w:val="98"/>
              </w:rPr>
              <w:t>DC</w:t>
            </w:r>
          </w:p>
        </w:tc>
        <w:tc>
          <w:tcPr>
            <w:tcW w:w="100" w:type="dxa"/>
            <w:vAlign w:val="bottom"/>
          </w:tcPr>
          <w:p>
            <w:pPr>
              <w:spacing w:after="0"/>
              <w:rPr>
                <w:sz w:val="16"/>
                <w:szCs w:val="16"/>
                <w:color w:val="auto"/>
              </w:rPr>
            </w:pPr>
          </w:p>
        </w:tc>
        <w:tc>
          <w:tcPr>
            <w:tcW w:w="1120" w:type="dxa"/>
            <w:vAlign w:val="bottom"/>
          </w:tcPr>
          <w:p>
            <w:pPr>
              <w:jc w:val="center"/>
              <w:ind w:right="28"/>
              <w:spacing w:after="0"/>
              <w:rPr>
                <w:sz w:val="20"/>
                <w:szCs w:val="20"/>
                <w:color w:val="auto"/>
              </w:rPr>
            </w:pPr>
            <w:r>
              <w:rPr>
                <w:rFonts w:ascii="Arial" w:cs="Arial" w:eastAsia="Arial" w:hAnsi="Arial"/>
                <w:sz w:val="14"/>
                <w:szCs w:val="14"/>
                <w:color w:val="auto"/>
              </w:rPr>
              <w:t>Joint Ventures</w:t>
            </w:r>
          </w:p>
        </w:tc>
        <w:tc>
          <w:tcPr>
            <w:tcW w:w="0" w:type="dxa"/>
            <w:vAlign w:val="bottom"/>
          </w:tcPr>
          <w:p>
            <w:pPr>
              <w:spacing w:after="0"/>
              <w:rPr>
                <w:sz w:val="1"/>
                <w:szCs w:val="1"/>
                <w:color w:val="auto"/>
              </w:rPr>
            </w:pPr>
          </w:p>
        </w:tc>
      </w:tr>
      <w:tr>
        <w:trPr>
          <w:trHeight w:val="194"/>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00" w:type="dxa"/>
            <w:vAlign w:val="bottom"/>
          </w:tcPr>
          <w:p>
            <w:pPr>
              <w:ind w:left="220"/>
              <w:spacing w:after="0"/>
              <w:rPr>
                <w:sz w:val="20"/>
                <w:szCs w:val="20"/>
                <w:color w:val="auto"/>
              </w:rPr>
            </w:pPr>
            <w:r>
              <w:rPr>
                <w:rFonts w:ascii="Arial" w:cs="Arial" w:eastAsia="Arial" w:hAnsi="Arial"/>
                <w:sz w:val="14"/>
                <w:szCs w:val="14"/>
                <w:color w:val="auto"/>
              </w:rPr>
              <w:t xml:space="preserve">Lease </w:t>
            </w:r>
            <w:r>
              <w:rPr>
                <w:rFonts w:ascii="Arial" w:cs="Arial" w:eastAsia="Arial" w:hAnsi="Arial"/>
                <w:sz w:val="18"/>
                <w:szCs w:val="18"/>
                <w:color w:val="auto"/>
                <w:vertAlign w:val="superscript"/>
              </w:rPr>
              <w:t>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28,813</w:t>
            </w:r>
          </w:p>
        </w:tc>
        <w:tc>
          <w:tcPr>
            <w:tcW w:w="18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20,828</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13,499</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7,479</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9,445</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80,064</w:t>
            </w:r>
          </w:p>
        </w:tc>
        <w:tc>
          <w:tcPr>
            <w:tcW w:w="0" w:type="dxa"/>
            <w:vAlign w:val="bottom"/>
          </w:tcPr>
          <w:p>
            <w:pPr>
              <w:spacing w:after="0"/>
              <w:rPr>
                <w:sz w:val="1"/>
                <w:szCs w:val="1"/>
                <w:color w:val="auto"/>
              </w:rPr>
            </w:pPr>
          </w:p>
        </w:tc>
      </w:tr>
      <w:tr>
        <w:trPr>
          <w:trHeight w:val="190"/>
        </w:trPr>
        <w:tc>
          <w:tcPr>
            <w:tcW w:w="3500" w:type="dxa"/>
            <w:vAlign w:val="bottom"/>
          </w:tcPr>
          <w:p>
            <w:pPr>
              <w:ind w:left="220"/>
              <w:spacing w:after="0"/>
              <w:rPr>
                <w:sz w:val="20"/>
                <w:szCs w:val="20"/>
                <w:color w:val="auto"/>
              </w:rPr>
            </w:pPr>
            <w:r>
              <w:rPr>
                <w:rFonts w:ascii="Arial" w:cs="Arial" w:eastAsia="Arial" w:hAnsi="Arial"/>
                <w:sz w:val="14"/>
                <w:szCs w:val="14"/>
                <w:color w:val="auto"/>
              </w:rPr>
              <w:t>Straight-line rent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(122)</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(935)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11,027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10,091</w:t>
            </w: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4"/>
                <w:szCs w:val="14"/>
                <w:color w:val="auto"/>
              </w:rPr>
              <w:t>Fair value lease revenue</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1,387</w:t>
            </w: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4"/>
                <w:szCs w:val="14"/>
                <w:color w:val="auto"/>
              </w:rPr>
              <w:t>Termination income</w:t>
            </w:r>
          </w:p>
        </w:tc>
        <w:tc>
          <w:tcPr>
            <w:tcW w:w="1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4,574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7,040</w:t>
            </w:r>
          </w:p>
        </w:tc>
        <w:tc>
          <w:tcPr>
            <w:tcW w:w="0" w:type="dxa"/>
            <w:vAlign w:val="bottom"/>
          </w:tcPr>
          <w:p>
            <w:pPr>
              <w:spacing w:after="0"/>
              <w:rPr>
                <w:sz w:val="1"/>
                <w:szCs w:val="1"/>
                <w:color w:val="auto"/>
              </w:rPr>
            </w:pPr>
          </w:p>
        </w:tc>
      </w:tr>
      <w:tr>
        <w:trPr>
          <w:trHeight w:val="170"/>
        </w:trPr>
        <w:tc>
          <w:tcPr>
            <w:tcW w:w="3500" w:type="dxa"/>
            <w:vAlign w:val="bottom"/>
          </w:tcPr>
          <w:p>
            <w:pPr>
              <w:ind w:left="220"/>
              <w:spacing w:after="0"/>
              <w:rPr>
                <w:sz w:val="20"/>
                <w:szCs w:val="20"/>
                <w:color w:val="auto"/>
              </w:rPr>
            </w:pPr>
            <w:r>
              <w:rPr>
                <w:rFonts w:ascii="Arial" w:cs="Arial" w:eastAsia="Arial" w:hAnsi="Arial"/>
                <w:sz w:val="14"/>
                <w:szCs w:val="14"/>
                <w:color w:val="auto"/>
              </w:rPr>
              <w:t>Amortization and accretion related to sales-type</w:t>
            </w:r>
          </w:p>
        </w:tc>
        <w:tc>
          <w:tcPr>
            <w:tcW w:w="16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58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9"/>
        </w:trPr>
        <w:tc>
          <w:tcPr>
            <w:tcW w:w="3500" w:type="dxa"/>
            <w:vAlign w:val="bottom"/>
          </w:tcPr>
          <w:p>
            <w:pPr>
              <w:ind w:left="360"/>
              <w:spacing w:after="0"/>
              <w:rPr>
                <w:sz w:val="20"/>
                <w:szCs w:val="20"/>
                <w:color w:val="auto"/>
              </w:rPr>
            </w:pPr>
            <w:r>
              <w:rPr>
                <w:rFonts w:ascii="Arial" w:cs="Arial" w:eastAsia="Arial" w:hAnsi="Arial"/>
                <w:sz w:val="14"/>
                <w:szCs w:val="14"/>
                <w:color w:val="auto"/>
              </w:rPr>
              <w:t>lease</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00" w:type="dxa"/>
            <w:vAlign w:val="bottom"/>
          </w:tcPr>
          <w:p>
            <w:pPr>
              <w:ind w:left="560"/>
              <w:spacing w:after="0"/>
              <w:rPr>
                <w:sz w:val="20"/>
                <w:szCs w:val="20"/>
                <w:color w:val="auto"/>
              </w:rPr>
            </w:pPr>
            <w:r>
              <w:rPr>
                <w:rFonts w:ascii="Arial" w:cs="Arial" w:eastAsia="Arial" w:hAnsi="Arial"/>
                <w:sz w:val="14"/>
                <w:szCs w:val="14"/>
                <w:color w:val="auto"/>
              </w:rPr>
              <w:t>Total lease revenue</w:t>
            </w:r>
          </w:p>
        </w:tc>
        <w:tc>
          <w:tcPr>
            <w:tcW w:w="160" w:type="dxa"/>
            <w:vAlign w:val="bottom"/>
          </w:tcPr>
          <w:p>
            <w:pPr>
              <w:spacing w:after="0"/>
              <w:rPr>
                <w:sz w:val="17"/>
                <w:szCs w:val="17"/>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33,323</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19,953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27,375</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8,493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9,496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98,640</w:t>
            </w:r>
          </w:p>
        </w:tc>
        <w:tc>
          <w:tcPr>
            <w:tcW w:w="0" w:type="dxa"/>
            <w:vAlign w:val="bottom"/>
          </w:tcPr>
          <w:p>
            <w:pPr>
              <w:spacing w:after="0"/>
              <w:rPr>
                <w:sz w:val="1"/>
                <w:szCs w:val="1"/>
                <w:color w:val="auto"/>
              </w:rPr>
            </w:pPr>
          </w:p>
        </w:tc>
      </w:tr>
      <w:tr>
        <w:trPr>
          <w:trHeight w:val="218"/>
        </w:trPr>
        <w:tc>
          <w:tcPr>
            <w:tcW w:w="3500" w:type="dxa"/>
            <w:vAlign w:val="bottom"/>
          </w:tcPr>
          <w:p>
            <w:pPr>
              <w:ind w:left="220"/>
              <w:spacing w:after="0"/>
              <w:rPr>
                <w:sz w:val="20"/>
                <w:szCs w:val="20"/>
                <w:color w:val="auto"/>
              </w:rPr>
            </w:pPr>
            <w:r>
              <w:rPr>
                <w:rFonts w:ascii="Arial" w:cs="Arial" w:eastAsia="Arial" w:hAnsi="Arial"/>
                <w:sz w:val="14"/>
                <w:szCs w:val="14"/>
                <w:color w:val="auto"/>
              </w:rPr>
              <w:t>Parking and other</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2,193</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3,913</w:t>
            </w:r>
          </w:p>
        </w:tc>
        <w:tc>
          <w:tcPr>
            <w:tcW w:w="0" w:type="dxa"/>
            <w:vAlign w:val="bottom"/>
          </w:tcPr>
          <w:p>
            <w:pPr>
              <w:spacing w:after="0"/>
              <w:rPr>
                <w:sz w:val="1"/>
                <w:szCs w:val="1"/>
                <w:color w:val="auto"/>
              </w:rPr>
            </w:pPr>
          </w:p>
        </w:tc>
      </w:tr>
      <w:tr>
        <w:trPr>
          <w:trHeight w:val="234"/>
        </w:trPr>
        <w:tc>
          <w:tcPr>
            <w:tcW w:w="3500" w:type="dxa"/>
            <w:vAlign w:val="bottom"/>
          </w:tcPr>
          <w:p>
            <w:pPr>
              <w:ind w:left="560"/>
              <w:spacing w:after="0"/>
              <w:rPr>
                <w:sz w:val="20"/>
                <w:szCs w:val="20"/>
                <w:color w:val="auto"/>
              </w:rPr>
            </w:pPr>
            <w:r>
              <w:rPr>
                <w:rFonts w:ascii="Arial" w:cs="Arial" w:eastAsia="Arial" w:hAnsi="Arial"/>
                <w:sz w:val="14"/>
                <w:szCs w:val="14"/>
                <w:color w:val="auto"/>
              </w:rPr>
              <w:t xml:space="preserve">Total rental revenue </w:t>
            </w:r>
            <w:r>
              <w:rPr>
                <w:rFonts w:ascii="Arial" w:cs="Arial" w:eastAsia="Arial" w:hAnsi="Arial"/>
                <w:sz w:val="18"/>
                <w:szCs w:val="18"/>
                <w:color w:val="auto"/>
                <w:vertAlign w:val="superscript"/>
              </w:rPr>
              <w:t>3</w:t>
            </w:r>
          </w:p>
        </w:tc>
        <w:tc>
          <w:tcPr>
            <w:tcW w:w="160" w:type="dxa"/>
            <w:vAlign w:val="bottom"/>
          </w:tcPr>
          <w:p>
            <w:pPr>
              <w:spacing w:after="0"/>
              <w:rPr>
                <w:sz w:val="20"/>
                <w:szCs w:val="20"/>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33,326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22,146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27,424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9,113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10,544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102,553</w:t>
            </w:r>
          </w:p>
        </w:tc>
        <w:tc>
          <w:tcPr>
            <w:tcW w:w="0" w:type="dxa"/>
            <w:vAlign w:val="bottom"/>
          </w:tcPr>
          <w:p>
            <w:pPr>
              <w:spacing w:after="0"/>
              <w:rPr>
                <w:sz w:val="1"/>
                <w:szCs w:val="1"/>
                <w:color w:val="auto"/>
              </w:rPr>
            </w:pPr>
          </w:p>
        </w:tc>
      </w:tr>
      <w:tr>
        <w:trPr>
          <w:trHeight w:val="196"/>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500" w:type="dxa"/>
            <w:vAlign w:val="bottom"/>
          </w:tcPr>
          <w:p>
            <w:pPr>
              <w:ind w:left="220"/>
              <w:spacing w:after="0"/>
              <w:rPr>
                <w:sz w:val="20"/>
                <w:szCs w:val="20"/>
                <w:color w:val="auto"/>
              </w:rPr>
            </w:pPr>
            <w:r>
              <w:rPr>
                <w:rFonts w:ascii="Arial" w:cs="Arial" w:eastAsia="Arial" w:hAnsi="Arial"/>
                <w:sz w:val="14"/>
                <w:szCs w:val="14"/>
                <w:color w:val="auto"/>
              </w:rPr>
              <w:t>Operating</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10,951</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8,217</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18,190</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3,392</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47,466</w:t>
            </w:r>
          </w:p>
        </w:tc>
        <w:tc>
          <w:tcPr>
            <w:tcW w:w="0" w:type="dxa"/>
            <w:vAlign w:val="bottom"/>
          </w:tcPr>
          <w:p>
            <w:pPr>
              <w:spacing w:after="0"/>
              <w:rPr>
                <w:sz w:val="1"/>
                <w:szCs w:val="1"/>
                <w:color w:val="auto"/>
              </w:rPr>
            </w:pPr>
          </w:p>
        </w:tc>
      </w:tr>
      <w:tr>
        <w:trPr>
          <w:trHeight w:val="212"/>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 (loss)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22,375</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13,929</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9,234</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5,721</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4,839</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55,087</w:t>
            </w:r>
          </w:p>
        </w:tc>
        <w:tc>
          <w:tcPr>
            <w:tcW w:w="0" w:type="dxa"/>
            <w:vAlign w:val="bottom"/>
          </w:tcPr>
          <w:p>
            <w:pPr>
              <w:spacing w:after="0"/>
              <w:rPr>
                <w:sz w:val="1"/>
                <w:szCs w:val="1"/>
                <w:color w:val="auto"/>
              </w:rPr>
            </w:pPr>
          </w:p>
        </w:tc>
      </w:tr>
      <w:tr>
        <w:trPr>
          <w:trHeight w:val="358"/>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4"/>
                <w:szCs w:val="14"/>
                <w:color w:val="auto"/>
              </w:rPr>
              <w:t>Development and management services revenue</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4"/>
                <w:szCs w:val="14"/>
                <w:color w:val="auto"/>
              </w:rPr>
              <w:t>Interest and other income</w:t>
            </w:r>
          </w:p>
        </w:tc>
        <w:tc>
          <w:tcPr>
            <w:tcW w:w="16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388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976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2,206</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(9,488)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(14,850)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(35,990)</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4"/>
                <w:szCs w:val="14"/>
                <w:color w:val="auto"/>
              </w:rPr>
              <w:t>Depreciation and amortization expense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(8,734)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(29,589)</w:t>
            </w:r>
          </w:p>
        </w:tc>
        <w:tc>
          <w:tcPr>
            <w:tcW w:w="0" w:type="dxa"/>
            <w:vAlign w:val="bottom"/>
          </w:tcPr>
          <w:p>
            <w:pPr>
              <w:spacing w:after="0"/>
              <w:rPr>
                <w:sz w:val="1"/>
                <w:szCs w:val="1"/>
                <w:color w:val="auto"/>
              </w:rPr>
            </w:pPr>
          </w:p>
        </w:tc>
      </w:tr>
      <w:tr>
        <w:trPr>
          <w:trHeight w:val="220"/>
        </w:trPr>
        <w:tc>
          <w:tcPr>
            <w:tcW w:w="3500" w:type="dxa"/>
            <w:vAlign w:val="bottom"/>
          </w:tcPr>
          <w:p>
            <w:pPr>
              <w:ind w:left="20"/>
              <w:spacing w:after="0"/>
              <w:rPr>
                <w:sz w:val="20"/>
                <w:szCs w:val="20"/>
                <w:color w:val="auto"/>
              </w:rPr>
            </w:pPr>
            <w:r>
              <w:rPr>
                <w:rFonts w:ascii="Arial" w:cs="Arial" w:eastAsia="Arial" w:hAnsi="Arial"/>
                <w:sz w:val="14"/>
                <w:szCs w:val="14"/>
                <w:color w:val="auto"/>
              </w:rPr>
              <w:t>General and administrative expense</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10"/>
        </w:trPr>
        <w:tc>
          <w:tcPr>
            <w:tcW w:w="3500" w:type="dxa"/>
            <w:vAlign w:val="bottom"/>
          </w:tcPr>
          <w:p>
            <w:pPr>
              <w:ind w:left="56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(17,843)</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(9,474)</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(24,540)</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(4,192)</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(7,327)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(63,382)</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4,532</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4,455</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(15,306)</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1,529</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(2,488)</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(8,295)</w:t>
            </w:r>
          </w:p>
        </w:tc>
        <w:tc>
          <w:tcPr>
            <w:tcW w:w="0" w:type="dxa"/>
            <w:vAlign w:val="bottom"/>
          </w:tcPr>
          <w:p>
            <w:pPr>
              <w:spacing w:after="0"/>
              <w:rPr>
                <w:sz w:val="1"/>
                <w:szCs w:val="1"/>
                <w:color w:val="auto"/>
              </w:rPr>
            </w:pPr>
          </w:p>
        </w:tc>
      </w:tr>
      <w:tr>
        <w:trPr>
          <w:trHeight w:val="20"/>
        </w:trPr>
        <w:tc>
          <w:tcPr>
            <w:tcW w:w="3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Reconciliation of BXP’s share of Funds from</w:t>
            </w: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35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Operations (FFO)</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500" w:type="dxa"/>
            <w:vAlign w:val="bottom"/>
          </w:tcPr>
          <w:p>
            <w:pPr>
              <w:ind w:left="20"/>
              <w:spacing w:after="0"/>
              <w:rPr>
                <w:sz w:val="20"/>
                <w:szCs w:val="20"/>
                <w:color w:val="auto"/>
              </w:rPr>
            </w:pPr>
            <w:r>
              <w:rPr>
                <w:rFonts w:ascii="Arial" w:cs="Arial" w:eastAsia="Arial" w:hAnsi="Arial"/>
                <w:sz w:val="14"/>
                <w:szCs w:val="14"/>
                <w:color w:val="auto"/>
              </w:rPr>
              <w:t>BXP’s share of net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2,268</w:t>
            </w:r>
          </w:p>
        </w:tc>
        <w:tc>
          <w:tcPr>
            <w:tcW w:w="18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2,004</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(4,217)</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w:t>
            </w: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w:t>
            </w:r>
          </w:p>
        </w:tc>
        <w:tc>
          <w:tcPr>
            <w:tcW w:w="2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(606)</w:t>
            </w:r>
          </w:p>
        </w:tc>
        <w:tc>
          <w:tcPr>
            <w:tcW w:w="0" w:type="dxa"/>
            <w:vAlign w:val="bottom"/>
          </w:tcPr>
          <w:p>
            <w:pPr>
              <w:spacing w:after="0"/>
              <w:rPr>
                <w:sz w:val="1"/>
                <w:szCs w:val="1"/>
                <w:color w:val="auto"/>
              </w:rPr>
            </w:pPr>
          </w:p>
        </w:tc>
      </w:tr>
      <w:tr>
        <w:trPr>
          <w:trHeight w:val="194"/>
        </w:trPr>
        <w:tc>
          <w:tcPr>
            <w:tcW w:w="3500" w:type="dxa"/>
            <w:vAlign w:val="bottom"/>
          </w:tcPr>
          <w:p>
            <w:pPr>
              <w:ind w:left="20"/>
              <w:spacing w:after="0"/>
              <w:rPr>
                <w:sz w:val="20"/>
                <w:szCs w:val="20"/>
                <w:color w:val="auto"/>
              </w:rPr>
            </w:pPr>
            <w:r>
              <w:rPr>
                <w:rFonts w:ascii="Arial" w:cs="Arial" w:eastAsia="Arial" w:hAnsi="Arial"/>
                <w:sz w:val="14"/>
                <w:szCs w:val="14"/>
                <w:color w:val="auto"/>
              </w:rPr>
              <w:t>Basis differential</w:t>
            </w: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vMerge w:val="restart"/>
          </w:tcPr>
          <w:p>
            <w:pPr>
              <w:jc w:val="right"/>
              <w:ind w:right="3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00" w:type="dxa"/>
            <w:vAlign w:val="bottom"/>
          </w:tcPr>
          <w:p>
            <w:pPr>
              <w:ind w:left="180"/>
              <w:spacing w:after="0"/>
              <w:rPr>
                <w:sz w:val="20"/>
                <w:szCs w:val="20"/>
                <w:color w:val="auto"/>
              </w:rPr>
            </w:pPr>
            <w:r>
              <w:rPr>
                <w:rFonts w:ascii="Arial" w:cs="Arial" w:eastAsia="Arial" w:hAnsi="Arial"/>
                <w:sz w:val="14"/>
                <w:szCs w:val="14"/>
                <w:color w:val="auto"/>
              </w:rPr>
              <w:t>Straight-line rent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96</w:t>
            </w:r>
          </w:p>
        </w:tc>
        <w:tc>
          <w:tcPr>
            <w:tcW w:w="18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94</w:t>
            </w:r>
          </w:p>
        </w:tc>
        <w:tc>
          <w:tcPr>
            <w:tcW w:w="2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33"/>
        </w:trPr>
        <w:tc>
          <w:tcPr>
            <w:tcW w:w="3500" w:type="dxa"/>
            <w:vAlign w:val="bottom"/>
          </w:tcPr>
          <w:p>
            <w:pPr>
              <w:ind w:left="180"/>
              <w:spacing w:after="0"/>
              <w:rPr>
                <w:sz w:val="20"/>
                <w:szCs w:val="20"/>
                <w:color w:val="auto"/>
              </w:rPr>
            </w:pPr>
            <w:r>
              <w:rPr>
                <w:rFonts w:ascii="Arial" w:cs="Arial" w:eastAsia="Arial" w:hAnsi="Arial"/>
                <w:sz w:val="14"/>
                <w:szCs w:val="14"/>
                <w:color w:val="auto"/>
              </w:rPr>
              <w:t>Fair value lease revenue</w:t>
            </w: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80" w:type="dxa"/>
            <w:vAlign w:val="bottom"/>
          </w:tcPr>
          <w:p>
            <w:pPr>
              <w:jc w:val="right"/>
              <w:ind w:right="1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232</w:t>
            </w:r>
          </w:p>
        </w:tc>
        <w:tc>
          <w:tcPr>
            <w:tcW w:w="200" w:type="dxa"/>
            <w:vAlign w:val="bottom"/>
          </w:tcPr>
          <w:p>
            <w:pPr>
              <w:jc w:val="right"/>
              <w:ind w:right="3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4"/>
                <w:szCs w:val="14"/>
                <w:color w:val="auto"/>
              </w:rPr>
              <w:t>Fair value interest adjustment</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16"/>
        </w:trPr>
        <w:tc>
          <w:tcPr>
            <w:tcW w:w="3500" w:type="dxa"/>
            <w:vAlign w:val="bottom"/>
          </w:tcPr>
          <w:p>
            <w:pPr>
              <w:ind w:left="180"/>
              <w:spacing w:after="0"/>
              <w:rPr>
                <w:sz w:val="20"/>
                <w:szCs w:val="20"/>
                <w:color w:val="auto"/>
              </w:rPr>
            </w:pPr>
            <w:r>
              <w:rPr>
                <w:rFonts w:ascii="Arial" w:cs="Arial" w:eastAsia="Arial" w:hAnsi="Arial"/>
                <w:sz w:val="14"/>
                <w:szCs w:val="14"/>
                <w:color w:val="auto"/>
              </w:rPr>
              <w:t>Amortization of financing costs</w:t>
            </w: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w:t>
            </w:r>
          </w:p>
        </w:tc>
        <w:tc>
          <w:tcPr>
            <w:tcW w:w="200" w:type="dxa"/>
            <w:vAlign w:val="bottom"/>
            <w:vMerge w:val="restart"/>
          </w:tcPr>
          <w:p>
            <w:pPr>
              <w:jc w:val="right"/>
              <w:ind w:right="3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18"/>
        </w:trPr>
        <w:tc>
          <w:tcPr>
            <w:tcW w:w="3500" w:type="dxa"/>
            <w:vAlign w:val="bottom"/>
          </w:tcPr>
          <w:p>
            <w:pPr>
              <w:ind w:left="180"/>
              <w:spacing w:after="0"/>
              <w:rPr>
                <w:sz w:val="20"/>
                <w:szCs w:val="20"/>
                <w:color w:val="auto"/>
              </w:rPr>
            </w:pPr>
            <w:r>
              <w:rPr>
                <w:rFonts w:ascii="Arial" w:cs="Arial" w:eastAsia="Arial" w:hAnsi="Arial"/>
                <w:sz w:val="14"/>
                <w:szCs w:val="14"/>
                <w:color w:val="auto"/>
              </w:rPr>
              <w:t>Depreciation and amortization expense</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541</w:t>
            </w:r>
          </w:p>
        </w:tc>
        <w:tc>
          <w:tcPr>
            <w:tcW w:w="1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1,392</w:t>
            </w:r>
          </w:p>
        </w:tc>
        <w:tc>
          <w:tcPr>
            <w:tcW w:w="2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1,532</w:t>
            </w:r>
          </w:p>
        </w:tc>
        <w:tc>
          <w:tcPr>
            <w:tcW w:w="0" w:type="dxa"/>
            <w:vAlign w:val="bottom"/>
          </w:tcPr>
          <w:p>
            <w:pPr>
              <w:spacing w:after="0"/>
              <w:rPr>
                <w:sz w:val="1"/>
                <w:szCs w:val="1"/>
                <w:color w:val="auto"/>
              </w:rPr>
            </w:pPr>
          </w:p>
        </w:tc>
      </w:tr>
      <w:tr>
        <w:trPr>
          <w:trHeight w:val="212"/>
        </w:trPr>
        <w:tc>
          <w:tcPr>
            <w:tcW w:w="3500" w:type="dxa"/>
            <w:vAlign w:val="bottom"/>
          </w:tcPr>
          <w:p>
            <w:pPr>
              <w:ind w:left="560"/>
              <w:spacing w:after="0"/>
              <w:rPr>
                <w:sz w:val="20"/>
                <w:szCs w:val="20"/>
                <w:color w:val="auto"/>
              </w:rPr>
            </w:pPr>
            <w:r>
              <w:rPr>
                <w:rFonts w:ascii="Arial" w:cs="Arial" w:eastAsia="Arial" w:hAnsi="Arial"/>
                <w:sz w:val="14"/>
                <w:szCs w:val="14"/>
                <w:color w:val="auto"/>
              </w:rPr>
              <w:t>Total basis differential</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652</w:t>
            </w:r>
          </w:p>
        </w:tc>
        <w:tc>
          <w:tcPr>
            <w:tcW w:w="180" w:type="dxa"/>
            <w:vAlign w:val="bottom"/>
          </w:tcPr>
          <w:p>
            <w:pPr>
              <w:jc w:val="right"/>
              <w:ind w:right="13"/>
              <w:spacing w:after="0" w:line="98" w:lineRule="exact"/>
              <w:rPr>
                <w:sz w:val="20"/>
                <w:szCs w:val="20"/>
                <w:color w:val="auto"/>
              </w:rPr>
            </w:pPr>
            <w:r>
              <w:rPr>
                <w:rFonts w:ascii="Arial" w:cs="Arial" w:eastAsia="Arial" w:hAnsi="Arial"/>
                <w:sz w:val="9"/>
                <w:szCs w:val="9"/>
                <w:color w:val="auto"/>
              </w:rPr>
              <w:t>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1,500</w:t>
            </w:r>
          </w:p>
        </w:tc>
        <w:tc>
          <w:tcPr>
            <w:tcW w:w="200" w:type="dxa"/>
            <w:vAlign w:val="bottom"/>
          </w:tcPr>
          <w:p>
            <w:pPr>
              <w:jc w:val="right"/>
              <w:ind w:right="33"/>
              <w:spacing w:after="0" w:line="98" w:lineRule="exact"/>
              <w:rPr>
                <w:sz w:val="20"/>
                <w:szCs w:val="20"/>
                <w:color w:val="auto"/>
              </w:rPr>
            </w:pPr>
            <w:r>
              <w:rPr>
                <w:rFonts w:ascii="Arial" w:cs="Arial" w:eastAsia="Arial" w:hAnsi="Arial"/>
                <w:sz w:val="9"/>
                <w:szCs w:val="9"/>
                <w:color w:val="auto"/>
              </w:rPr>
              <w:t>4</w:t>
            </w:r>
          </w:p>
        </w:tc>
        <w:tc>
          <w:tcPr>
            <w:tcW w:w="12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1,751</w:t>
            </w:r>
          </w:p>
        </w:tc>
        <w:tc>
          <w:tcPr>
            <w:tcW w:w="0" w:type="dxa"/>
            <w:vAlign w:val="bottom"/>
          </w:tcPr>
          <w:p>
            <w:pPr>
              <w:spacing w:after="0"/>
              <w:rPr>
                <w:sz w:val="1"/>
                <w:szCs w:val="1"/>
                <w:color w:val="auto"/>
              </w:rPr>
            </w:pPr>
          </w:p>
        </w:tc>
      </w:tr>
      <w:tr>
        <w:trPr>
          <w:trHeight w:val="205"/>
        </w:trPr>
        <w:tc>
          <w:tcPr>
            <w:tcW w:w="3500" w:type="dxa"/>
            <w:vAlign w:val="bottom"/>
          </w:tcPr>
          <w:p>
            <w:pPr>
              <w:ind w:left="20"/>
              <w:spacing w:after="0"/>
              <w:rPr>
                <w:sz w:val="20"/>
                <w:szCs w:val="20"/>
                <w:color w:val="auto"/>
              </w:rPr>
            </w:pPr>
            <w:r>
              <w:rPr>
                <w:rFonts w:ascii="Arial" w:cs="Arial" w:eastAsia="Arial" w:hAnsi="Arial"/>
                <w:sz w:val="14"/>
                <w:szCs w:val="14"/>
                <w:color w:val="auto"/>
              </w:rPr>
              <w:t>Income (loss) from unconsolidated joint ventures</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2,264</w:t>
            </w: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2,656</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(2,717)</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(629)</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216"/>
        </w:trPr>
        <w:tc>
          <w:tcPr>
            <w:tcW w:w="3500" w:type="dxa"/>
            <w:vAlign w:val="bottom"/>
          </w:tcPr>
          <w:p>
            <w:pPr>
              <w:ind w:left="20"/>
              <w:spacing w:after="0"/>
              <w:rPr>
                <w:sz w:val="20"/>
                <w:szCs w:val="20"/>
                <w:color w:val="auto"/>
              </w:rPr>
            </w:pPr>
            <w:r>
              <w:rPr>
                <w:rFonts w:ascii="Arial" w:cs="Arial" w:eastAsia="Arial" w:hAnsi="Arial"/>
                <w:sz w:val="14"/>
                <w:szCs w:val="14"/>
                <w:color w:val="auto"/>
              </w:rPr>
              <w:t>Add:</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3500" w:type="dxa"/>
            <w:vAlign w:val="bottom"/>
          </w:tcPr>
          <w:p>
            <w:pPr>
              <w:ind w:left="180"/>
              <w:spacing w:after="0"/>
              <w:rPr>
                <w:sz w:val="20"/>
                <w:szCs w:val="20"/>
                <w:color w:val="auto"/>
              </w:rPr>
            </w:pPr>
            <w:r>
              <w:rPr>
                <w:rFonts w:ascii="Arial" w:cs="Arial" w:eastAsia="Arial" w:hAnsi="Arial"/>
                <w:sz w:val="14"/>
                <w:szCs w:val="14"/>
                <w:color w:val="auto"/>
              </w:rPr>
              <w:t>BXP’s share of depreciation and amortization</w:t>
            </w:r>
          </w:p>
        </w:tc>
        <w:tc>
          <w:tcPr>
            <w:tcW w:w="160" w:type="dxa"/>
            <w:vAlign w:val="bottom"/>
          </w:tcPr>
          <w:p>
            <w:pPr>
              <w:spacing w:after="0"/>
              <w:rPr>
                <w:sz w:val="14"/>
                <w:szCs w:val="14"/>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4,368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color w:val="auto"/>
              </w:rPr>
              <w:t>2,025</w:t>
            </w: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3,910</w:t>
            </w:r>
          </w:p>
        </w:tc>
        <w:tc>
          <w:tcPr>
            <w:tcW w:w="200" w:type="dxa"/>
            <w:vAlign w:val="bottom"/>
            <w:vMerge w:val="restart"/>
          </w:tcPr>
          <w:p>
            <w:pPr>
              <w:jc w:val="right"/>
              <w:ind w:right="33"/>
              <w:spacing w:after="0"/>
              <w:rPr>
                <w:sz w:val="20"/>
                <w:szCs w:val="20"/>
                <w:color w:val="auto"/>
              </w:rPr>
            </w:pPr>
            <w:r>
              <w:rPr>
                <w:rFonts w:ascii="Arial" w:cs="Arial" w:eastAsia="Arial" w:hAnsi="Arial"/>
                <w:sz w:val="9"/>
                <w:szCs w:val="9"/>
                <w:color w:val="auto"/>
              </w:rPr>
              <w:t>4</w:t>
            </w:r>
          </w:p>
        </w:tc>
        <w:tc>
          <w:tcPr>
            <w:tcW w:w="120" w:type="dxa"/>
            <w:vAlign w:val="bottom"/>
          </w:tcPr>
          <w:p>
            <w:pPr>
              <w:spacing w:after="0"/>
              <w:rPr>
                <w:sz w:val="14"/>
                <w:szCs w:val="14"/>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918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826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12,047</w:t>
            </w:r>
          </w:p>
        </w:tc>
        <w:tc>
          <w:tcPr>
            <w:tcW w:w="0" w:type="dxa"/>
            <w:vAlign w:val="bottom"/>
          </w:tcPr>
          <w:p>
            <w:pPr>
              <w:spacing w:after="0"/>
              <w:rPr>
                <w:sz w:val="1"/>
                <w:szCs w:val="1"/>
                <w:color w:val="auto"/>
              </w:rPr>
            </w:pPr>
          </w:p>
        </w:tc>
      </w:tr>
      <w:tr>
        <w:trPr>
          <w:trHeight w:val="189"/>
        </w:trPr>
        <w:tc>
          <w:tcPr>
            <w:tcW w:w="3500" w:type="dxa"/>
            <w:vAlign w:val="bottom"/>
          </w:tcPr>
          <w:p>
            <w:pPr>
              <w:ind w:left="360"/>
              <w:spacing w:after="0"/>
              <w:rPr>
                <w:sz w:val="20"/>
                <w:szCs w:val="20"/>
                <w:color w:val="auto"/>
              </w:rPr>
            </w:pPr>
            <w:r>
              <w:rPr>
                <w:rFonts w:ascii="Arial" w:cs="Arial" w:eastAsia="Arial" w:hAnsi="Arial"/>
                <w:sz w:val="14"/>
                <w:szCs w:val="14"/>
                <w:color w:val="auto"/>
              </w:rPr>
              <w:t>expense</w:t>
            </w: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tcPr>
          <w:p>
            <w:pPr>
              <w:ind w:left="20"/>
              <w:spacing w:after="0"/>
              <w:rPr>
                <w:sz w:val="20"/>
                <w:szCs w:val="20"/>
                <w:color w:val="auto"/>
              </w:rPr>
            </w:pPr>
            <w:r>
              <w:rPr>
                <w:rFonts w:ascii="Arial" w:cs="Arial" w:eastAsia="Arial" w:hAnsi="Arial"/>
                <w:sz w:val="14"/>
                <w:szCs w:val="14"/>
                <w:color w:val="auto"/>
              </w:rPr>
              <w:t>BXP’s share of FFO</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6,632</w:t>
            </w: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4,681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1,193</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1,048</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13,192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20" w:lineRule="exact"/>
        <w:rPr>
          <w:sz w:val="20"/>
          <w:szCs w:val="20"/>
          <w:color w:val="auto"/>
        </w:rPr>
      </w:pPr>
    </w:p>
    <w:p>
      <w:pPr>
        <w:ind w:left="80" w:hanging="72"/>
        <w:spacing w:after="0"/>
        <w:tabs>
          <w:tab w:leader="none" w:pos="80" w:val="left"/>
        </w:tabs>
        <w:numPr>
          <w:ilvl w:val="0"/>
          <w:numId w:val="105"/>
        </w:numPr>
        <w:rPr>
          <w:rFonts w:ascii="Arial" w:cs="Arial" w:eastAsia="Arial" w:hAnsi="Arial"/>
          <w:sz w:val="19"/>
          <w:szCs w:val="19"/>
          <w:color w:val="auto"/>
          <w:vertAlign w:val="superscript"/>
        </w:rPr>
      </w:pPr>
      <w:r>
        <w:rPr>
          <w:rFonts w:ascii="Arial" w:cs="Arial" w:eastAsia="Arial" w:hAnsi="Arial"/>
          <w:sz w:val="14"/>
          <w:szCs w:val="14"/>
          <w:color w:val="auto"/>
        </w:rPr>
        <w:t>For information on the properties included for each region and the Company’s percentage ownership in each property, see pages 21-24.</w:t>
      </w:r>
    </w:p>
    <w:p>
      <w:pPr>
        <w:spacing w:after="0" w:line="39" w:lineRule="exact"/>
        <w:rPr>
          <w:rFonts w:ascii="Arial" w:cs="Arial" w:eastAsia="Arial" w:hAnsi="Arial"/>
          <w:sz w:val="19"/>
          <w:szCs w:val="19"/>
          <w:color w:val="auto"/>
          <w:vertAlign w:val="superscript"/>
        </w:rPr>
      </w:pP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Lease revenue includes recoveries and service income from clients.</w:t>
      </w: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See the Definitions and Reconciliations sections of this Supplemental package starting on page 56.</w:t>
      </w: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4 </w:t>
      </w:r>
      <w:r>
        <w:rPr>
          <w:rFonts w:ascii="Arial" w:cs="Arial" w:eastAsia="Arial" w:hAnsi="Arial"/>
          <w:sz w:val="14"/>
          <w:szCs w:val="14"/>
          <w:color w:val="auto"/>
        </w:rPr>
        <w:t>The Company’s purchase price allocation under ASC 805 for certain joint ventures differs from the historical basis of the venture.</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240"/>
          </w:cols>
          <w:pgMar w:left="320" w:top="279"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0"/>
        </w:trPr>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4"/>
                <w:szCs w:val="14"/>
                <w:color w:val="auto"/>
              </w:rPr>
              <w:t>Q3 2026</w:t>
            </w:r>
          </w:p>
        </w:tc>
      </w:tr>
      <w:tr>
        <w:trPr>
          <w:trHeight w:val="224"/>
        </w:trPr>
        <w:tc>
          <w:tcPr>
            <w:tcW w:w="1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00497F"/>
              </w:rPr>
              <w:t>Lease expirations - All in-service properties</w:t>
            </w:r>
            <w:r>
              <w:rPr>
                <w:rFonts w:ascii="Arial" w:cs="Arial" w:eastAsia="Arial" w:hAnsi="Arial"/>
                <w:sz w:val="18"/>
                <w:szCs w:val="18"/>
                <w:b w:val="1"/>
                <w:bCs w:val="1"/>
                <w:color w:val="00497F"/>
                <w:vertAlign w:val="superscript"/>
              </w:rPr>
              <w:t>1, 2, 3</w:t>
            </w:r>
          </w:p>
        </w:tc>
      </w:tr>
      <w:tr>
        <w:trPr>
          <w:trHeight w:val="849"/>
        </w:trPr>
        <w:tc>
          <w:tcPr>
            <w:tcW w:w="2760" w:type="dxa"/>
            <w:vAlign w:val="bottom"/>
            <w:gridSpan w:val="4"/>
          </w:tcPr>
          <w:p>
            <w:pPr>
              <w:spacing w:after="0"/>
              <w:rPr>
                <w:sz w:val="20"/>
                <w:szCs w:val="20"/>
                <w:color w:val="auto"/>
              </w:rPr>
            </w:pPr>
            <w:r>
              <w:rPr>
                <w:rFonts w:ascii="Arial" w:cs="Arial" w:eastAsia="Arial" w:hAnsi="Arial"/>
                <w:sz w:val="14"/>
                <w:szCs w:val="14"/>
                <w:color w:val="auto"/>
              </w:rPr>
              <w:t>as of September 30, 2026</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668"/>
        </w:trPr>
        <w:tc>
          <w:tcPr>
            <w:tcW w:w="1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OFFICE</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9"/>
        </w:trPr>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r>
      <w:tr>
        <w:trPr>
          <w:trHeight w:val="201"/>
        </w:trPr>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ind w:left="880"/>
              <w:spacing w:after="0"/>
              <w:rPr>
                <w:sz w:val="20"/>
                <w:szCs w:val="20"/>
                <w:color w:val="auto"/>
              </w:rPr>
            </w:pPr>
            <w:r>
              <w:rPr>
                <w:rFonts w:ascii="Arial" w:cs="Arial" w:eastAsia="Arial" w:hAnsi="Arial"/>
                <w:sz w:val="13"/>
                <w:szCs w:val="13"/>
                <w:b w:val="1"/>
                <w:bCs w:val="1"/>
                <w:color w:val="auto"/>
              </w:rPr>
              <w:t>BXP’s Share</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r>
      <w:tr>
        <w:trPr>
          <w:trHeight w:val="225"/>
        </w:trPr>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rPr>
              <w:t>Current Annualized Rental</w:t>
            </w:r>
          </w:p>
        </w:tc>
        <w:tc>
          <w:tcPr>
            <w:tcW w:w="2440" w:type="dxa"/>
            <w:vAlign w:val="bottom"/>
            <w:gridSpan w:val="5"/>
          </w:tcPr>
          <w:p>
            <w:pPr>
              <w:ind w:left="40"/>
              <w:spacing w:after="0"/>
              <w:rPr>
                <w:sz w:val="20"/>
                <w:szCs w:val="20"/>
                <w:color w:val="auto"/>
              </w:rPr>
            </w:pPr>
            <w:r>
              <w:rPr>
                <w:rFonts w:ascii="Arial" w:cs="Arial" w:eastAsia="Arial" w:hAnsi="Arial"/>
                <w:sz w:val="13"/>
                <w:szCs w:val="13"/>
                <w:b w:val="1"/>
                <w:bCs w:val="1"/>
                <w:color w:val="auto"/>
              </w:rPr>
              <w:t>Annualized Rental Obligations Under</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r>
      <w:tr>
        <w:trPr>
          <w:trHeight w:val="186"/>
        </w:trPr>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4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Obligations Under Expiring Leases</w:t>
            </w:r>
          </w:p>
        </w:tc>
        <w:tc>
          <w:tcPr>
            <w:tcW w:w="160" w:type="dxa"/>
            <w:vAlign w:val="bottom"/>
          </w:tcPr>
          <w:p>
            <w:pPr>
              <w:spacing w:after="0"/>
              <w:rPr>
                <w:sz w:val="16"/>
                <w:szCs w:val="16"/>
                <w:color w:val="auto"/>
              </w:rPr>
            </w:pPr>
          </w:p>
        </w:tc>
        <w:tc>
          <w:tcPr>
            <w:tcW w:w="24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Expiring Leases with future step-ups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Percentage of Total</w:t>
            </w:r>
          </w:p>
        </w:tc>
        <w:tc>
          <w:tcPr>
            <w:tcW w:w="380" w:type="dxa"/>
            <w:vAlign w:val="bottom"/>
          </w:tcPr>
          <w:p>
            <w:pPr>
              <w:spacing w:after="0"/>
              <w:rPr>
                <w:sz w:val="16"/>
                <w:szCs w:val="16"/>
                <w:color w:val="auto"/>
              </w:rPr>
            </w:pPr>
          </w:p>
        </w:tc>
      </w:tr>
      <w:tr>
        <w:trPr>
          <w:trHeight w:val="199"/>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Year</w:t>
            </w:r>
          </w:p>
        </w:tc>
        <w:tc>
          <w:tcPr>
            <w:tcW w:w="18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80" w:type="dxa"/>
            <w:vAlign w:val="bottom"/>
            <w:tcBorders>
              <w:right w:val="single" w:sz="8" w:color="auto"/>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tcPr>
          <w:p>
            <w:pPr>
              <w:spacing w:after="0"/>
              <w:rPr>
                <w:sz w:val="17"/>
                <w:szCs w:val="17"/>
                <w:color w:val="auto"/>
              </w:rPr>
            </w:pPr>
          </w:p>
        </w:tc>
        <w:tc>
          <w:tcPr>
            <w:tcW w:w="118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Square Feet</w:t>
            </w:r>
          </w:p>
        </w:tc>
        <w:tc>
          <w:tcPr>
            <w:tcW w:w="380" w:type="dxa"/>
            <w:vAlign w:val="bottom"/>
          </w:tcPr>
          <w:p>
            <w:pPr>
              <w:spacing w:after="0"/>
              <w:rPr>
                <w:sz w:val="17"/>
                <w:szCs w:val="17"/>
                <w:color w:val="auto"/>
              </w:rPr>
            </w:pPr>
          </w:p>
        </w:tc>
      </w:tr>
      <w:tr>
        <w:trPr>
          <w:trHeight w:val="202"/>
        </w:trPr>
        <w:tc>
          <w:tcPr>
            <w:tcW w:w="120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166,848</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154,509</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10,291,842</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66.61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10,249,370</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66.34</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0.42 %</w:t>
            </w:r>
          </w:p>
        </w:tc>
        <w:tc>
          <w:tcPr>
            <w:tcW w:w="380" w:type="dxa"/>
            <w:vAlign w:val="bottom"/>
          </w:tcPr>
          <w:p>
            <w:pPr>
              <w:spacing w:after="0"/>
              <w:rPr>
                <w:sz w:val="17"/>
                <w:szCs w:val="17"/>
                <w:color w:val="auto"/>
              </w:rPr>
            </w:pPr>
          </w:p>
        </w:tc>
      </w:tr>
      <w:tr>
        <w:trPr>
          <w:trHeight w:val="284"/>
        </w:trPr>
        <w:tc>
          <w:tcPr>
            <w:tcW w:w="120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1,549,672</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1,335,257</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94,537,369</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70.80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95,710,576</w:t>
            </w:r>
          </w:p>
        </w:tc>
        <w:tc>
          <w:tcPr>
            <w:tcW w:w="4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71.68</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3.59 %</w:t>
            </w:r>
          </w:p>
        </w:tc>
        <w:tc>
          <w:tcPr>
            <w:tcW w:w="380" w:type="dxa"/>
            <w:vAlign w:val="bottom"/>
          </w:tcPr>
          <w:p>
            <w:pPr>
              <w:spacing w:after="0"/>
              <w:rPr>
                <w:sz w:val="24"/>
                <w:szCs w:val="24"/>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2,369,633</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1,919,839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173,818,564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180,101,187</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93.81</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5.16 %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3,620,997</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3,155,919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238,975,071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75.72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250,087,307</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79.24</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8.48 %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2,289,036</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2,199,414</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175,087,933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183,555,358</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83.46</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5.91 %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2,462,319</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2,363,182</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210,897,737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224,380,819</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94.95</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6.35 %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3,004,268</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2,756,116</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211,156,900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245,696,332</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89.15</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7.41 %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2,972,917</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2,766,128</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235,591,879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85.17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267,154,035</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96.58</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7.43 %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3,038,851</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2,602,735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238,162,224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263,444,556</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101.22</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7.00 %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2,387,091</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1,907,929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158,121,952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82.88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186,412,506</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97.70</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5.13 %</w:t>
            </w:r>
          </w:p>
        </w:tc>
        <w:tc>
          <w:tcPr>
            <w:tcW w:w="380" w:type="dxa"/>
            <w:vAlign w:val="bottom"/>
          </w:tcPr>
          <w:p>
            <w:pPr>
              <w:spacing w:after="0"/>
              <w:rPr>
                <w:sz w:val="18"/>
                <w:szCs w:val="18"/>
                <w:color w:val="auto"/>
              </w:rPr>
            </w:pPr>
          </w:p>
        </w:tc>
      </w:tr>
      <w:tr>
        <w:trPr>
          <w:trHeight w:val="216"/>
        </w:trPr>
        <w:tc>
          <w:tcPr>
            <w:tcW w:w="138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200" w:type="dxa"/>
            <w:vAlign w:val="bottom"/>
          </w:tcPr>
          <w:p>
            <w:pPr>
              <w:jc w:val="right"/>
              <w:spacing w:after="0"/>
              <w:rPr>
                <w:sz w:val="20"/>
                <w:szCs w:val="20"/>
                <w:color w:val="auto"/>
              </w:rPr>
            </w:pPr>
            <w:r>
              <w:rPr>
                <w:rFonts w:ascii="Arial" w:cs="Arial" w:eastAsia="Arial" w:hAnsi="Arial"/>
                <w:sz w:val="14"/>
                <w:szCs w:val="14"/>
                <w:color w:val="auto"/>
              </w:rPr>
              <w:t>14,340,702</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11,740,816</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1,021,902,764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87.04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1,241,374,306</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105.73</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31.55 %</w:t>
            </w:r>
          </w:p>
        </w:tc>
        <w:tc>
          <w:tcPr>
            <w:tcW w:w="380" w:type="dxa"/>
            <w:vAlign w:val="bottom"/>
          </w:tcPr>
          <w:p>
            <w:pPr>
              <w:spacing w:after="0"/>
              <w:rPr>
                <w:sz w:val="18"/>
                <w:szCs w:val="18"/>
                <w:color w:val="auto"/>
              </w:rPr>
            </w:pPr>
          </w:p>
        </w:tc>
      </w:tr>
      <w:tr>
        <w:trPr>
          <w:trHeight w:val="533"/>
        </w:trPr>
        <w:tc>
          <w:tcPr>
            <w:tcW w:w="13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RETAIL</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50"/>
        </w:trPr>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gridSpan w:val="5"/>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r>
      <w:tr>
        <w:trPr>
          <w:trHeight w:val="201"/>
        </w:trPr>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ind w:left="880"/>
              <w:spacing w:after="0"/>
              <w:rPr>
                <w:sz w:val="20"/>
                <w:szCs w:val="20"/>
                <w:color w:val="auto"/>
              </w:rPr>
            </w:pPr>
            <w:r>
              <w:rPr>
                <w:rFonts w:ascii="Arial" w:cs="Arial" w:eastAsia="Arial" w:hAnsi="Arial"/>
                <w:sz w:val="13"/>
                <w:szCs w:val="13"/>
                <w:b w:val="1"/>
                <w:bCs w:val="1"/>
                <w:color w:val="auto"/>
              </w:rPr>
              <w:t>BXP’s Share</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r>
      <w:tr>
        <w:trPr>
          <w:trHeight w:val="225"/>
        </w:trPr>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rPr>
              <w:t>Current Annualized Rental</w:t>
            </w:r>
          </w:p>
        </w:tc>
        <w:tc>
          <w:tcPr>
            <w:tcW w:w="2440" w:type="dxa"/>
            <w:vAlign w:val="bottom"/>
            <w:gridSpan w:val="5"/>
          </w:tcPr>
          <w:p>
            <w:pPr>
              <w:ind w:left="20"/>
              <w:spacing w:after="0"/>
              <w:rPr>
                <w:sz w:val="20"/>
                <w:szCs w:val="20"/>
                <w:color w:val="auto"/>
              </w:rPr>
            </w:pPr>
            <w:r>
              <w:rPr>
                <w:rFonts w:ascii="Arial" w:cs="Arial" w:eastAsia="Arial" w:hAnsi="Arial"/>
                <w:sz w:val="13"/>
                <w:szCs w:val="13"/>
                <w:b w:val="1"/>
                <w:bCs w:val="1"/>
                <w:color w:val="auto"/>
              </w:rPr>
              <w:t>Annualized Rental Obligations Under</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r>
      <w:tr>
        <w:trPr>
          <w:trHeight w:val="188"/>
        </w:trPr>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4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Obligations Under Expiring Leases</w:t>
            </w:r>
          </w:p>
        </w:tc>
        <w:tc>
          <w:tcPr>
            <w:tcW w:w="180" w:type="dxa"/>
            <w:vAlign w:val="bottom"/>
            <w:gridSpan w:val="2"/>
          </w:tcPr>
          <w:p>
            <w:pPr>
              <w:spacing w:after="0"/>
              <w:rPr>
                <w:sz w:val="16"/>
                <w:szCs w:val="16"/>
                <w:color w:val="auto"/>
              </w:rPr>
            </w:pPr>
          </w:p>
        </w:tc>
        <w:tc>
          <w:tcPr>
            <w:tcW w:w="24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Expiring Leases with future step-ups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Percentage of Total</w:t>
            </w:r>
          </w:p>
        </w:tc>
        <w:tc>
          <w:tcPr>
            <w:tcW w:w="380" w:type="dxa"/>
            <w:vAlign w:val="bottom"/>
          </w:tcPr>
          <w:p>
            <w:pPr>
              <w:spacing w:after="0"/>
              <w:rPr>
                <w:sz w:val="16"/>
                <w:szCs w:val="16"/>
                <w:color w:val="auto"/>
              </w:rPr>
            </w:pPr>
          </w:p>
        </w:tc>
      </w:tr>
      <w:tr>
        <w:trPr>
          <w:trHeight w:val="197"/>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Year</w:t>
            </w:r>
          </w:p>
        </w:tc>
        <w:tc>
          <w:tcPr>
            <w:tcW w:w="18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80" w:type="dxa"/>
            <w:vAlign w:val="bottom"/>
            <w:tcBorders>
              <w:right w:val="single" w:sz="8" w:color="auto"/>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tcPr>
          <w:p>
            <w:pPr>
              <w:spacing w:after="0"/>
              <w:rPr>
                <w:sz w:val="17"/>
                <w:szCs w:val="17"/>
                <w:color w:val="auto"/>
              </w:rPr>
            </w:pPr>
          </w:p>
        </w:tc>
        <w:tc>
          <w:tcPr>
            <w:tcW w:w="1180" w:type="dxa"/>
            <w:vAlign w:val="bottom"/>
            <w:tcBorders>
              <w:bottom w:val="single" w:sz="8" w:color="auto"/>
            </w:tcBorders>
          </w:tcPr>
          <w:p>
            <w:pPr>
              <w:jc w:val="right"/>
              <w:ind w:right="48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$/PSF</w:t>
            </w:r>
          </w:p>
        </w:tc>
        <w:tc>
          <w:tcPr>
            <w:tcW w:w="180" w:type="dxa"/>
            <w:vAlign w:val="bottom"/>
            <w:gridSpan w:val="2"/>
          </w:tcPr>
          <w:p>
            <w:pPr>
              <w:spacing w:after="0"/>
              <w:rPr>
                <w:sz w:val="17"/>
                <w:szCs w:val="17"/>
                <w:color w:val="auto"/>
              </w:rPr>
            </w:pPr>
          </w:p>
        </w:tc>
        <w:tc>
          <w:tcPr>
            <w:tcW w:w="116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Square Feet</w:t>
            </w:r>
          </w:p>
        </w:tc>
        <w:tc>
          <w:tcPr>
            <w:tcW w:w="380" w:type="dxa"/>
            <w:vAlign w:val="bottom"/>
          </w:tcPr>
          <w:p>
            <w:pPr>
              <w:spacing w:after="0"/>
              <w:rPr>
                <w:sz w:val="17"/>
                <w:szCs w:val="17"/>
                <w:color w:val="auto"/>
              </w:rPr>
            </w:pPr>
          </w:p>
        </w:tc>
      </w:tr>
      <w:tr>
        <w:trPr>
          <w:trHeight w:val="201"/>
        </w:trPr>
        <w:tc>
          <w:tcPr>
            <w:tcW w:w="120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18,974</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18,974</w:t>
            </w:r>
          </w:p>
        </w:tc>
        <w:tc>
          <w:tcPr>
            <w:tcW w:w="160" w:type="dxa"/>
            <w:vAlign w:val="bottom"/>
          </w:tcPr>
          <w:p>
            <w:pPr>
              <w:spacing w:after="0"/>
              <w:rPr>
                <w:sz w:val="17"/>
                <w:szCs w:val="17"/>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1,150,137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60.62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1,150,137</w:t>
            </w:r>
          </w:p>
        </w:tc>
        <w:tc>
          <w:tcPr>
            <w:tcW w:w="40" w:type="dxa"/>
            <w:vAlign w:val="bottom"/>
          </w:tcPr>
          <w:p>
            <w:pPr>
              <w:spacing w:after="0"/>
              <w:rPr>
                <w:sz w:val="17"/>
                <w:szCs w:val="17"/>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60.62</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0.83 %</w:t>
            </w:r>
          </w:p>
        </w:tc>
        <w:tc>
          <w:tcPr>
            <w:tcW w:w="380" w:type="dxa"/>
            <w:vAlign w:val="bottom"/>
          </w:tcPr>
          <w:p>
            <w:pPr>
              <w:spacing w:after="0"/>
              <w:rPr>
                <w:sz w:val="17"/>
                <w:szCs w:val="17"/>
                <w:color w:val="auto"/>
              </w:rPr>
            </w:pPr>
          </w:p>
        </w:tc>
      </w:tr>
      <w:tr>
        <w:trPr>
          <w:trHeight w:val="283"/>
        </w:trPr>
        <w:tc>
          <w:tcPr>
            <w:tcW w:w="120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87,492</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73,199</w:t>
            </w:r>
          </w:p>
        </w:tc>
        <w:tc>
          <w:tcPr>
            <w:tcW w:w="160" w:type="dxa"/>
            <w:vAlign w:val="bottom"/>
          </w:tcPr>
          <w:p>
            <w:pPr>
              <w:spacing w:after="0"/>
              <w:rPr>
                <w:sz w:val="24"/>
                <w:szCs w:val="24"/>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8,560,872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116.95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8,604,674</w:t>
            </w:r>
          </w:p>
        </w:tc>
        <w:tc>
          <w:tcPr>
            <w:tcW w:w="40" w:type="dxa"/>
            <w:vAlign w:val="bottom"/>
          </w:tcPr>
          <w:p>
            <w:pPr>
              <w:spacing w:after="0"/>
              <w:rPr>
                <w:sz w:val="24"/>
                <w:szCs w:val="24"/>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117.55</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3.22 %</w:t>
            </w:r>
          </w:p>
        </w:tc>
        <w:tc>
          <w:tcPr>
            <w:tcW w:w="380" w:type="dxa"/>
            <w:vAlign w:val="bottom"/>
          </w:tcPr>
          <w:p>
            <w:pPr>
              <w:spacing w:after="0"/>
              <w:rPr>
                <w:sz w:val="24"/>
                <w:szCs w:val="24"/>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87,964</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86,187</w:t>
            </w:r>
          </w:p>
        </w:tc>
        <w:tc>
          <w:tcPr>
            <w:tcW w:w="160" w:type="dxa"/>
            <w:vAlign w:val="bottom"/>
          </w:tcPr>
          <w:p>
            <w:pPr>
              <w:spacing w:after="0"/>
              <w:rPr>
                <w:sz w:val="18"/>
                <w:szCs w:val="18"/>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8,327,682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96.62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8,379,606</w:t>
            </w:r>
          </w:p>
        </w:tc>
        <w:tc>
          <w:tcPr>
            <w:tcW w:w="40" w:type="dxa"/>
            <w:vAlign w:val="bottom"/>
          </w:tcPr>
          <w:p>
            <w:pPr>
              <w:spacing w:after="0"/>
              <w:rPr>
                <w:sz w:val="18"/>
                <w:szCs w:val="18"/>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97.23</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3.79 %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155,660</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150,335</w:t>
            </w:r>
          </w:p>
        </w:tc>
        <w:tc>
          <w:tcPr>
            <w:tcW w:w="160" w:type="dxa"/>
            <w:vAlign w:val="bottom"/>
          </w:tcPr>
          <w:p>
            <w:pPr>
              <w:spacing w:after="0"/>
              <w:rPr>
                <w:sz w:val="18"/>
                <w:szCs w:val="18"/>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16,305,474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16,768,315</w:t>
            </w:r>
          </w:p>
        </w:tc>
        <w:tc>
          <w:tcPr>
            <w:tcW w:w="40" w:type="dxa"/>
            <w:vAlign w:val="bottom"/>
          </w:tcPr>
          <w:p>
            <w:pPr>
              <w:spacing w:after="0"/>
              <w:rPr>
                <w:sz w:val="18"/>
                <w:szCs w:val="18"/>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111.54</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6.61 %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167,709</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131,301</w:t>
            </w:r>
          </w:p>
        </w:tc>
        <w:tc>
          <w:tcPr>
            <w:tcW w:w="160" w:type="dxa"/>
            <w:vAlign w:val="bottom"/>
          </w:tcPr>
          <w:p>
            <w:pPr>
              <w:spacing w:after="0"/>
              <w:rPr>
                <w:sz w:val="18"/>
                <w:szCs w:val="18"/>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12,938,671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98.54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13,685,261</w:t>
            </w:r>
          </w:p>
        </w:tc>
        <w:tc>
          <w:tcPr>
            <w:tcW w:w="40" w:type="dxa"/>
            <w:vAlign w:val="bottom"/>
          </w:tcPr>
          <w:p>
            <w:pPr>
              <w:spacing w:after="0"/>
              <w:rPr>
                <w:sz w:val="18"/>
                <w:szCs w:val="18"/>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104.23</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5.77 %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105,623</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96,862</w:t>
            </w:r>
          </w:p>
        </w:tc>
        <w:tc>
          <w:tcPr>
            <w:tcW w:w="160" w:type="dxa"/>
            <w:vAlign w:val="bottom"/>
          </w:tcPr>
          <w:p>
            <w:pPr>
              <w:spacing w:after="0"/>
              <w:rPr>
                <w:sz w:val="18"/>
                <w:szCs w:val="18"/>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11,751,099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121.32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12,598,465</w:t>
            </w:r>
          </w:p>
        </w:tc>
        <w:tc>
          <w:tcPr>
            <w:tcW w:w="40" w:type="dxa"/>
            <w:vAlign w:val="bottom"/>
          </w:tcPr>
          <w:p>
            <w:pPr>
              <w:spacing w:after="0"/>
              <w:rPr>
                <w:sz w:val="18"/>
                <w:szCs w:val="18"/>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130.07</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4.26 %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127,547</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120,234</w:t>
            </w:r>
          </w:p>
        </w:tc>
        <w:tc>
          <w:tcPr>
            <w:tcW w:w="160" w:type="dxa"/>
            <w:vAlign w:val="bottom"/>
          </w:tcPr>
          <w:p>
            <w:pPr>
              <w:spacing w:after="0"/>
              <w:rPr>
                <w:sz w:val="18"/>
                <w:szCs w:val="18"/>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9,791,928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81.44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10,594,485</w:t>
            </w:r>
          </w:p>
        </w:tc>
        <w:tc>
          <w:tcPr>
            <w:tcW w:w="40" w:type="dxa"/>
            <w:vAlign w:val="bottom"/>
          </w:tcPr>
          <w:p>
            <w:pPr>
              <w:spacing w:after="0"/>
              <w:rPr>
                <w:sz w:val="18"/>
                <w:szCs w:val="18"/>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88.12</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5.29 %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352,670</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319,267</w:t>
            </w:r>
          </w:p>
        </w:tc>
        <w:tc>
          <w:tcPr>
            <w:tcW w:w="160" w:type="dxa"/>
            <w:vAlign w:val="bottom"/>
          </w:tcPr>
          <w:p>
            <w:pPr>
              <w:spacing w:after="0"/>
              <w:rPr>
                <w:sz w:val="18"/>
                <w:szCs w:val="18"/>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30,235,894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94.70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33,471,968</w:t>
            </w:r>
          </w:p>
        </w:tc>
        <w:tc>
          <w:tcPr>
            <w:tcW w:w="40" w:type="dxa"/>
            <w:vAlign w:val="bottom"/>
          </w:tcPr>
          <w:p>
            <w:pPr>
              <w:spacing w:after="0"/>
              <w:rPr>
                <w:sz w:val="18"/>
                <w:szCs w:val="18"/>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104.84</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14.04 %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359,056</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262,584</w:t>
            </w:r>
          </w:p>
        </w:tc>
        <w:tc>
          <w:tcPr>
            <w:tcW w:w="160" w:type="dxa"/>
            <w:vAlign w:val="bottom"/>
          </w:tcPr>
          <w:p>
            <w:pPr>
              <w:spacing w:after="0"/>
              <w:rPr>
                <w:sz w:val="18"/>
                <w:szCs w:val="18"/>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35,734,372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136.09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40,556,210</w:t>
            </w:r>
          </w:p>
        </w:tc>
        <w:tc>
          <w:tcPr>
            <w:tcW w:w="40" w:type="dxa"/>
            <w:vAlign w:val="bottom"/>
          </w:tcPr>
          <w:p>
            <w:pPr>
              <w:spacing w:after="0"/>
              <w:rPr>
                <w:sz w:val="18"/>
                <w:szCs w:val="18"/>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154.45</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11.55 %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322,715</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285,710</w:t>
            </w:r>
          </w:p>
        </w:tc>
        <w:tc>
          <w:tcPr>
            <w:tcW w:w="160" w:type="dxa"/>
            <w:vAlign w:val="bottom"/>
          </w:tcPr>
          <w:p>
            <w:pPr>
              <w:spacing w:after="0"/>
              <w:rPr>
                <w:sz w:val="18"/>
                <w:szCs w:val="18"/>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16,134,496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19,317,759</w:t>
            </w:r>
          </w:p>
        </w:tc>
        <w:tc>
          <w:tcPr>
            <w:tcW w:w="40" w:type="dxa"/>
            <w:vAlign w:val="bottom"/>
          </w:tcPr>
          <w:p>
            <w:pPr>
              <w:spacing w:after="0"/>
              <w:rPr>
                <w:sz w:val="18"/>
                <w:szCs w:val="18"/>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67.61</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12.56 %</w:t>
            </w:r>
          </w:p>
        </w:tc>
        <w:tc>
          <w:tcPr>
            <w:tcW w:w="380" w:type="dxa"/>
            <w:vAlign w:val="bottom"/>
          </w:tcPr>
          <w:p>
            <w:pPr>
              <w:spacing w:after="0"/>
              <w:rPr>
                <w:sz w:val="18"/>
                <w:szCs w:val="18"/>
                <w:color w:val="auto"/>
              </w:rPr>
            </w:pPr>
          </w:p>
        </w:tc>
      </w:tr>
      <w:tr>
        <w:trPr>
          <w:trHeight w:val="216"/>
        </w:trPr>
        <w:tc>
          <w:tcPr>
            <w:tcW w:w="138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200" w:type="dxa"/>
            <w:vAlign w:val="bottom"/>
          </w:tcPr>
          <w:p>
            <w:pPr>
              <w:jc w:val="right"/>
              <w:spacing w:after="0"/>
              <w:rPr>
                <w:sz w:val="20"/>
                <w:szCs w:val="20"/>
                <w:color w:val="auto"/>
              </w:rPr>
            </w:pPr>
            <w:r>
              <w:rPr>
                <w:rFonts w:ascii="Arial" w:cs="Arial" w:eastAsia="Arial" w:hAnsi="Arial"/>
                <w:sz w:val="14"/>
                <w:szCs w:val="14"/>
                <w:color w:val="auto"/>
              </w:rPr>
              <w:t>341,256</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290,215</w:t>
            </w:r>
          </w:p>
        </w:tc>
        <w:tc>
          <w:tcPr>
            <w:tcW w:w="160" w:type="dxa"/>
            <w:vAlign w:val="bottom"/>
          </w:tcPr>
          <w:p>
            <w:pPr>
              <w:spacing w:after="0"/>
              <w:rPr>
                <w:sz w:val="18"/>
                <w:szCs w:val="18"/>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color w:val="auto"/>
              </w:rPr>
              <w:t>45,657,366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157.32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44,665,858</w:t>
            </w:r>
          </w:p>
        </w:tc>
        <w:tc>
          <w:tcPr>
            <w:tcW w:w="40" w:type="dxa"/>
            <w:vAlign w:val="bottom"/>
          </w:tcPr>
          <w:p>
            <w:pPr>
              <w:spacing w:after="0"/>
              <w:rPr>
                <w:sz w:val="18"/>
                <w:szCs w:val="18"/>
                <w:color w:val="auto"/>
              </w:rPr>
            </w:pPr>
          </w:p>
        </w:tc>
        <w:tc>
          <w:tcPr>
            <w:tcW w:w="1240" w:type="dxa"/>
            <w:vAlign w:val="bottom"/>
            <w:gridSpan w:val="3"/>
          </w:tcPr>
          <w:p>
            <w:pPr>
              <w:jc w:val="right"/>
              <w:ind w:right="13"/>
              <w:spacing w:after="0"/>
              <w:rPr>
                <w:sz w:val="20"/>
                <w:szCs w:val="20"/>
                <w:color w:val="auto"/>
              </w:rPr>
            </w:pPr>
            <w:r>
              <w:rPr>
                <w:rFonts w:ascii="Arial" w:cs="Arial" w:eastAsia="Arial" w:hAnsi="Arial"/>
                <w:sz w:val="14"/>
                <w:szCs w:val="14"/>
                <w:color w:val="auto"/>
              </w:rPr>
              <w:t>153.91</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12.76 %</w:t>
            </w:r>
          </w:p>
        </w:tc>
        <w:tc>
          <w:tcPr>
            <w:tcW w:w="380" w:type="dxa"/>
            <w:vAlign w:val="bottom"/>
          </w:tcPr>
          <w:p>
            <w:pPr>
              <w:spacing w:after="0"/>
              <w:rPr>
                <w:sz w:val="18"/>
                <w:szCs w:val="18"/>
                <w:color w:val="auto"/>
              </w:rPr>
            </w:pPr>
          </w:p>
        </w:tc>
      </w:tr>
      <w:tr>
        <w:trPr>
          <w:trHeight w:val="533"/>
        </w:trPr>
        <w:tc>
          <w:tcPr>
            <w:tcW w:w="27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IN-SERVICE PROPERTIES</w:t>
            </w: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9"/>
        </w:trPr>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gridSpan w:val="5"/>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r>
      <w:tr>
        <w:trPr>
          <w:trHeight w:val="201"/>
        </w:trPr>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ind w:left="880"/>
              <w:spacing w:after="0"/>
              <w:rPr>
                <w:sz w:val="20"/>
                <w:szCs w:val="20"/>
                <w:color w:val="auto"/>
              </w:rPr>
            </w:pPr>
            <w:r>
              <w:rPr>
                <w:rFonts w:ascii="Arial" w:cs="Arial" w:eastAsia="Arial" w:hAnsi="Arial"/>
                <w:sz w:val="13"/>
                <w:szCs w:val="13"/>
                <w:b w:val="1"/>
                <w:bCs w:val="1"/>
                <w:color w:val="auto"/>
              </w:rPr>
              <w:t>BXP’s Share</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r>
      <w:tr>
        <w:trPr>
          <w:trHeight w:val="225"/>
        </w:trPr>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rPr>
              <w:t>Current Annualized Rental</w:t>
            </w:r>
          </w:p>
        </w:tc>
        <w:tc>
          <w:tcPr>
            <w:tcW w:w="2440" w:type="dxa"/>
            <w:vAlign w:val="bottom"/>
            <w:gridSpan w:val="5"/>
          </w:tcPr>
          <w:p>
            <w:pPr>
              <w:ind w:left="40"/>
              <w:spacing w:after="0"/>
              <w:rPr>
                <w:sz w:val="20"/>
                <w:szCs w:val="20"/>
                <w:color w:val="auto"/>
              </w:rPr>
            </w:pPr>
            <w:r>
              <w:rPr>
                <w:rFonts w:ascii="Arial" w:cs="Arial" w:eastAsia="Arial" w:hAnsi="Arial"/>
                <w:sz w:val="13"/>
                <w:szCs w:val="13"/>
                <w:b w:val="1"/>
                <w:bCs w:val="1"/>
                <w:color w:val="auto"/>
              </w:rPr>
              <w:t>Annualized Rental Obligations Under</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r>
      <w:tr>
        <w:trPr>
          <w:trHeight w:val="188"/>
        </w:trPr>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13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44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Obligations Under Expiring Leases</w:t>
            </w:r>
          </w:p>
        </w:tc>
        <w:tc>
          <w:tcPr>
            <w:tcW w:w="160" w:type="dxa"/>
            <w:vAlign w:val="bottom"/>
          </w:tcPr>
          <w:p>
            <w:pPr>
              <w:spacing w:after="0"/>
              <w:rPr>
                <w:sz w:val="16"/>
                <w:szCs w:val="16"/>
                <w:color w:val="auto"/>
              </w:rPr>
            </w:pPr>
          </w:p>
        </w:tc>
        <w:tc>
          <w:tcPr>
            <w:tcW w:w="24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rPr>
              <w:t>Expiring Leases with future step-ups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Percentage of Total</w:t>
            </w:r>
          </w:p>
        </w:tc>
        <w:tc>
          <w:tcPr>
            <w:tcW w:w="380" w:type="dxa"/>
            <w:vAlign w:val="bottom"/>
          </w:tcPr>
          <w:p>
            <w:pPr>
              <w:spacing w:after="0"/>
              <w:rPr>
                <w:sz w:val="16"/>
                <w:szCs w:val="16"/>
                <w:color w:val="auto"/>
              </w:rPr>
            </w:pPr>
          </w:p>
        </w:tc>
      </w:tr>
      <w:tr>
        <w:trPr>
          <w:trHeight w:val="197"/>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Year</w:t>
            </w:r>
          </w:p>
        </w:tc>
        <w:tc>
          <w:tcPr>
            <w:tcW w:w="180" w:type="dxa"/>
            <w:vAlign w:val="bottom"/>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80" w:type="dxa"/>
            <w:vAlign w:val="bottom"/>
            <w:tcBorders>
              <w:right w:val="single" w:sz="8" w:color="auto"/>
            </w:tcBorders>
          </w:tcPr>
          <w:p>
            <w:pPr>
              <w:spacing w:after="0"/>
              <w:rPr>
                <w:sz w:val="17"/>
                <w:szCs w:val="17"/>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tcPr>
          <w:p>
            <w:pPr>
              <w:spacing w:after="0"/>
              <w:rPr>
                <w:sz w:val="17"/>
                <w:szCs w:val="17"/>
                <w:color w:val="auto"/>
              </w:rPr>
            </w:pPr>
          </w:p>
        </w:tc>
        <w:tc>
          <w:tcPr>
            <w:tcW w:w="1180" w:type="dxa"/>
            <w:vAlign w:val="bottom"/>
            <w:tcBorders>
              <w:bottom w:val="single" w:sz="8" w:color="auto"/>
            </w:tcBorders>
          </w:tcPr>
          <w:p>
            <w:pPr>
              <w:jc w:val="right"/>
              <w:ind w:right="46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gridSpan w:val="2"/>
          </w:tcPr>
          <w:p>
            <w:pPr>
              <w:ind w:left="340"/>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7"/>
                <w:szCs w:val="17"/>
                <w:color w:val="auto"/>
              </w:rPr>
            </w:pPr>
          </w:p>
        </w:tc>
        <w:tc>
          <w:tcPr>
            <w:tcW w:w="116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Square Feet</w:t>
            </w:r>
          </w:p>
        </w:tc>
        <w:tc>
          <w:tcPr>
            <w:tcW w:w="380" w:type="dxa"/>
            <w:vAlign w:val="bottom"/>
          </w:tcPr>
          <w:p>
            <w:pPr>
              <w:spacing w:after="0"/>
              <w:rPr>
                <w:sz w:val="17"/>
                <w:szCs w:val="17"/>
                <w:color w:val="auto"/>
              </w:rPr>
            </w:pPr>
          </w:p>
        </w:tc>
      </w:tr>
      <w:tr>
        <w:trPr>
          <w:trHeight w:val="202"/>
        </w:trPr>
        <w:tc>
          <w:tcPr>
            <w:tcW w:w="120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185,822</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173,483</w:t>
            </w: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11,441,979</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65.95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11,399,507</w:t>
            </w:r>
          </w:p>
        </w:tc>
        <w:tc>
          <w:tcPr>
            <w:tcW w:w="4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65.71</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0.44 %</w:t>
            </w:r>
          </w:p>
        </w:tc>
        <w:tc>
          <w:tcPr>
            <w:tcW w:w="380" w:type="dxa"/>
            <w:vAlign w:val="bottom"/>
          </w:tcPr>
          <w:p>
            <w:pPr>
              <w:spacing w:after="0"/>
              <w:rPr>
                <w:sz w:val="17"/>
                <w:szCs w:val="17"/>
                <w:color w:val="auto"/>
              </w:rPr>
            </w:pPr>
          </w:p>
        </w:tc>
      </w:tr>
      <w:tr>
        <w:trPr>
          <w:trHeight w:val="283"/>
        </w:trPr>
        <w:tc>
          <w:tcPr>
            <w:tcW w:w="120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1,637,164</w:t>
            </w:r>
          </w:p>
        </w:tc>
        <w:tc>
          <w:tcPr>
            <w:tcW w:w="1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1,408,456</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103,098,241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73.20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104,315,250</w:t>
            </w:r>
          </w:p>
        </w:tc>
        <w:tc>
          <w:tcPr>
            <w:tcW w:w="4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74.06</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3.57 %</w:t>
            </w:r>
          </w:p>
        </w:tc>
        <w:tc>
          <w:tcPr>
            <w:tcW w:w="380" w:type="dxa"/>
            <w:vAlign w:val="bottom"/>
          </w:tcPr>
          <w:p>
            <w:pPr>
              <w:spacing w:after="0"/>
              <w:rPr>
                <w:sz w:val="24"/>
                <w:szCs w:val="24"/>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2,457,597</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2,006,026</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182,146,246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90.80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188,480,793</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93.96</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5.08 %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3,776,657</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3,306,254</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255,280,545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77.21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266,855,622</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80.71</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8.37 %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2,456,745</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2,330,715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188,026,604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197,240,619</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84.63</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5.90 %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2,567,942</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2,460,044</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222,648,836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90.51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236,979,284</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96.33</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6.23 %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3,131,815</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2,876,350</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220,948,828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256,290,817</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89.10</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7.29 %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3,325,587</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3,085,395</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265,827,773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300,626,003</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97.44</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7.81 %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3,397,907</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2,865,319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273,896,596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304,000,766</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106.10</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7.26 %</w:t>
            </w:r>
          </w:p>
        </w:tc>
        <w:tc>
          <w:tcPr>
            <w:tcW w:w="380" w:type="dxa"/>
            <w:vAlign w:val="bottom"/>
          </w:tcPr>
          <w:p>
            <w:pPr>
              <w:spacing w:after="0"/>
              <w:rPr>
                <w:sz w:val="18"/>
                <w:szCs w:val="18"/>
                <w:color w:val="auto"/>
              </w:rPr>
            </w:pPr>
          </w:p>
        </w:tc>
      </w:tr>
      <w:tr>
        <w:trPr>
          <w:trHeight w:val="216"/>
        </w:trPr>
        <w:tc>
          <w:tcPr>
            <w:tcW w:w="120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2,709,806</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2,193,639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174,256,448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79.44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205,730,265</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93.78</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5.56 %</w:t>
            </w:r>
          </w:p>
        </w:tc>
        <w:tc>
          <w:tcPr>
            <w:tcW w:w="380" w:type="dxa"/>
            <w:vAlign w:val="bottom"/>
          </w:tcPr>
          <w:p>
            <w:pPr>
              <w:spacing w:after="0"/>
              <w:rPr>
                <w:sz w:val="18"/>
                <w:szCs w:val="18"/>
                <w:color w:val="auto"/>
              </w:rPr>
            </w:pPr>
          </w:p>
        </w:tc>
      </w:tr>
      <w:tr>
        <w:trPr>
          <w:trHeight w:val="216"/>
        </w:trPr>
        <w:tc>
          <w:tcPr>
            <w:tcW w:w="138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200" w:type="dxa"/>
            <w:vAlign w:val="bottom"/>
          </w:tcPr>
          <w:p>
            <w:pPr>
              <w:jc w:val="right"/>
              <w:spacing w:after="0"/>
              <w:rPr>
                <w:sz w:val="20"/>
                <w:szCs w:val="20"/>
                <w:color w:val="auto"/>
              </w:rPr>
            </w:pPr>
            <w:r>
              <w:rPr>
                <w:rFonts w:ascii="Arial" w:cs="Arial" w:eastAsia="Arial" w:hAnsi="Arial"/>
                <w:sz w:val="14"/>
                <w:szCs w:val="14"/>
                <w:color w:val="auto"/>
              </w:rPr>
              <w:t>14,681,958</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12,031,031</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1,067,560,130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88.73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1,286,040,164</w:t>
            </w:r>
          </w:p>
        </w:tc>
        <w:tc>
          <w:tcPr>
            <w:tcW w:w="4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color w:val="auto"/>
              </w:rPr>
              <w:t>106.89</w:t>
            </w: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30.47 %</w:t>
            </w:r>
          </w:p>
        </w:tc>
        <w:tc>
          <w:tcPr>
            <w:tcW w:w="3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-8309610</wp:posOffset>
            </wp:positionV>
            <wp:extent cx="257175" cy="1631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06"/>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 and hotel.</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79" w:right="339" w:bottom="808" w:gutter="0" w:footer="0" w:header="0"/>
        </w:sectPr>
      </w:pPr>
    </w:p>
    <w:p>
      <w:pPr>
        <w:spacing w:after="0" w:line="200" w:lineRule="exact"/>
        <w:rPr>
          <w:sz w:val="20"/>
          <w:szCs w:val="20"/>
          <w:color w:val="auto"/>
        </w:rPr>
      </w:pPr>
    </w:p>
    <w:p>
      <w:pPr>
        <w:spacing w:after="0" w:line="35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38</w:t>
      </w:r>
    </w:p>
    <w:p>
      <w:pPr>
        <w:sectPr>
          <w:pgSz w:w="11900" w:h="16838" w:orient="portrait"/>
          <w:cols w:equalWidth="0" w:num="1">
            <w:col w:w="11240"/>
          </w:cols>
          <w:pgMar w:left="320" w:top="279" w:right="339" w:bottom="808" w:gutter="0" w:footer="0" w:header="0"/>
          <w:type w:val="continuous"/>
        </w:sectPr>
      </w:pPr>
    </w:p>
    <w:bookmarkStart w:id="46" w:name="page47"/>
    <w:bookmarkEnd w:id="46"/>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Boston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690943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25"/>
        </w:trPr>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28"/>
              <w:spacing w:after="0"/>
              <w:rPr>
                <w:sz w:val="20"/>
                <w:szCs w:val="20"/>
                <w:color w:val="auto"/>
              </w:rPr>
            </w:pPr>
            <w:r>
              <w:rPr>
                <w:rFonts w:ascii="Arial" w:cs="Arial" w:eastAsia="Arial" w:hAnsi="Arial"/>
                <w:sz w:val="13"/>
                <w:szCs w:val="13"/>
                <w:b w:val="1"/>
                <w:bCs w:val="1"/>
                <w:color w:val="auto"/>
              </w:rPr>
              <w:t>$/PSF</w:t>
            </w:r>
          </w:p>
        </w:tc>
      </w:tr>
      <w:tr>
        <w:trPr>
          <w:trHeight w:val="202"/>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108,111</w:t>
            </w:r>
          </w:p>
        </w:tc>
        <w:tc>
          <w:tcPr>
            <w:tcW w:w="200" w:type="dxa"/>
            <w:vAlign w:val="bottom"/>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101,615</w:t>
            </w: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7,753,981</w:t>
            </w: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76.31</w:t>
            </w: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7,753,981</w:t>
            </w:r>
          </w:p>
        </w:tc>
        <w:tc>
          <w:tcPr>
            <w:tcW w:w="160" w:type="dxa"/>
            <w:vAlign w:val="bottom"/>
          </w:tcPr>
          <w:p>
            <w:pPr>
              <w:spacing w:after="0"/>
              <w:rPr>
                <w:sz w:val="17"/>
                <w:szCs w:val="17"/>
                <w:color w:val="auto"/>
              </w:rPr>
            </w:pPr>
          </w:p>
        </w:tc>
        <w:tc>
          <w:tcPr>
            <w:tcW w:w="13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76.31</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486,639</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398,018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25,925,759</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65.14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26,211,392</w:t>
            </w:r>
          </w:p>
        </w:tc>
        <w:tc>
          <w:tcPr>
            <w:tcW w:w="16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65.85</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851,025</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823,032</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80,895,175</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98.29</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84,020,896</w:t>
            </w:r>
          </w:p>
        </w:tc>
        <w:tc>
          <w:tcPr>
            <w:tcW w:w="16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102.09</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1,214,832</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1,081,346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77,097,684</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71.30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79,703,971</w:t>
            </w:r>
          </w:p>
        </w:tc>
        <w:tc>
          <w:tcPr>
            <w:tcW w:w="16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73.71</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1,065,543</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1,049,664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76,456,292</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72.84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80,030,578</w:t>
            </w:r>
          </w:p>
        </w:tc>
        <w:tc>
          <w:tcPr>
            <w:tcW w:w="16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76.24</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558,597</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549,974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39,349,771</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71.55</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41,855,217</w:t>
            </w:r>
          </w:p>
        </w:tc>
        <w:tc>
          <w:tcPr>
            <w:tcW w:w="16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76.10</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1,063,444</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1,063,444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83,429,892</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78.45</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101,472,595</w:t>
            </w:r>
          </w:p>
        </w:tc>
        <w:tc>
          <w:tcPr>
            <w:tcW w:w="16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95.42</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546,896</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518,173</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42,594,225</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82.20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48,741,629</w:t>
            </w:r>
          </w:p>
        </w:tc>
        <w:tc>
          <w:tcPr>
            <w:tcW w:w="16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94.06</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1,440,056</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1,290,448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114,020,252</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88.36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126,320,804</w:t>
            </w:r>
          </w:p>
        </w:tc>
        <w:tc>
          <w:tcPr>
            <w:tcW w:w="16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97.89</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717,734</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647,451</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57,020,305</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88.07</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72,724,119</w:t>
            </w:r>
          </w:p>
        </w:tc>
        <w:tc>
          <w:tcPr>
            <w:tcW w:w="16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112.32</w:t>
            </w:r>
          </w:p>
        </w:tc>
      </w:tr>
      <w:tr>
        <w:trPr>
          <w:trHeight w:val="216"/>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5,341,304</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4,190,280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387,685,479</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92.52</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474,864,696</w:t>
            </w:r>
          </w:p>
        </w:tc>
        <w:tc>
          <w:tcPr>
            <w:tcW w:w="160" w:type="dxa"/>
            <w:vAlign w:val="bottom"/>
          </w:tcPr>
          <w:p>
            <w:pPr>
              <w:spacing w:after="0"/>
              <w:rPr>
                <w:sz w:val="18"/>
                <w:szCs w:val="18"/>
                <w:color w:val="auto"/>
              </w:rPr>
            </w:pP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113.33</w:t>
            </w:r>
          </w:p>
        </w:tc>
      </w:tr>
      <w:tr>
        <w:trPr>
          <w:trHeight w:val="533"/>
        </w:trPr>
        <w:tc>
          <w:tcPr>
            <w:tcW w:w="1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RETAIL</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1"/>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25"/>
        </w:trPr>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1"/>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7,939</w:t>
            </w:r>
          </w:p>
        </w:tc>
        <w:tc>
          <w:tcPr>
            <w:tcW w:w="200" w:type="dxa"/>
            <w:vAlign w:val="bottom"/>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7,939</w:t>
            </w: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585,135</w:t>
            </w: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73.70</w:t>
            </w: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585,135</w:t>
            </w:r>
          </w:p>
        </w:tc>
        <w:tc>
          <w:tcPr>
            <w:tcW w:w="160" w:type="dxa"/>
            <w:vAlign w:val="bottom"/>
          </w:tcPr>
          <w:p>
            <w:pPr>
              <w:spacing w:after="0"/>
              <w:rPr>
                <w:sz w:val="17"/>
                <w:szCs w:val="17"/>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73.70</w:t>
            </w:r>
          </w:p>
        </w:tc>
      </w:tr>
      <w:tr>
        <w:trPr>
          <w:trHeight w:val="284"/>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24"/>
                <w:szCs w:val="24"/>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20,923</w:t>
            </w:r>
          </w:p>
        </w:tc>
        <w:tc>
          <w:tcPr>
            <w:tcW w:w="20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19,897</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3,876,998</w:t>
            </w:r>
          </w:p>
        </w:tc>
        <w:tc>
          <w:tcPr>
            <w:tcW w:w="18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194.85</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3,885,524</w:t>
            </w:r>
          </w:p>
        </w:tc>
        <w:tc>
          <w:tcPr>
            <w:tcW w:w="16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195.28</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28,550</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28,550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3,975,463</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139.25</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4,061,325</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142.25</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52,527</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51,852</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8,042,846</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155.11</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8,154,514</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157.27</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95,021</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59,046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6,767,843</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114.62</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6,895,353</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116.78</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11,243</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11,243</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1,317,028</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117.14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1,400,438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124.56</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80,000</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73,805</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5,793,608</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78.50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6,300,672</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85.37</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287,788</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254,385</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21,999,248</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86.48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24,318,355</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95.60</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164,155</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131,856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11,100,169</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84.18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12,112,685</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91.86</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119,685</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119,685</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8,539,258</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71.35</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8,934,147</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74.65</w:t>
            </w:r>
          </w:p>
        </w:tc>
      </w:tr>
      <w:tr>
        <w:trPr>
          <w:trHeight w:val="216"/>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157,365</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146,854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16,265,302</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110.76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22,147,065</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150.81</w:t>
            </w:r>
          </w:p>
        </w:tc>
      </w:tr>
      <w:tr>
        <w:trPr>
          <w:trHeight w:val="533"/>
        </w:trPr>
        <w:tc>
          <w:tcPr>
            <w:tcW w:w="306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0"/>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25"/>
        </w:trPr>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1"/>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116,050</w:t>
            </w:r>
          </w:p>
        </w:tc>
        <w:tc>
          <w:tcPr>
            <w:tcW w:w="200" w:type="dxa"/>
            <w:vAlign w:val="bottom"/>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109,554</w:t>
            </w: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8,339,116</w:t>
            </w: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76.12</w:t>
            </w: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8,339,116</w:t>
            </w:r>
          </w:p>
        </w:tc>
        <w:tc>
          <w:tcPr>
            <w:tcW w:w="160" w:type="dxa"/>
            <w:vAlign w:val="bottom"/>
          </w:tcPr>
          <w:p>
            <w:pPr>
              <w:spacing w:after="0"/>
              <w:rPr>
                <w:sz w:val="17"/>
                <w:szCs w:val="17"/>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76.12</w:t>
            </w:r>
          </w:p>
        </w:tc>
      </w:tr>
      <w:tr>
        <w:trPr>
          <w:trHeight w:val="284"/>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24"/>
                <w:szCs w:val="24"/>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507,562</w:t>
            </w:r>
          </w:p>
        </w:tc>
        <w:tc>
          <w:tcPr>
            <w:tcW w:w="20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417,915</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29,802,757</w:t>
            </w:r>
          </w:p>
        </w:tc>
        <w:tc>
          <w:tcPr>
            <w:tcW w:w="18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71.31</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30,096,916</w:t>
            </w:r>
          </w:p>
        </w:tc>
        <w:tc>
          <w:tcPr>
            <w:tcW w:w="16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72.02</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879,575</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851,582</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84,870,638</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99.66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88,082,221</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103.43</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1,267,359</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1,133,198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85,140,530</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75.13</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87,858,485</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77.53</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1,160,564</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1,108,710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83,224,135</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75.06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86,925,931</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78.40</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569,840</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561,217</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40,666,799</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72.46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43,255,655</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77.07</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1,143,444</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1,137,249</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89,223,500</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78.46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107,773,267</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94.77</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834,684</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772,558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64,593,473</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83.61</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73,059,984</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94.57</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1,604,211</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1,422,304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125,120,421</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87.97</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138,433,489</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97.33</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837,419</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767,136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65,559,563</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85.46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81,658,266</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106.45</w:t>
            </w:r>
          </w:p>
        </w:tc>
      </w:tr>
      <w:tr>
        <w:trPr>
          <w:trHeight w:val="216"/>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5,498,669</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4,337,134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403,950,781</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93.14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497,011,761</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114.59</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07"/>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 and hotel.</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79" w:right="339" w:bottom="1440" w:gutter="0" w:footer="0" w:header="0"/>
        </w:sectPr>
      </w:pPr>
    </w:p>
    <w:p>
      <w:pPr>
        <w:spacing w:after="0" w:line="28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39</w:t>
      </w:r>
    </w:p>
    <w:p>
      <w:pPr>
        <w:sectPr>
          <w:pgSz w:w="11900" w:h="16838" w:orient="portrait"/>
          <w:cols w:equalWidth="0" w:num="1">
            <w:col w:w="11240"/>
          </w:cols>
          <w:pgMar w:left="320" w:top="279" w:right="339" w:bottom="1440" w:gutter="0" w:footer="0" w:header="0"/>
          <w:type w:val="continuous"/>
        </w:sectPr>
      </w:pPr>
    </w:p>
    <w:bookmarkStart w:id="47" w:name="page48"/>
    <w:bookmarkEnd w:id="47"/>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Boston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696912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69125" cy="1714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BXP’s Share</w:t>
            </w:r>
          </w:p>
        </w:tc>
        <w:tc>
          <w:tcPr>
            <w:tcW w:w="14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8"/>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6"/>
        </w:trPr>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29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6"/>
                <w:szCs w:val="16"/>
                <w:color w:val="auto"/>
              </w:rPr>
            </w:pPr>
          </w:p>
        </w:tc>
        <w:tc>
          <w:tcPr>
            <w:tcW w:w="300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9"/>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ind w:right="60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gridSpan w:val="2"/>
          </w:tcPr>
          <w:p>
            <w:pPr>
              <w:ind w:left="460"/>
              <w:spacing w:after="0"/>
              <w:rPr>
                <w:sz w:val="20"/>
                <w:szCs w:val="20"/>
                <w:color w:val="auto"/>
              </w:rPr>
            </w:pPr>
            <w:r>
              <w:rPr>
                <w:rFonts w:ascii="Arial" w:cs="Arial" w:eastAsia="Arial" w:hAnsi="Arial"/>
                <w:sz w:val="13"/>
                <w:szCs w:val="13"/>
                <w:b w:val="1"/>
                <w:bCs w:val="1"/>
                <w:color w:val="auto"/>
              </w:rPr>
              <w:t>$/PSF</w:t>
            </w:r>
          </w:p>
        </w:tc>
        <w:tc>
          <w:tcPr>
            <w:tcW w:w="200" w:type="dxa"/>
            <w:vAlign w:val="bottom"/>
            <w:gridSpan w:val="2"/>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201"/>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Q1 2026</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Q2 2026</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Q3 2026</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Q4 2026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108,111</w:t>
            </w:r>
          </w:p>
        </w:tc>
        <w:tc>
          <w:tcPr>
            <w:tcW w:w="2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101,615</w:t>
            </w:r>
          </w:p>
        </w:tc>
        <w:tc>
          <w:tcPr>
            <w:tcW w:w="2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7,753,981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7,753,981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76.31</w:t>
            </w:r>
          </w:p>
        </w:tc>
        <w:tc>
          <w:tcPr>
            <w:tcW w:w="0" w:type="dxa"/>
            <w:vAlign w:val="bottom"/>
          </w:tcPr>
          <w:p>
            <w:pPr>
              <w:spacing w:after="0"/>
              <w:rPr>
                <w:sz w:val="1"/>
                <w:szCs w:val="1"/>
                <w:color w:val="auto"/>
              </w:rPr>
            </w:pPr>
          </w:p>
        </w:tc>
      </w:tr>
      <w:tr>
        <w:trPr>
          <w:trHeight w:val="213"/>
        </w:trPr>
        <w:tc>
          <w:tcPr>
            <w:tcW w:w="158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Total 2026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108,111</w:t>
            </w: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101,615</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7,753,981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7,753,981</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76.31</w:t>
            </w:r>
          </w:p>
        </w:tc>
        <w:tc>
          <w:tcPr>
            <w:tcW w:w="0" w:type="dxa"/>
            <w:vAlign w:val="bottom"/>
          </w:tcPr>
          <w:p>
            <w:pPr>
              <w:spacing w:after="0"/>
              <w:rPr>
                <w:sz w:val="1"/>
                <w:szCs w:val="1"/>
                <w:color w:val="auto"/>
              </w:rPr>
            </w:pPr>
          </w:p>
        </w:tc>
      </w:tr>
      <w:tr>
        <w:trPr>
          <w:trHeight w:val="21"/>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Q1 2027</w:t>
            </w:r>
          </w:p>
        </w:tc>
        <w:tc>
          <w:tcPr>
            <w:tcW w:w="1420" w:type="dxa"/>
            <w:vAlign w:val="bottom"/>
          </w:tcPr>
          <w:p>
            <w:pPr>
              <w:jc w:val="right"/>
              <w:spacing w:after="0"/>
              <w:rPr>
                <w:sz w:val="20"/>
                <w:szCs w:val="20"/>
                <w:color w:val="auto"/>
              </w:rPr>
            </w:pPr>
            <w:r>
              <w:rPr>
                <w:rFonts w:ascii="Arial" w:cs="Arial" w:eastAsia="Arial" w:hAnsi="Arial"/>
                <w:sz w:val="14"/>
                <w:szCs w:val="14"/>
                <w:color w:val="auto"/>
              </w:rPr>
              <w:t>166,698</w:t>
            </w:r>
          </w:p>
        </w:tc>
        <w:tc>
          <w:tcPr>
            <w:tcW w:w="2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105,262</w:t>
            </w: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7,970,686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75.72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8,057,883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76.55</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Q2 2027</w:t>
            </w:r>
          </w:p>
        </w:tc>
        <w:tc>
          <w:tcPr>
            <w:tcW w:w="1420" w:type="dxa"/>
            <w:vAlign w:val="bottom"/>
          </w:tcPr>
          <w:p>
            <w:pPr>
              <w:jc w:val="right"/>
              <w:spacing w:after="0"/>
              <w:rPr>
                <w:sz w:val="20"/>
                <w:szCs w:val="20"/>
                <w:color w:val="auto"/>
              </w:rPr>
            </w:pPr>
            <w:r>
              <w:rPr>
                <w:rFonts w:ascii="Arial" w:cs="Arial" w:eastAsia="Arial" w:hAnsi="Arial"/>
                <w:sz w:val="14"/>
                <w:szCs w:val="14"/>
                <w:color w:val="auto"/>
              </w:rPr>
              <w:t>64,076</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57,123</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2,702,816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2,702,816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47.32</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Q3 2027</w:t>
            </w:r>
          </w:p>
        </w:tc>
        <w:tc>
          <w:tcPr>
            <w:tcW w:w="1420" w:type="dxa"/>
            <w:vAlign w:val="bottom"/>
          </w:tcPr>
          <w:p>
            <w:pPr>
              <w:jc w:val="right"/>
              <w:spacing w:after="0"/>
              <w:rPr>
                <w:sz w:val="20"/>
                <w:szCs w:val="20"/>
                <w:color w:val="auto"/>
              </w:rPr>
            </w:pPr>
            <w:r>
              <w:rPr>
                <w:rFonts w:ascii="Arial" w:cs="Arial" w:eastAsia="Arial" w:hAnsi="Arial"/>
                <w:sz w:val="14"/>
                <w:szCs w:val="14"/>
                <w:color w:val="auto"/>
              </w:rPr>
              <w:t>75,990</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58,152</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3,078,172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3,092,865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53.19</w:t>
            </w:r>
          </w:p>
        </w:tc>
        <w:tc>
          <w:tcPr>
            <w:tcW w:w="0" w:type="dxa"/>
            <w:vAlign w:val="bottom"/>
          </w:tcPr>
          <w:p>
            <w:pPr>
              <w:spacing w:after="0"/>
              <w:rPr>
                <w:sz w:val="1"/>
                <w:szCs w:val="1"/>
                <w:color w:val="auto"/>
              </w:rPr>
            </w:pPr>
          </w:p>
        </w:tc>
      </w:tr>
      <w:tr>
        <w:trPr>
          <w:trHeight w:val="220"/>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Q4 2027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179,875</w:t>
            </w:r>
          </w:p>
        </w:tc>
        <w:tc>
          <w:tcPr>
            <w:tcW w:w="2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177,480</w:t>
            </w:r>
          </w:p>
        </w:tc>
        <w:tc>
          <w:tcPr>
            <w:tcW w:w="2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12,174,085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68.59</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12,357,828</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69.63</w:t>
            </w:r>
          </w:p>
        </w:tc>
        <w:tc>
          <w:tcPr>
            <w:tcW w:w="0" w:type="dxa"/>
            <w:vAlign w:val="bottom"/>
          </w:tcPr>
          <w:p>
            <w:pPr>
              <w:spacing w:after="0"/>
              <w:rPr>
                <w:sz w:val="1"/>
                <w:szCs w:val="1"/>
                <w:color w:val="auto"/>
              </w:rPr>
            </w:pPr>
          </w:p>
        </w:tc>
      </w:tr>
      <w:tr>
        <w:trPr>
          <w:trHeight w:val="214"/>
        </w:trPr>
        <w:tc>
          <w:tcPr>
            <w:tcW w:w="158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Total 2027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486,639</w:t>
            </w: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398,018</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25,925,759</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65.14</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26,211,392</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65.85</w:t>
            </w:r>
          </w:p>
        </w:tc>
        <w:tc>
          <w:tcPr>
            <w:tcW w:w="0" w:type="dxa"/>
            <w:vAlign w:val="bottom"/>
          </w:tcPr>
          <w:p>
            <w:pPr>
              <w:spacing w:after="0"/>
              <w:rPr>
                <w:sz w:val="1"/>
                <w:szCs w:val="1"/>
                <w:color w:val="auto"/>
              </w:rPr>
            </w:pPr>
          </w:p>
        </w:tc>
      </w:tr>
      <w:tr>
        <w:trPr>
          <w:trHeight w:val="20"/>
        </w:trPr>
        <w:tc>
          <w:tcPr>
            <w:tcW w:w="15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RETAIL</w:t>
            </w: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4"/>
        </w:trPr>
        <w:tc>
          <w:tcPr>
            <w:tcW w:w="158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4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gridSpan w:val="4"/>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BXP’s Share</w:t>
            </w:r>
          </w:p>
        </w:tc>
        <w:tc>
          <w:tcPr>
            <w:tcW w:w="1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8"/>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8"/>
        </w:trPr>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29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7"/>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3"/>
                <w:szCs w:val="13"/>
                <w:b w:val="1"/>
                <w:bCs w:val="1"/>
                <w:color w:val="auto"/>
              </w:rPr>
              <w:t>$/PSF</w:t>
            </w:r>
          </w:p>
        </w:tc>
        <w:tc>
          <w:tcPr>
            <w:tcW w:w="20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4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42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215"/>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Q1 2026</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Q2 2026</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Q3 2026</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Q4 2026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7,939</w:t>
            </w:r>
          </w:p>
        </w:tc>
        <w:tc>
          <w:tcPr>
            <w:tcW w:w="2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7,939</w:t>
            </w:r>
          </w:p>
        </w:tc>
        <w:tc>
          <w:tcPr>
            <w:tcW w:w="2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585,135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585,135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73.70</w:t>
            </w:r>
          </w:p>
        </w:tc>
        <w:tc>
          <w:tcPr>
            <w:tcW w:w="0" w:type="dxa"/>
            <w:vAlign w:val="bottom"/>
          </w:tcPr>
          <w:p>
            <w:pPr>
              <w:spacing w:after="0"/>
              <w:rPr>
                <w:sz w:val="1"/>
                <w:szCs w:val="1"/>
                <w:color w:val="auto"/>
              </w:rPr>
            </w:pPr>
          </w:p>
        </w:tc>
      </w:tr>
      <w:tr>
        <w:trPr>
          <w:trHeight w:val="213"/>
        </w:trPr>
        <w:tc>
          <w:tcPr>
            <w:tcW w:w="158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Total 2026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7,939</w:t>
            </w: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7,939</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585,135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585,135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73.70</w:t>
            </w: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5"/>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Q1 2027</w:t>
            </w:r>
          </w:p>
        </w:tc>
        <w:tc>
          <w:tcPr>
            <w:tcW w:w="1420" w:type="dxa"/>
            <w:vAlign w:val="bottom"/>
          </w:tcPr>
          <w:p>
            <w:pPr>
              <w:jc w:val="right"/>
              <w:spacing w:after="0"/>
              <w:rPr>
                <w:sz w:val="20"/>
                <w:szCs w:val="20"/>
                <w:color w:val="auto"/>
              </w:rPr>
            </w:pPr>
            <w:r>
              <w:rPr>
                <w:rFonts w:ascii="Arial" w:cs="Arial" w:eastAsia="Arial" w:hAnsi="Arial"/>
                <w:sz w:val="14"/>
                <w:szCs w:val="14"/>
                <w:color w:val="auto"/>
              </w:rPr>
              <w:t>12,331</w:t>
            </w:r>
          </w:p>
        </w:tc>
        <w:tc>
          <w:tcPr>
            <w:tcW w:w="2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12,331</w:t>
            </w: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2,156,258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174.86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2,156,258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174.86</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Q2 2027</w:t>
            </w:r>
          </w:p>
        </w:tc>
        <w:tc>
          <w:tcPr>
            <w:tcW w:w="1420" w:type="dxa"/>
            <w:vAlign w:val="bottom"/>
          </w:tcPr>
          <w:p>
            <w:pPr>
              <w:jc w:val="right"/>
              <w:spacing w:after="0"/>
              <w:rPr>
                <w:sz w:val="20"/>
                <w:szCs w:val="20"/>
                <w:color w:val="auto"/>
              </w:rPr>
            </w:pPr>
            <w:r>
              <w:rPr>
                <w:rFonts w:ascii="Arial" w:cs="Arial" w:eastAsia="Arial" w:hAnsi="Arial"/>
                <w:sz w:val="14"/>
                <w:szCs w:val="14"/>
                <w:color w:val="auto"/>
              </w:rPr>
              <w:t>3,576</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3,261</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776,965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238.26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776,965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238.26</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Q3 2027</w:t>
            </w:r>
          </w:p>
        </w:tc>
        <w:tc>
          <w:tcPr>
            <w:tcW w:w="1420" w:type="dxa"/>
            <w:vAlign w:val="bottom"/>
          </w:tcPr>
          <w:p>
            <w:pPr>
              <w:jc w:val="right"/>
              <w:spacing w:after="0"/>
              <w:rPr>
                <w:sz w:val="20"/>
                <w:szCs w:val="20"/>
                <w:color w:val="auto"/>
              </w:rPr>
            </w:pPr>
            <w:r>
              <w:rPr>
                <w:rFonts w:ascii="Arial" w:cs="Arial" w:eastAsia="Arial" w:hAnsi="Arial"/>
                <w:sz w:val="14"/>
                <w:szCs w:val="14"/>
                <w:color w:val="auto"/>
              </w:rPr>
              <w:t>1,315</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1,315</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407,841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310.15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jc w:val="right"/>
              <w:ind w:right="9"/>
              <w:spacing w:after="0"/>
              <w:rPr>
                <w:sz w:val="20"/>
                <w:szCs w:val="20"/>
                <w:color w:val="auto"/>
              </w:rPr>
            </w:pPr>
            <w:r>
              <w:rPr>
                <w:rFonts w:ascii="Arial" w:cs="Arial" w:eastAsia="Arial" w:hAnsi="Arial"/>
                <w:sz w:val="14"/>
                <w:szCs w:val="14"/>
                <w:color w:val="auto"/>
              </w:rPr>
              <w:t>407,841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310.15</w:t>
            </w:r>
          </w:p>
        </w:tc>
        <w:tc>
          <w:tcPr>
            <w:tcW w:w="0" w:type="dxa"/>
            <w:vAlign w:val="bottom"/>
          </w:tcPr>
          <w:p>
            <w:pPr>
              <w:spacing w:after="0"/>
              <w:rPr>
                <w:sz w:val="1"/>
                <w:szCs w:val="1"/>
                <w:color w:val="auto"/>
              </w:rPr>
            </w:pPr>
          </w:p>
        </w:tc>
      </w:tr>
      <w:tr>
        <w:trPr>
          <w:trHeight w:val="220"/>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Q4 2027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3,701</w:t>
            </w:r>
          </w:p>
        </w:tc>
        <w:tc>
          <w:tcPr>
            <w:tcW w:w="2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2,990</w:t>
            </w:r>
          </w:p>
        </w:tc>
        <w:tc>
          <w:tcPr>
            <w:tcW w:w="2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535,935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179.24</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544,461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182.09</w:t>
            </w:r>
          </w:p>
        </w:tc>
        <w:tc>
          <w:tcPr>
            <w:tcW w:w="0" w:type="dxa"/>
            <w:vAlign w:val="bottom"/>
          </w:tcPr>
          <w:p>
            <w:pPr>
              <w:spacing w:after="0"/>
              <w:rPr>
                <w:sz w:val="1"/>
                <w:szCs w:val="1"/>
                <w:color w:val="auto"/>
              </w:rPr>
            </w:pPr>
          </w:p>
        </w:tc>
      </w:tr>
      <w:tr>
        <w:trPr>
          <w:trHeight w:val="214"/>
        </w:trPr>
        <w:tc>
          <w:tcPr>
            <w:tcW w:w="158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Total 2027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20,923</w:t>
            </w: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19,897</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3,876,998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3,885,524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195.28</w:t>
            </w: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8"/>
        </w:trPr>
        <w:tc>
          <w:tcPr>
            <w:tcW w:w="32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4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4"/>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BXP’s Share</w:t>
            </w:r>
          </w:p>
        </w:tc>
        <w:tc>
          <w:tcPr>
            <w:tcW w:w="14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80" w:type="dxa"/>
            <w:vAlign w:val="bottom"/>
            <w:gridSpan w:val="8"/>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8"/>
        </w:trPr>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6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29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6"/>
                <w:szCs w:val="16"/>
                <w:color w:val="auto"/>
              </w:rPr>
            </w:pPr>
          </w:p>
        </w:tc>
        <w:tc>
          <w:tcPr>
            <w:tcW w:w="300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7"/>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Pr>
          <w:p>
            <w:pPr>
              <w:spacing w:after="0"/>
              <w:rPr>
                <w:sz w:val="17"/>
                <w:szCs w:val="17"/>
                <w:color w:val="auto"/>
              </w:rPr>
            </w:pPr>
          </w:p>
        </w:tc>
        <w:tc>
          <w:tcPr>
            <w:tcW w:w="1460" w:type="dxa"/>
            <w:vAlign w:val="bottom"/>
            <w:tcBorders>
              <w:bottom w:val="single" w:sz="8" w:color="auto"/>
            </w:tcBorders>
          </w:tcPr>
          <w:p>
            <w:pPr>
              <w:jc w:val="right"/>
              <w:ind w:right="60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gridSpan w:val="2"/>
          </w:tcPr>
          <w:p>
            <w:pPr>
              <w:ind w:left="460"/>
              <w:spacing w:after="0"/>
              <w:rPr>
                <w:sz w:val="20"/>
                <w:szCs w:val="20"/>
                <w:color w:val="auto"/>
              </w:rPr>
            </w:pPr>
            <w:r>
              <w:rPr>
                <w:rFonts w:ascii="Arial" w:cs="Arial" w:eastAsia="Arial" w:hAnsi="Arial"/>
                <w:sz w:val="13"/>
                <w:szCs w:val="13"/>
                <w:b w:val="1"/>
                <w:bCs w:val="1"/>
                <w:color w:val="auto"/>
              </w:rPr>
              <w:t>$/PSF</w:t>
            </w:r>
          </w:p>
        </w:tc>
        <w:tc>
          <w:tcPr>
            <w:tcW w:w="200" w:type="dxa"/>
            <w:vAlign w:val="bottom"/>
            <w:gridSpan w:val="2"/>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201"/>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Q1 2026</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Q2 2026</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Q3 2026</w:t>
            </w: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6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Q4 2026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116,050</w:t>
            </w:r>
          </w:p>
        </w:tc>
        <w:tc>
          <w:tcPr>
            <w:tcW w:w="2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109,554</w:t>
            </w:r>
          </w:p>
        </w:tc>
        <w:tc>
          <w:tcPr>
            <w:tcW w:w="2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8,339,116</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8,339,116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76.12</w:t>
            </w:r>
          </w:p>
        </w:tc>
        <w:tc>
          <w:tcPr>
            <w:tcW w:w="0" w:type="dxa"/>
            <w:vAlign w:val="bottom"/>
          </w:tcPr>
          <w:p>
            <w:pPr>
              <w:spacing w:after="0"/>
              <w:rPr>
                <w:sz w:val="1"/>
                <w:szCs w:val="1"/>
                <w:color w:val="auto"/>
              </w:rPr>
            </w:pPr>
          </w:p>
        </w:tc>
      </w:tr>
      <w:tr>
        <w:trPr>
          <w:trHeight w:val="214"/>
        </w:trPr>
        <w:tc>
          <w:tcPr>
            <w:tcW w:w="158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Total 2026</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116,050</w:t>
            </w: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109,554</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8,339,116</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76.12</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8,339,116</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76.12</w:t>
            </w:r>
          </w:p>
        </w:tc>
        <w:tc>
          <w:tcPr>
            <w:tcW w:w="0" w:type="dxa"/>
            <w:vAlign w:val="bottom"/>
          </w:tcPr>
          <w:p>
            <w:pPr>
              <w:spacing w:after="0"/>
              <w:rPr>
                <w:sz w:val="1"/>
                <w:szCs w:val="1"/>
                <w:color w:val="auto"/>
              </w:rPr>
            </w:pPr>
          </w:p>
        </w:tc>
      </w:tr>
      <w:tr>
        <w:trPr>
          <w:trHeight w:val="20"/>
        </w:trPr>
        <w:tc>
          <w:tcPr>
            <w:tcW w:w="1580" w:type="dxa"/>
            <w:vAlign w:val="bottom"/>
            <w:gridSpan w:val="2"/>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5"/>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Q1 2027</w:t>
            </w:r>
          </w:p>
        </w:tc>
        <w:tc>
          <w:tcPr>
            <w:tcW w:w="1420" w:type="dxa"/>
            <w:vAlign w:val="bottom"/>
          </w:tcPr>
          <w:p>
            <w:pPr>
              <w:jc w:val="right"/>
              <w:spacing w:after="0"/>
              <w:rPr>
                <w:sz w:val="20"/>
                <w:szCs w:val="20"/>
                <w:color w:val="auto"/>
              </w:rPr>
            </w:pPr>
            <w:r>
              <w:rPr>
                <w:rFonts w:ascii="Arial" w:cs="Arial" w:eastAsia="Arial" w:hAnsi="Arial"/>
                <w:sz w:val="14"/>
                <w:szCs w:val="14"/>
                <w:color w:val="auto"/>
              </w:rPr>
              <w:t>179,029</w:t>
            </w:r>
          </w:p>
        </w:tc>
        <w:tc>
          <w:tcPr>
            <w:tcW w:w="2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117,593</w:t>
            </w:r>
          </w:p>
        </w:tc>
        <w:tc>
          <w:tcPr>
            <w:tcW w:w="20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10,126,944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86.12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10,214,141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86.86</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Q2 2027</w:t>
            </w:r>
          </w:p>
        </w:tc>
        <w:tc>
          <w:tcPr>
            <w:tcW w:w="1420" w:type="dxa"/>
            <w:vAlign w:val="bottom"/>
          </w:tcPr>
          <w:p>
            <w:pPr>
              <w:jc w:val="right"/>
              <w:spacing w:after="0"/>
              <w:rPr>
                <w:sz w:val="20"/>
                <w:szCs w:val="20"/>
                <w:color w:val="auto"/>
              </w:rPr>
            </w:pPr>
            <w:r>
              <w:rPr>
                <w:rFonts w:ascii="Arial" w:cs="Arial" w:eastAsia="Arial" w:hAnsi="Arial"/>
                <w:sz w:val="14"/>
                <w:szCs w:val="14"/>
                <w:color w:val="auto"/>
              </w:rPr>
              <w:t>67,652</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60,384</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3,479,781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3,479,781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57.63</w:t>
            </w: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Q3 2027</w:t>
            </w:r>
          </w:p>
        </w:tc>
        <w:tc>
          <w:tcPr>
            <w:tcW w:w="1420" w:type="dxa"/>
            <w:vAlign w:val="bottom"/>
          </w:tcPr>
          <w:p>
            <w:pPr>
              <w:jc w:val="right"/>
              <w:spacing w:after="0"/>
              <w:rPr>
                <w:sz w:val="20"/>
                <w:szCs w:val="20"/>
                <w:color w:val="auto"/>
              </w:rPr>
            </w:pPr>
            <w:r>
              <w:rPr>
                <w:rFonts w:ascii="Arial" w:cs="Arial" w:eastAsia="Arial" w:hAnsi="Arial"/>
                <w:sz w:val="14"/>
                <w:szCs w:val="14"/>
                <w:color w:val="auto"/>
              </w:rPr>
              <w:t>77,305</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59,467</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3,486,013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3,500,706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58.87</w:t>
            </w:r>
          </w:p>
        </w:tc>
        <w:tc>
          <w:tcPr>
            <w:tcW w:w="0" w:type="dxa"/>
            <w:vAlign w:val="bottom"/>
          </w:tcPr>
          <w:p>
            <w:pPr>
              <w:spacing w:after="0"/>
              <w:rPr>
                <w:sz w:val="1"/>
                <w:szCs w:val="1"/>
                <w:color w:val="auto"/>
              </w:rPr>
            </w:pPr>
          </w:p>
        </w:tc>
      </w:tr>
      <w:tr>
        <w:trPr>
          <w:trHeight w:val="220"/>
        </w:trPr>
        <w:tc>
          <w:tcPr>
            <w:tcW w:w="1580" w:type="dxa"/>
            <w:vAlign w:val="bottom"/>
            <w:gridSpan w:val="2"/>
          </w:tcPr>
          <w:p>
            <w:pPr>
              <w:jc w:val="center"/>
              <w:ind w:right="180"/>
              <w:spacing w:after="0"/>
              <w:rPr>
                <w:sz w:val="20"/>
                <w:szCs w:val="20"/>
                <w:color w:val="auto"/>
              </w:rPr>
            </w:pPr>
            <w:r>
              <w:rPr>
                <w:rFonts w:ascii="Arial" w:cs="Arial" w:eastAsia="Arial" w:hAnsi="Arial"/>
                <w:sz w:val="14"/>
                <w:szCs w:val="14"/>
                <w:color w:val="auto"/>
              </w:rPr>
              <w:t>Q4 2027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183,576</w:t>
            </w:r>
          </w:p>
        </w:tc>
        <w:tc>
          <w:tcPr>
            <w:tcW w:w="2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180,470</w:t>
            </w:r>
          </w:p>
        </w:tc>
        <w:tc>
          <w:tcPr>
            <w:tcW w:w="2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12,710,020</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70.43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12,902,289</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71.49</w:t>
            </w:r>
          </w:p>
        </w:tc>
        <w:tc>
          <w:tcPr>
            <w:tcW w:w="0" w:type="dxa"/>
            <w:vAlign w:val="bottom"/>
          </w:tcPr>
          <w:p>
            <w:pPr>
              <w:spacing w:after="0"/>
              <w:rPr>
                <w:sz w:val="1"/>
                <w:szCs w:val="1"/>
                <w:color w:val="auto"/>
              </w:rPr>
            </w:pPr>
          </w:p>
        </w:tc>
      </w:tr>
      <w:tr>
        <w:trPr>
          <w:trHeight w:val="214"/>
        </w:trPr>
        <w:tc>
          <w:tcPr>
            <w:tcW w:w="158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Total 2027</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507,562</w:t>
            </w:r>
          </w:p>
        </w:tc>
        <w:tc>
          <w:tcPr>
            <w:tcW w:w="2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417,915</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29,802,757</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71.31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30,096,916</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72.02</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12" w:lineRule="exact"/>
        <w:rPr>
          <w:rFonts w:ascii="Arial" w:cs="Arial" w:eastAsia="Arial" w:hAnsi="Arial"/>
          <w:sz w:val="19"/>
          <w:szCs w:val="19"/>
          <w:color w:val="auto"/>
          <w:vertAlign w:val="superscript"/>
        </w:rPr>
      </w:pP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 and hotel.</w:t>
      </w:r>
    </w:p>
    <w:p>
      <w:pPr>
        <w:ind w:left="80" w:right="200" w:hanging="81"/>
        <w:spacing w:after="0" w:line="279" w:lineRule="auto"/>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79" w:right="339" w:bottom="687" w:gutter="0" w:footer="0" w:header="0"/>
        </w:sectPr>
      </w:pPr>
    </w:p>
    <w:p>
      <w:pPr>
        <w:spacing w:after="0" w:line="200" w:lineRule="exact"/>
        <w:rPr>
          <w:sz w:val="20"/>
          <w:szCs w:val="20"/>
          <w:color w:val="auto"/>
        </w:rPr>
      </w:pPr>
    </w:p>
    <w:p>
      <w:pPr>
        <w:spacing w:after="0" w:line="24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40</w:t>
      </w:r>
    </w:p>
    <w:p>
      <w:pPr>
        <w:sectPr>
          <w:pgSz w:w="11900" w:h="16838" w:orient="portrait"/>
          <w:cols w:equalWidth="0" w:num="1">
            <w:col w:w="11240"/>
          </w:cols>
          <w:pgMar w:left="320" w:top="279" w:right="339" w:bottom="687" w:gutter="0" w:footer="0" w:header="0"/>
          <w:type w:val="continuous"/>
        </w:sectPr>
      </w:pPr>
    </w:p>
    <w:bookmarkStart w:id="48" w:name="page49"/>
    <w:bookmarkEnd w:id="48"/>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Los Angeles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696912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69125" cy="1714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25"/>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$/PSF</w:t>
            </w:r>
          </w:p>
        </w:tc>
        <w:tc>
          <w:tcPr>
            <w:tcW w:w="1620" w:type="dxa"/>
            <w:vAlign w:val="bottom"/>
            <w:gridSpan w:val="2"/>
          </w:tcPr>
          <w:p>
            <w:pPr>
              <w:jc w:val="right"/>
              <w:ind w:right="69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2"/>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1,936</w:t>
            </w:r>
          </w:p>
        </w:tc>
        <w:tc>
          <w:tcPr>
            <w:tcW w:w="22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1,936</w:t>
            </w:r>
          </w:p>
        </w:tc>
        <w:tc>
          <w:tcPr>
            <w:tcW w:w="20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69,696</w:t>
            </w:r>
          </w:p>
        </w:tc>
        <w:tc>
          <w:tcPr>
            <w:tcW w:w="200" w:type="dxa"/>
            <w:vAlign w:val="bottom"/>
          </w:tcPr>
          <w:p>
            <w:pPr>
              <w:spacing w:after="0"/>
              <w:rPr>
                <w:sz w:val="17"/>
                <w:szCs w:val="17"/>
                <w:color w:val="auto"/>
              </w:rPr>
            </w:pPr>
          </w:p>
        </w:tc>
        <w:tc>
          <w:tcPr>
            <w:tcW w:w="12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36.00</w:t>
            </w:r>
          </w:p>
        </w:tc>
        <w:tc>
          <w:tcPr>
            <w:tcW w:w="180" w:type="dxa"/>
            <w:vAlign w:val="bottom"/>
          </w:tcPr>
          <w:p>
            <w:pPr>
              <w:spacing w:after="0"/>
              <w:rPr>
                <w:sz w:val="17"/>
                <w:szCs w:val="17"/>
                <w:color w:val="auto"/>
              </w:rPr>
            </w:pPr>
          </w:p>
        </w:tc>
        <w:tc>
          <w:tcPr>
            <w:tcW w:w="1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69,696</w:t>
            </w:r>
          </w:p>
        </w:tc>
        <w:tc>
          <w:tcPr>
            <w:tcW w:w="160" w:type="dxa"/>
            <w:vAlign w:val="bottom"/>
          </w:tcPr>
          <w:p>
            <w:pPr>
              <w:spacing w:after="0"/>
              <w:rPr>
                <w:sz w:val="17"/>
                <w:szCs w:val="17"/>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36.00</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187,615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94,310</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7,149,909</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75.81</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7,351,458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77.95</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270,593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172,796</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14,881,735</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86.12</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15,663,222</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90.65</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233,322</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151,671</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9,990,751</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65.87</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10,665,590</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70.32</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48,592</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48,592</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3,092,845</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63.65</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3,486,818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71.76</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7,752</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7,752</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551,659</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71.16</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631,775</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81.50</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267,810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148,844</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12,496,556</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83.96</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14,781,562</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99.31</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186,894</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93,447</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8,185,957</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87.60</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10,414,824</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111.45</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3,739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3,739</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242,624</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64.89</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298,397</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79.81</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66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517,991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517,991</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33,677,026</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65.01</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44,160,204</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85.25</w:t>
            </w:r>
          </w:p>
        </w:tc>
      </w:tr>
      <w:tr>
        <w:trPr>
          <w:trHeight w:val="533"/>
        </w:trPr>
        <w:tc>
          <w:tcPr>
            <w:tcW w:w="1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RETAIL</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
        </w:trPr>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0"/>
        </w:trPr>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25"/>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Year</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Pr>
          <w:p>
            <w:pPr>
              <w:spacing w:after="0"/>
              <w:rPr>
                <w:sz w:val="17"/>
                <w:szCs w:val="17"/>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$/PSF</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bottom w:val="single" w:sz="8" w:color="auto"/>
            </w:tcBorders>
          </w:tcPr>
          <w:p>
            <w:pPr>
              <w:jc w:val="right"/>
              <w:ind w:right="69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1"/>
        </w:trPr>
        <w:tc>
          <w:tcPr>
            <w:tcW w:w="148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19,188</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9,594</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135,600</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14.13</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135,600</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14.13</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38,118</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38,118</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2,385,252</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62.58</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2,530,404</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66.38</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11,364</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11,364</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1,322,144</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116.34</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1,450,598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127.65</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19,993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9,997</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248,508</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24.86</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248,508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24.86</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8,043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8,043</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658,143</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81.83</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801,309</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99.63</w:t>
            </w:r>
          </w:p>
        </w:tc>
      </w:tr>
      <w:tr>
        <w:trPr>
          <w:trHeight w:val="216"/>
        </w:trPr>
        <w:tc>
          <w:tcPr>
            <w:tcW w:w="166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5,827</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5,827</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543,744</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93.31</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650,299</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111.60</w:t>
            </w:r>
          </w:p>
        </w:tc>
      </w:tr>
      <w:tr>
        <w:trPr>
          <w:trHeight w:val="533"/>
        </w:trPr>
        <w:tc>
          <w:tcPr>
            <w:tcW w:w="31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0"/>
        </w:trPr>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25"/>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$/PSF</w:t>
            </w:r>
          </w:p>
        </w:tc>
        <w:tc>
          <w:tcPr>
            <w:tcW w:w="1620" w:type="dxa"/>
            <w:vAlign w:val="bottom"/>
            <w:gridSpan w:val="2"/>
          </w:tcPr>
          <w:p>
            <w:pPr>
              <w:jc w:val="right"/>
              <w:ind w:right="69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1"/>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1,936</w:t>
            </w:r>
          </w:p>
        </w:tc>
        <w:tc>
          <w:tcPr>
            <w:tcW w:w="22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1,936</w:t>
            </w:r>
          </w:p>
        </w:tc>
        <w:tc>
          <w:tcPr>
            <w:tcW w:w="20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69,696</w:t>
            </w:r>
          </w:p>
        </w:tc>
        <w:tc>
          <w:tcPr>
            <w:tcW w:w="200" w:type="dxa"/>
            <w:vAlign w:val="bottom"/>
          </w:tcPr>
          <w:p>
            <w:pPr>
              <w:spacing w:after="0"/>
              <w:rPr>
                <w:sz w:val="17"/>
                <w:szCs w:val="17"/>
                <w:color w:val="auto"/>
              </w:rPr>
            </w:pPr>
          </w:p>
        </w:tc>
        <w:tc>
          <w:tcPr>
            <w:tcW w:w="12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36.00</w:t>
            </w:r>
          </w:p>
        </w:tc>
        <w:tc>
          <w:tcPr>
            <w:tcW w:w="180" w:type="dxa"/>
            <w:vAlign w:val="bottom"/>
          </w:tcPr>
          <w:p>
            <w:pPr>
              <w:spacing w:after="0"/>
              <w:rPr>
                <w:sz w:val="17"/>
                <w:szCs w:val="17"/>
                <w:color w:val="auto"/>
              </w:rPr>
            </w:pPr>
          </w:p>
        </w:tc>
        <w:tc>
          <w:tcPr>
            <w:tcW w:w="1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69,696</w:t>
            </w:r>
          </w:p>
        </w:tc>
        <w:tc>
          <w:tcPr>
            <w:tcW w:w="160" w:type="dxa"/>
            <w:vAlign w:val="bottom"/>
          </w:tcPr>
          <w:p>
            <w:pPr>
              <w:spacing w:after="0"/>
              <w:rPr>
                <w:sz w:val="17"/>
                <w:szCs w:val="17"/>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36.00</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206,803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103,904</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7,285,509</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70.12</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7,487,058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72.06</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270,593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172,796</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14,881,735</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86.12</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15,663,222</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90.65</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271,440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189,789</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12,376,003</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65.21</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13,195,994</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69.53</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59,956</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59,956</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4,414,989</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73.64</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4,937,416</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82.35</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7,752</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7,752</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551,659</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71.16</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631,775</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81.50</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267,810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148,844</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12,496,556</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83.96</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14,781,562</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99.31</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186,894</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93,447</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8,185,957</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87.60</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10,414,824</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111.45</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23,732</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13,736</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491,132</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35.76</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546,905</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39.82</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8,043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8,043</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658,143</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81.83</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801,309</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99.63</w:t>
            </w:r>
          </w:p>
        </w:tc>
      </w:tr>
      <w:tr>
        <w:trPr>
          <w:trHeight w:val="216"/>
        </w:trPr>
        <w:tc>
          <w:tcPr>
            <w:tcW w:w="166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523,818</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523,818</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34,220,770</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65.33</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44,810,503</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85.55</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09"/>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79" w:right="339" w:bottom="109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41</w:t>
      </w:r>
    </w:p>
    <w:p>
      <w:pPr>
        <w:sectPr>
          <w:pgSz w:w="11900" w:h="16838" w:orient="portrait"/>
          <w:cols w:equalWidth="0" w:num="1">
            <w:col w:w="11240"/>
          </w:cols>
          <w:pgMar w:left="320" w:top="279" w:right="339" w:bottom="1092" w:gutter="0" w:footer="0" w:header="0"/>
          <w:type w:val="continuous"/>
        </w:sectPr>
      </w:pPr>
    </w:p>
    <w:bookmarkStart w:id="49" w:name="page50"/>
    <w:bookmarkEnd w:id="49"/>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Los Angeles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696912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69125" cy="1714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25"/>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2"/>
          </w:tcPr>
          <w:p>
            <w:pPr>
              <w:spacing w:after="0"/>
              <w:rPr>
                <w:sz w:val="17"/>
                <w:szCs w:val="17"/>
                <w:color w:val="auto"/>
              </w:rPr>
            </w:pP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gridSpan w:val="2"/>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2"/>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Q1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Q2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Q3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0"/>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2026</w:t>
            </w:r>
          </w:p>
        </w:tc>
        <w:tc>
          <w:tcPr>
            <w:tcW w:w="180" w:type="dxa"/>
            <w:vAlign w:val="bottom"/>
            <w:tcBorders>
              <w:bottom w:val="single" w:sz="8" w:color="auto"/>
            </w:tcBorders>
            <w:gridSpan w:val="2"/>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69,696</w:t>
            </w:r>
          </w:p>
        </w:tc>
        <w:tc>
          <w:tcPr>
            <w:tcW w:w="1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36.00</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69,696</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36.00</w:t>
            </w:r>
          </w:p>
        </w:tc>
      </w:tr>
      <w:tr>
        <w:trPr>
          <w:trHeight w:val="214"/>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w w:val="99"/>
              </w:rPr>
              <w:t>Total 2026</w:t>
            </w:r>
          </w:p>
        </w:tc>
        <w:tc>
          <w:tcPr>
            <w:tcW w:w="18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69,696</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36.00</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69,696</w:t>
            </w:r>
          </w:p>
        </w:tc>
        <w:tc>
          <w:tcPr>
            <w:tcW w:w="20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36.00</w:t>
            </w: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77"/>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Q1 2027</w:t>
            </w:r>
          </w:p>
        </w:tc>
        <w:tc>
          <w:tcPr>
            <w:tcW w:w="1240" w:type="dxa"/>
            <w:vAlign w:val="bottom"/>
          </w:tcPr>
          <w:p>
            <w:pPr>
              <w:jc w:val="right"/>
              <w:spacing w:after="0"/>
              <w:rPr>
                <w:sz w:val="20"/>
                <w:szCs w:val="20"/>
                <w:color w:val="auto"/>
              </w:rPr>
            </w:pPr>
            <w:r>
              <w:rPr>
                <w:rFonts w:ascii="Arial" w:cs="Arial" w:eastAsia="Arial" w:hAnsi="Arial"/>
                <w:sz w:val="14"/>
                <w:szCs w:val="14"/>
                <w:color w:val="auto"/>
              </w:rPr>
              <w:t>174,115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87,058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6,936,602</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79.68</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7,136,138</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81.97</w:t>
            </w:r>
          </w:p>
        </w:tc>
      </w:tr>
      <w:tr>
        <w:trPr>
          <w:trHeight w:val="216"/>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Q2 2027</w:t>
            </w:r>
          </w:p>
        </w:tc>
        <w:tc>
          <w:tcPr>
            <w:tcW w:w="1240" w:type="dxa"/>
            <w:vAlign w:val="bottom"/>
          </w:tcPr>
          <w:p>
            <w:pPr>
              <w:jc w:val="right"/>
              <w:spacing w:after="0"/>
              <w:rPr>
                <w:sz w:val="20"/>
                <w:szCs w:val="20"/>
                <w:color w:val="auto"/>
              </w:rPr>
            </w:pPr>
            <w:r>
              <w:rPr>
                <w:rFonts w:ascii="Arial" w:cs="Arial" w:eastAsia="Arial" w:hAnsi="Arial"/>
                <w:sz w:val="14"/>
                <w:szCs w:val="14"/>
                <w:color w:val="auto"/>
              </w:rPr>
              <w:t>12,496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6,248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146,203</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23.40</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146,203</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23.40</w:t>
            </w:r>
          </w:p>
        </w:tc>
      </w:tr>
      <w:tr>
        <w:trPr>
          <w:trHeight w:val="216"/>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Q3 2027</w:t>
            </w:r>
          </w:p>
        </w:tc>
        <w:tc>
          <w:tcPr>
            <w:tcW w:w="1240" w:type="dxa"/>
            <w:vAlign w:val="bottom"/>
          </w:tcPr>
          <w:p>
            <w:pPr>
              <w:jc w:val="right"/>
              <w:spacing w:after="0"/>
              <w:rPr>
                <w:sz w:val="20"/>
                <w:szCs w:val="20"/>
                <w:color w:val="auto"/>
              </w:rPr>
            </w:pPr>
            <w:r>
              <w:rPr>
                <w:rFonts w:ascii="Arial" w:cs="Arial" w:eastAsia="Arial" w:hAnsi="Arial"/>
                <w:sz w:val="14"/>
                <w:szCs w:val="14"/>
                <w:color w:val="auto"/>
              </w:rPr>
              <w:t>1,004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67,104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66.84</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69,117</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68.84</w:t>
            </w:r>
          </w:p>
        </w:tc>
      </w:tr>
      <w:tr>
        <w:trPr>
          <w:trHeight w:val="220"/>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2027</w:t>
            </w:r>
          </w:p>
        </w:tc>
        <w:tc>
          <w:tcPr>
            <w:tcW w:w="180" w:type="dxa"/>
            <w:vAlign w:val="bottom"/>
            <w:tcBorders>
              <w:bottom w:val="single" w:sz="8" w:color="auto"/>
            </w:tcBorders>
            <w:gridSpan w:val="2"/>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1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w w:val="99"/>
              </w:rPr>
              <w:t>Total 2027</w:t>
            </w:r>
          </w:p>
        </w:tc>
        <w:tc>
          <w:tcPr>
            <w:tcW w:w="1240" w:type="dxa"/>
            <w:vAlign w:val="bottom"/>
          </w:tcPr>
          <w:p>
            <w:pPr>
              <w:jc w:val="right"/>
              <w:spacing w:after="0"/>
              <w:rPr>
                <w:sz w:val="20"/>
                <w:szCs w:val="20"/>
                <w:color w:val="auto"/>
              </w:rPr>
            </w:pPr>
            <w:r>
              <w:rPr>
                <w:rFonts w:ascii="Arial" w:cs="Arial" w:eastAsia="Arial" w:hAnsi="Arial"/>
                <w:sz w:val="14"/>
                <w:szCs w:val="14"/>
                <w:color w:val="auto"/>
              </w:rPr>
              <w:t>187,615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94,310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7,149,909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75.81</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7,351,458</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77.95</w:t>
            </w:r>
          </w:p>
        </w:tc>
      </w:tr>
      <w:tr>
        <w:trPr>
          <w:trHeight w:val="21"/>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518"/>
        </w:trPr>
        <w:tc>
          <w:tcPr>
            <w:tcW w:w="182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RETAIL</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0"/>
        </w:trPr>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25"/>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Pr>
          <w:p>
            <w:pPr>
              <w:spacing w:after="0"/>
              <w:rPr>
                <w:sz w:val="16"/>
                <w:szCs w:val="16"/>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1"/>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Q1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Q2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Q3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0"/>
        </w:trPr>
        <w:tc>
          <w:tcPr>
            <w:tcW w:w="1660" w:type="dxa"/>
            <w:vAlign w:val="bottom"/>
            <w:gridSpan w:val="4"/>
          </w:tcPr>
          <w:p>
            <w:pPr>
              <w:jc w:val="center"/>
              <w:ind w:right="180"/>
              <w:spacing w:after="0"/>
              <w:rPr>
                <w:sz w:val="20"/>
                <w:szCs w:val="20"/>
                <w:color w:val="auto"/>
              </w:rPr>
            </w:pPr>
            <w:r>
              <w:rPr>
                <w:rFonts w:ascii="Arial" w:cs="Arial" w:eastAsia="Arial" w:hAnsi="Arial"/>
                <w:sz w:val="14"/>
                <w:szCs w:val="14"/>
                <w:color w:val="auto"/>
              </w:rPr>
              <w:t>Q4 2026</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14"/>
        </w:trPr>
        <w:tc>
          <w:tcPr>
            <w:tcW w:w="1660" w:type="dxa"/>
            <w:vAlign w:val="bottom"/>
            <w:gridSpan w:val="4"/>
          </w:tcPr>
          <w:p>
            <w:pPr>
              <w:jc w:val="center"/>
              <w:ind w:right="200"/>
              <w:spacing w:after="0"/>
              <w:rPr>
                <w:sz w:val="20"/>
                <w:szCs w:val="20"/>
                <w:color w:val="auto"/>
              </w:rPr>
            </w:pPr>
            <w:r>
              <w:rPr>
                <w:rFonts w:ascii="Arial" w:cs="Arial" w:eastAsia="Arial" w:hAnsi="Arial"/>
                <w:sz w:val="14"/>
                <w:szCs w:val="14"/>
                <w:color w:val="auto"/>
                <w:w w:val="99"/>
              </w:rPr>
              <w:t>Total 2026</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1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77"/>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Q1 2027</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Q2 2027</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Q3 2027</w:t>
            </w:r>
          </w:p>
        </w:tc>
        <w:tc>
          <w:tcPr>
            <w:tcW w:w="1240" w:type="dxa"/>
            <w:vAlign w:val="bottom"/>
          </w:tcPr>
          <w:p>
            <w:pPr>
              <w:jc w:val="right"/>
              <w:spacing w:after="0"/>
              <w:rPr>
                <w:sz w:val="20"/>
                <w:szCs w:val="20"/>
                <w:color w:val="auto"/>
              </w:rPr>
            </w:pPr>
            <w:r>
              <w:rPr>
                <w:rFonts w:ascii="Arial" w:cs="Arial" w:eastAsia="Arial" w:hAnsi="Arial"/>
                <w:sz w:val="14"/>
                <w:szCs w:val="14"/>
                <w:color w:val="auto"/>
              </w:rPr>
              <w:t>19,188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9,594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135,600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14.13</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135,600</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14.13</w:t>
            </w:r>
          </w:p>
        </w:tc>
      </w:tr>
      <w:tr>
        <w:trPr>
          <w:trHeight w:val="220"/>
        </w:trPr>
        <w:tc>
          <w:tcPr>
            <w:tcW w:w="1660" w:type="dxa"/>
            <w:vAlign w:val="bottom"/>
            <w:gridSpan w:val="4"/>
          </w:tcPr>
          <w:p>
            <w:pPr>
              <w:jc w:val="center"/>
              <w:ind w:right="180"/>
              <w:spacing w:after="0"/>
              <w:rPr>
                <w:sz w:val="20"/>
                <w:szCs w:val="20"/>
                <w:color w:val="auto"/>
              </w:rPr>
            </w:pPr>
            <w:r>
              <w:rPr>
                <w:rFonts w:ascii="Arial" w:cs="Arial" w:eastAsia="Arial" w:hAnsi="Arial"/>
                <w:sz w:val="14"/>
                <w:szCs w:val="14"/>
                <w:color w:val="auto"/>
              </w:rPr>
              <w:t>Q4 2027</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14"/>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w w:val="99"/>
              </w:rPr>
              <w:t>Total 2027</w:t>
            </w:r>
          </w:p>
        </w:tc>
        <w:tc>
          <w:tcPr>
            <w:tcW w:w="1240" w:type="dxa"/>
            <w:vAlign w:val="bottom"/>
          </w:tcPr>
          <w:p>
            <w:pPr>
              <w:jc w:val="right"/>
              <w:spacing w:after="0"/>
              <w:rPr>
                <w:sz w:val="20"/>
                <w:szCs w:val="20"/>
                <w:color w:val="auto"/>
              </w:rPr>
            </w:pPr>
            <w:r>
              <w:rPr>
                <w:rFonts w:ascii="Arial" w:cs="Arial" w:eastAsia="Arial" w:hAnsi="Arial"/>
                <w:sz w:val="14"/>
                <w:szCs w:val="14"/>
                <w:color w:val="auto"/>
              </w:rPr>
              <w:t>19,188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9,594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135,600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14.13</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135,600</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14.13</w:t>
            </w:r>
          </w:p>
        </w:tc>
      </w:tr>
      <w:tr>
        <w:trPr>
          <w:trHeight w:val="20"/>
        </w:trPr>
        <w:tc>
          <w:tcPr>
            <w:tcW w:w="1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518"/>
        </w:trPr>
        <w:tc>
          <w:tcPr>
            <w:tcW w:w="182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0"/>
        </w:trPr>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25"/>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2"/>
          </w:tcPr>
          <w:p>
            <w:pPr>
              <w:spacing w:after="0"/>
              <w:rPr>
                <w:sz w:val="17"/>
                <w:szCs w:val="17"/>
                <w:color w:val="auto"/>
              </w:rPr>
            </w:pP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gridSpan w:val="2"/>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1"/>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Q1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Q2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Q3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0"/>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2026</w:t>
            </w:r>
          </w:p>
        </w:tc>
        <w:tc>
          <w:tcPr>
            <w:tcW w:w="180" w:type="dxa"/>
            <w:vAlign w:val="bottom"/>
            <w:tcBorders>
              <w:bottom w:val="single" w:sz="8" w:color="auto"/>
            </w:tcBorders>
            <w:gridSpan w:val="2"/>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69,696</w:t>
            </w:r>
          </w:p>
        </w:tc>
        <w:tc>
          <w:tcPr>
            <w:tcW w:w="1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36.00</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69,696</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36.00</w:t>
            </w:r>
          </w:p>
        </w:tc>
      </w:tr>
      <w:tr>
        <w:trPr>
          <w:trHeight w:val="214"/>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w w:val="99"/>
              </w:rPr>
              <w:t>Total 2026</w:t>
            </w:r>
          </w:p>
        </w:tc>
        <w:tc>
          <w:tcPr>
            <w:tcW w:w="18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69,696</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36.00</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69,696</w:t>
            </w:r>
          </w:p>
        </w:tc>
        <w:tc>
          <w:tcPr>
            <w:tcW w:w="20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36.00</w:t>
            </w:r>
          </w:p>
        </w:tc>
      </w:tr>
      <w:tr>
        <w:trPr>
          <w:trHeight w:val="20"/>
        </w:trPr>
        <w:tc>
          <w:tcPr>
            <w:tcW w:w="1640" w:type="dxa"/>
            <w:vAlign w:val="bottom"/>
            <w:gridSpan w:val="3"/>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77"/>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Q1 2027</w:t>
            </w:r>
          </w:p>
        </w:tc>
        <w:tc>
          <w:tcPr>
            <w:tcW w:w="1240" w:type="dxa"/>
            <w:vAlign w:val="bottom"/>
          </w:tcPr>
          <w:p>
            <w:pPr>
              <w:jc w:val="right"/>
              <w:spacing w:after="0"/>
              <w:rPr>
                <w:sz w:val="20"/>
                <w:szCs w:val="20"/>
                <w:color w:val="auto"/>
              </w:rPr>
            </w:pPr>
            <w:r>
              <w:rPr>
                <w:rFonts w:ascii="Arial" w:cs="Arial" w:eastAsia="Arial" w:hAnsi="Arial"/>
                <w:sz w:val="14"/>
                <w:szCs w:val="14"/>
                <w:color w:val="auto"/>
              </w:rPr>
              <w:t>174,115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87,058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6,936,602</w:t>
            </w: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79.68</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7,136,138</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81.97</w:t>
            </w:r>
          </w:p>
        </w:tc>
      </w:tr>
      <w:tr>
        <w:trPr>
          <w:trHeight w:val="216"/>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Q2 2027</w:t>
            </w:r>
          </w:p>
        </w:tc>
        <w:tc>
          <w:tcPr>
            <w:tcW w:w="1240" w:type="dxa"/>
            <w:vAlign w:val="bottom"/>
          </w:tcPr>
          <w:p>
            <w:pPr>
              <w:jc w:val="right"/>
              <w:spacing w:after="0"/>
              <w:rPr>
                <w:sz w:val="20"/>
                <w:szCs w:val="20"/>
                <w:color w:val="auto"/>
              </w:rPr>
            </w:pPr>
            <w:r>
              <w:rPr>
                <w:rFonts w:ascii="Arial" w:cs="Arial" w:eastAsia="Arial" w:hAnsi="Arial"/>
                <w:sz w:val="14"/>
                <w:szCs w:val="14"/>
                <w:color w:val="auto"/>
              </w:rPr>
              <w:t>12,496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6,248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146,203</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23.40</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146,203</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23.40</w:t>
            </w:r>
          </w:p>
        </w:tc>
      </w:tr>
      <w:tr>
        <w:trPr>
          <w:trHeight w:val="216"/>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Q3 2027</w:t>
            </w:r>
          </w:p>
        </w:tc>
        <w:tc>
          <w:tcPr>
            <w:tcW w:w="1240" w:type="dxa"/>
            <w:vAlign w:val="bottom"/>
          </w:tcPr>
          <w:p>
            <w:pPr>
              <w:jc w:val="right"/>
              <w:spacing w:after="0"/>
              <w:rPr>
                <w:sz w:val="20"/>
                <w:szCs w:val="20"/>
                <w:color w:val="auto"/>
              </w:rPr>
            </w:pPr>
            <w:r>
              <w:rPr>
                <w:rFonts w:ascii="Arial" w:cs="Arial" w:eastAsia="Arial" w:hAnsi="Arial"/>
                <w:sz w:val="14"/>
                <w:szCs w:val="14"/>
                <w:color w:val="auto"/>
              </w:rPr>
              <w:t>20,192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10,598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202,704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19.13</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204,717</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19.32</w:t>
            </w:r>
          </w:p>
        </w:tc>
      </w:tr>
      <w:tr>
        <w:trPr>
          <w:trHeight w:val="220"/>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2027</w:t>
            </w:r>
          </w:p>
        </w:tc>
        <w:tc>
          <w:tcPr>
            <w:tcW w:w="180" w:type="dxa"/>
            <w:vAlign w:val="bottom"/>
            <w:tcBorders>
              <w:bottom w:val="single" w:sz="8" w:color="auto"/>
            </w:tcBorders>
            <w:gridSpan w:val="2"/>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gridSpan w:val="2"/>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14"/>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w w:val="99"/>
              </w:rPr>
              <w:t>Total 2027</w:t>
            </w:r>
          </w:p>
        </w:tc>
        <w:tc>
          <w:tcPr>
            <w:tcW w:w="1240" w:type="dxa"/>
            <w:vAlign w:val="bottom"/>
          </w:tcPr>
          <w:p>
            <w:pPr>
              <w:jc w:val="right"/>
              <w:spacing w:after="0"/>
              <w:rPr>
                <w:sz w:val="20"/>
                <w:szCs w:val="20"/>
                <w:color w:val="auto"/>
              </w:rPr>
            </w:pPr>
            <w:r>
              <w:rPr>
                <w:rFonts w:ascii="Arial" w:cs="Arial" w:eastAsia="Arial" w:hAnsi="Arial"/>
                <w:sz w:val="14"/>
                <w:szCs w:val="14"/>
                <w:color w:val="auto"/>
              </w:rPr>
              <w:t>206,803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103,904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7,285,509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70.12</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7,487,058</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72.06</w:t>
            </w: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0"/>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79" w:right="339" w:bottom="8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42</w:t>
      </w:r>
    </w:p>
    <w:p>
      <w:pPr>
        <w:sectPr>
          <w:pgSz w:w="11900" w:h="16838" w:orient="portrait"/>
          <w:cols w:equalWidth="0" w:num="1">
            <w:col w:w="11240"/>
          </w:cols>
          <w:pgMar w:left="320" w:top="279" w:right="339" w:bottom="835" w:gutter="0" w:footer="0" w:header="0"/>
          <w:type w:val="continuous"/>
        </w:sectPr>
      </w:pPr>
    </w:p>
    <w:bookmarkStart w:id="50" w:name="page51"/>
    <w:bookmarkEnd w:id="50"/>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New York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691769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17690" cy="1714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4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5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0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6"/>
                <w:szCs w:val="16"/>
                <w:color w:val="auto"/>
              </w:rPr>
            </w:pPr>
          </w:p>
        </w:tc>
        <w:tc>
          <w:tcPr>
            <w:tcW w:w="30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9"/>
        </w:trPr>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5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58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2"/>
          </w:tcPr>
          <w:p>
            <w:pPr>
              <w:ind w:left="42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260" w:type="dxa"/>
            <w:vAlign w:val="bottom"/>
            <w:tcBorders>
              <w:right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202"/>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2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10,943</w:t>
            </w:r>
          </w:p>
        </w:tc>
        <w:tc>
          <w:tcPr>
            <w:tcW w:w="22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10,943</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373,944</w:t>
            </w: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34.17</w:t>
            </w:r>
          </w:p>
        </w:tc>
        <w:tc>
          <w:tcPr>
            <w:tcW w:w="200" w:type="dxa"/>
            <w:vAlign w:val="bottom"/>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331,059</w:t>
            </w:r>
          </w:p>
        </w:tc>
        <w:tc>
          <w:tcPr>
            <w:tcW w:w="160" w:type="dxa"/>
            <w:vAlign w:val="bottom"/>
          </w:tcPr>
          <w:p>
            <w:pPr>
              <w:spacing w:after="0"/>
              <w:rPr>
                <w:sz w:val="17"/>
                <w:szCs w:val="17"/>
                <w:color w:val="auto"/>
              </w:rPr>
            </w:pP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30.25</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347,638</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315,149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16,570,106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52.58</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16,574,794</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52.59</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233,127</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212,483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17,590,494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82.79</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17,800,742</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83.78</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1,012,396</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793,504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64,570,687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81.37</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68,689,982</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86.57</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580,429</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515,919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49,210,451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95.38</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49,593,966</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96.13</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592,703</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523,916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47,531,646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90.72</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48,394,180</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92.37</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409,283</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293,446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22,156,522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75.50</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23,561,898</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80.29</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561,986</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477,367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51,099,533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107.04</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56,310,810</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117.96</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1,133,412</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846,904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91,374,781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107.89</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98,218,857</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115.97</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2035</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1,071,989</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703,421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69,989,985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99.50</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76,322,933</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108.50</w:t>
            </w:r>
          </w:p>
        </w:tc>
        <w:tc>
          <w:tcPr>
            <w:tcW w:w="0" w:type="dxa"/>
            <w:vAlign w:val="bottom"/>
          </w:tcPr>
          <w:p>
            <w:pPr>
              <w:spacing w:after="0"/>
              <w:rPr>
                <w:sz w:val="1"/>
                <w:szCs w:val="1"/>
                <w:color w:val="auto"/>
              </w:rPr>
            </w:pPr>
          </w:p>
        </w:tc>
      </w:tr>
      <w:tr>
        <w:trPr>
          <w:trHeight w:val="216"/>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4,876,950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3,566,916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343,842,444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96.40</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395,011,168</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110.74</w:t>
            </w:r>
          </w:p>
        </w:tc>
        <w:tc>
          <w:tcPr>
            <w:tcW w:w="0" w:type="dxa"/>
            <w:vAlign w:val="bottom"/>
          </w:tcPr>
          <w:p>
            <w:pPr>
              <w:spacing w:after="0"/>
              <w:rPr>
                <w:sz w:val="1"/>
                <w:szCs w:val="1"/>
                <w:color w:val="auto"/>
              </w:rPr>
            </w:pPr>
          </w:p>
        </w:tc>
      </w:tr>
      <w:tr>
        <w:trPr>
          <w:trHeight w:val="532"/>
        </w:trPr>
        <w:tc>
          <w:tcPr>
            <w:tcW w:w="1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RETAIL</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4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6"/>
                <w:szCs w:val="16"/>
                <w:color w:val="auto"/>
              </w:rPr>
            </w:pPr>
          </w:p>
        </w:tc>
        <w:tc>
          <w:tcPr>
            <w:tcW w:w="30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20"/>
        </w:trPr>
        <w:tc>
          <w:tcPr>
            <w:tcW w:w="1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Year</w:t>
            </w:r>
          </w:p>
        </w:tc>
        <w:tc>
          <w:tcPr>
            <w:tcW w:w="200" w:type="dxa"/>
            <w:vAlign w:val="bottom"/>
            <w:vMerge w:val="restart"/>
          </w:tcPr>
          <w:p>
            <w:pPr>
              <w:spacing w:after="0" w:line="20" w:lineRule="exact"/>
              <w:rPr>
                <w:sz w:val="1"/>
                <w:szCs w:val="1"/>
                <w:color w:val="auto"/>
              </w:rPr>
            </w:pPr>
          </w:p>
        </w:tc>
        <w:tc>
          <w:tcPr>
            <w:tcW w:w="1520" w:type="dxa"/>
            <w:vAlign w:val="bottom"/>
            <w:tcBorders>
              <w:right w:val="single" w:sz="8" w:color="auto"/>
            </w:tcBorders>
            <w:gridSpan w:val="2"/>
            <w:vMerge w:val="continue"/>
          </w:tcPr>
          <w:p>
            <w:pPr>
              <w:spacing w:after="0" w:line="20" w:lineRule="exact"/>
              <w:rPr>
                <w:sz w:val="1"/>
                <w:szCs w:val="1"/>
                <w:color w:val="auto"/>
              </w:rPr>
            </w:pPr>
          </w:p>
        </w:tc>
        <w:tc>
          <w:tcPr>
            <w:tcW w:w="148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vMerge w:val="restart"/>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vMerge w:val="restart"/>
          </w:tcPr>
          <w:p>
            <w:pPr>
              <w:ind w:left="420"/>
              <w:spacing w:after="0"/>
              <w:rPr>
                <w:sz w:val="20"/>
                <w:szCs w:val="20"/>
                <w:color w:val="auto"/>
              </w:rPr>
            </w:pPr>
            <w:r>
              <w:rPr>
                <w:rFonts w:ascii="Arial" w:cs="Arial" w:eastAsia="Arial" w:hAnsi="Arial"/>
                <w:sz w:val="13"/>
                <w:szCs w:val="13"/>
                <w:b w:val="1"/>
                <w:bCs w:val="1"/>
                <w:color w:val="auto"/>
              </w:rPr>
              <w:t>$/PSF</w:t>
            </w:r>
          </w:p>
        </w:tc>
        <w:tc>
          <w:tcPr>
            <w:tcW w:w="200" w:type="dxa"/>
            <w:vAlign w:val="bottom"/>
            <w:vMerge w:val="restart"/>
          </w:tcPr>
          <w:p>
            <w:pPr>
              <w:spacing w:after="0" w:line="20" w:lineRule="exact"/>
              <w:rPr>
                <w:sz w:val="1"/>
                <w:szCs w:val="1"/>
                <w:color w:val="auto"/>
              </w:rPr>
            </w:pPr>
          </w:p>
        </w:tc>
        <w:tc>
          <w:tcPr>
            <w:tcW w:w="1620" w:type="dxa"/>
            <w:vAlign w:val="bottom"/>
            <w:vMerge w:val="restart"/>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line="20" w:lineRule="exact"/>
              <w:rPr>
                <w:sz w:val="1"/>
                <w:szCs w:val="1"/>
                <w:color w:val="auto"/>
              </w:rPr>
            </w:pPr>
          </w:p>
        </w:tc>
        <w:tc>
          <w:tcPr>
            <w:tcW w:w="1260" w:type="dxa"/>
            <w:vAlign w:val="bottom"/>
            <w:tcBorders>
              <w:right w:val="single" w:sz="8" w:color="auto"/>
            </w:tcBorders>
            <w:vMerge w:val="restart"/>
          </w:tcPr>
          <w:p>
            <w:pPr>
              <w:jc w:val="right"/>
              <w:ind w:right="38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line="20" w:lineRule="exact"/>
              <w:rPr>
                <w:sz w:val="1"/>
                <w:szCs w:val="1"/>
                <w:color w:val="auto"/>
              </w:rPr>
            </w:pPr>
          </w:p>
        </w:tc>
      </w:tr>
      <w:tr>
        <w:trPr>
          <w:trHeight w:val="177"/>
        </w:trPr>
        <w:tc>
          <w:tcPr>
            <w:tcW w:w="146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300" w:type="dxa"/>
            <w:vAlign w:val="bottom"/>
            <w:tcBorders>
              <w:bottom w:val="single" w:sz="8" w:color="auto"/>
            </w:tcBorders>
          </w:tcPr>
          <w:p>
            <w:pPr>
              <w:jc w:val="center"/>
              <w:spacing w:after="0" w:line="177"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tcPr>
          <w:p>
            <w:pPr>
              <w:spacing w:after="0"/>
              <w:rPr>
                <w:sz w:val="15"/>
                <w:szCs w:val="15"/>
                <w:color w:val="auto"/>
              </w:rPr>
            </w:pPr>
          </w:p>
        </w:tc>
        <w:tc>
          <w:tcPr>
            <w:tcW w:w="1280" w:type="dxa"/>
            <w:vAlign w:val="bottom"/>
            <w:tcBorders>
              <w:bottom w:val="single" w:sz="8" w:color="auto"/>
            </w:tcBorders>
          </w:tcPr>
          <w:p>
            <w:pPr>
              <w:jc w:val="center"/>
              <w:spacing w:after="0" w:line="177" w:lineRule="exact"/>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200" w:type="dxa"/>
            <w:vAlign w:val="bottom"/>
            <w:vMerge w:val="continue"/>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20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500" w:type="dxa"/>
            <w:vAlign w:val="bottom"/>
            <w:gridSpan w:val="4"/>
          </w:tcPr>
          <w:p>
            <w:pPr>
              <w:jc w:val="right"/>
              <w:ind w:right="280"/>
              <w:spacing w:after="0"/>
              <w:rPr>
                <w:sz w:val="20"/>
                <w:szCs w:val="20"/>
                <w:color w:val="auto"/>
              </w:rPr>
            </w:pPr>
            <w:r>
              <w:rPr>
                <w:rFonts w:ascii="Arial" w:cs="Arial" w:eastAsia="Arial" w:hAnsi="Arial"/>
                <w:sz w:val="14"/>
                <w:szCs w:val="14"/>
                <w:color w:val="auto"/>
              </w:rPr>
              <w:t>—</w:t>
            </w:r>
          </w:p>
        </w:tc>
        <w:tc>
          <w:tcPr>
            <w:tcW w:w="178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12,121</w:t>
            </w:r>
          </w:p>
        </w:tc>
        <w:tc>
          <w:tcPr>
            <w:tcW w:w="2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8,448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2,778,747</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328.92</w:t>
            </w:r>
          </w:p>
        </w:tc>
        <w:tc>
          <w:tcPr>
            <w:tcW w:w="2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2,778,747</w:t>
            </w:r>
          </w:p>
        </w:tc>
        <w:tc>
          <w:tcPr>
            <w:tcW w:w="160" w:type="dxa"/>
            <w:vAlign w:val="bottom"/>
          </w:tcPr>
          <w:p>
            <w:pPr>
              <w:spacing w:after="0"/>
              <w:rPr>
                <w:sz w:val="24"/>
                <w:szCs w:val="24"/>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328.92</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3,538</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498,443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283.05</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426,741</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242.33</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10,883</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6,977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2,192,643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314.27</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2,172,092</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311.32</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3,439</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3,439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519,818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151.15</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620,962</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180.56</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22,897</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16,581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5,595,877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337.50</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6,042,230</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364.42</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7,599</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6,481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935,098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144.28</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1,034,681</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159.64</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20,928</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20,928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4,554,233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217.61</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5,114,292</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244.38</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139,214</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85,037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22,010,528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258.83</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25,615,841</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301.23</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2035</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104,171</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70,287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4,437,020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63.13</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5,911,608</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84.11</w:t>
            </w:r>
          </w:p>
        </w:tc>
        <w:tc>
          <w:tcPr>
            <w:tcW w:w="0" w:type="dxa"/>
            <w:vAlign w:val="bottom"/>
          </w:tcPr>
          <w:p>
            <w:pPr>
              <w:spacing w:after="0"/>
              <w:rPr>
                <w:sz w:val="1"/>
                <w:szCs w:val="1"/>
                <w:color w:val="auto"/>
              </w:rPr>
            </w:pPr>
          </w:p>
        </w:tc>
      </w:tr>
      <w:tr>
        <w:trPr>
          <w:trHeight w:val="216"/>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119,050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78,520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24,434,509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311.19</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16,553,254</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210.82</w:t>
            </w:r>
          </w:p>
        </w:tc>
        <w:tc>
          <w:tcPr>
            <w:tcW w:w="0" w:type="dxa"/>
            <w:vAlign w:val="bottom"/>
          </w:tcPr>
          <w:p>
            <w:pPr>
              <w:spacing w:after="0"/>
              <w:rPr>
                <w:sz w:val="1"/>
                <w:szCs w:val="1"/>
                <w:color w:val="auto"/>
              </w:rPr>
            </w:pPr>
          </w:p>
        </w:tc>
      </w:tr>
      <w:tr>
        <w:trPr>
          <w:trHeight w:val="776"/>
        </w:trPr>
        <w:tc>
          <w:tcPr>
            <w:tcW w:w="31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4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4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5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0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6"/>
                <w:szCs w:val="16"/>
                <w:color w:val="auto"/>
              </w:rPr>
            </w:pPr>
          </w:p>
        </w:tc>
        <w:tc>
          <w:tcPr>
            <w:tcW w:w="304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7"/>
        </w:trPr>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5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58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gridSpan w:val="2"/>
          </w:tcPr>
          <w:p>
            <w:pPr>
              <w:ind w:left="42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260" w:type="dxa"/>
            <w:vAlign w:val="bottom"/>
            <w:tcBorders>
              <w:right w:val="single" w:sz="8" w:color="auto"/>
            </w:tcBorders>
          </w:tcPr>
          <w:p>
            <w:pPr>
              <w:jc w:val="right"/>
              <w:ind w:right="38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202"/>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2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10,943</w:t>
            </w:r>
          </w:p>
        </w:tc>
        <w:tc>
          <w:tcPr>
            <w:tcW w:w="22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10,943</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373,944</w:t>
            </w: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34.17</w:t>
            </w:r>
          </w:p>
        </w:tc>
        <w:tc>
          <w:tcPr>
            <w:tcW w:w="200" w:type="dxa"/>
            <w:vAlign w:val="bottom"/>
          </w:tcPr>
          <w:p>
            <w:pPr>
              <w:spacing w:after="0"/>
              <w:rPr>
                <w:sz w:val="17"/>
                <w:szCs w:val="17"/>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331,059</w:t>
            </w:r>
          </w:p>
        </w:tc>
        <w:tc>
          <w:tcPr>
            <w:tcW w:w="160" w:type="dxa"/>
            <w:vAlign w:val="bottom"/>
          </w:tcPr>
          <w:p>
            <w:pPr>
              <w:spacing w:after="0"/>
              <w:rPr>
                <w:sz w:val="17"/>
                <w:szCs w:val="17"/>
                <w:color w:val="auto"/>
              </w:rPr>
            </w:pP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30.25</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359,759</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323,597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19,348,853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59.79</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19,353,541</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59.81</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236,665</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214,244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18,088,937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84.43</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18,227,483</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85.08</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1,023,279</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800,481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66,763,330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83.40</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70,862,074</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88.52</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583,868</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519,358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49,730,269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95.75</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50,214,928</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96.69</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615,600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540,497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53,127,523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98.29</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54,436,410</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100.72</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416,882</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299,927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23,091,620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76.99</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24,596,579</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82.01</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582,914</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498,295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55,653,766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111.69</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61,425,102</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123.27</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1,272,626</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931,941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113,385,309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121.67</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123,834,698</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132.88</w:t>
            </w:r>
          </w:p>
        </w:tc>
        <w:tc>
          <w:tcPr>
            <w:tcW w:w="0" w:type="dxa"/>
            <w:vAlign w:val="bottom"/>
          </w:tcPr>
          <w:p>
            <w:pPr>
              <w:spacing w:after="0"/>
              <w:rPr>
                <w:sz w:val="1"/>
                <w:szCs w:val="1"/>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2035</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1,176,160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773,708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74,427,005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96.20</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82,234,541</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106.29</w:t>
            </w:r>
          </w:p>
        </w:tc>
        <w:tc>
          <w:tcPr>
            <w:tcW w:w="0" w:type="dxa"/>
            <w:vAlign w:val="bottom"/>
          </w:tcPr>
          <w:p>
            <w:pPr>
              <w:spacing w:after="0"/>
              <w:rPr>
                <w:sz w:val="1"/>
                <w:szCs w:val="1"/>
                <w:color w:val="auto"/>
              </w:rPr>
            </w:pPr>
          </w:p>
        </w:tc>
      </w:tr>
      <w:tr>
        <w:trPr>
          <w:trHeight w:val="216"/>
        </w:trPr>
        <w:tc>
          <w:tcPr>
            <w:tcW w:w="1660" w:type="dxa"/>
            <w:vAlign w:val="bottom"/>
            <w:gridSpan w:val="2"/>
          </w:tcPr>
          <w:p>
            <w:pPr>
              <w:jc w:val="center"/>
              <w:ind w:right="20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4,996,000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3,645,436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368,276,953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101.02</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411,564,422</w:t>
            </w:r>
          </w:p>
        </w:tc>
        <w:tc>
          <w:tcPr>
            <w:tcW w:w="16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112.90</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1"/>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ind w:left="80" w:right="200" w:hanging="81"/>
        <w:spacing w:after="0" w:line="229" w:lineRule="auto"/>
        <w:rPr>
          <w:rFonts w:ascii="Arial" w:cs="Arial" w:eastAsia="Arial" w:hAnsi="Arial"/>
          <w:sz w:val="9"/>
          <w:szCs w:val="9"/>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Does not include data for leases expiring in a particular year when leases for the same space have already been signed with replacement clients with future commencement 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79" w:right="339" w:bottom="1440" w:gutter="0" w:footer="0" w:header="0"/>
        </w:sectPr>
      </w:pPr>
    </w:p>
    <w:p>
      <w:pPr>
        <w:spacing w:after="0" w:line="27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43</w:t>
      </w:r>
    </w:p>
    <w:p>
      <w:pPr>
        <w:sectPr>
          <w:pgSz w:w="11900" w:h="16838" w:orient="portrait"/>
          <w:cols w:equalWidth="0" w:num="1">
            <w:col w:w="11240"/>
          </w:cols>
          <w:pgMar w:left="320" w:top="279" w:right="339" w:bottom="1440" w:gutter="0" w:footer="0" w:header="0"/>
          <w:type w:val="continuous"/>
        </w:sectPr>
      </w:pPr>
    </w:p>
    <w:bookmarkStart w:id="51" w:name="page52"/>
    <w:bookmarkEnd w:id="51"/>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New York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696912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69125" cy="17145"/>
                    </a:xfrm>
                    <a:prstGeom prst="rect">
                      <a:avLst/>
                    </a:prstGeom>
                    <a:noFill/>
                  </pic:spPr>
                </pic:pic>
              </a:graphicData>
            </a:graphic>
          </wp:anchor>
        </w:drawing>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5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29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9"/>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gridSpan w:val="2"/>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202"/>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2026</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2026</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2026</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10,943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373,944</w:t>
            </w:r>
          </w:p>
        </w:tc>
        <w:tc>
          <w:tcPr>
            <w:tcW w:w="1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34.17</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331,059</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30.25</w:t>
            </w:r>
          </w:p>
        </w:tc>
        <w:tc>
          <w:tcPr>
            <w:tcW w:w="0" w:type="dxa"/>
            <w:vAlign w:val="bottom"/>
          </w:tcPr>
          <w:p>
            <w:pPr>
              <w:spacing w:after="0"/>
              <w:rPr>
                <w:sz w:val="1"/>
                <w:szCs w:val="1"/>
                <w:color w:val="auto"/>
              </w:rPr>
            </w:pPr>
          </w:p>
        </w:tc>
      </w:tr>
      <w:tr>
        <w:trPr>
          <w:trHeight w:val="213"/>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10,943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373,944</w:t>
            </w:r>
          </w:p>
        </w:tc>
        <w:tc>
          <w:tcPr>
            <w:tcW w:w="1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34.17</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331,059</w:t>
            </w:r>
          </w:p>
        </w:tc>
        <w:tc>
          <w:tcPr>
            <w:tcW w:w="20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30.25</w:t>
            </w: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4"/>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2027</w:t>
            </w:r>
          </w:p>
        </w:tc>
        <w:tc>
          <w:tcPr>
            <w:tcW w:w="1400" w:type="dxa"/>
            <w:vAlign w:val="bottom"/>
          </w:tcPr>
          <w:p>
            <w:pPr>
              <w:jc w:val="right"/>
              <w:spacing w:after="0"/>
              <w:rPr>
                <w:sz w:val="20"/>
                <w:szCs w:val="20"/>
                <w:color w:val="auto"/>
              </w:rPr>
            </w:pPr>
            <w:r>
              <w:rPr>
                <w:rFonts w:ascii="Arial" w:cs="Arial" w:eastAsia="Arial" w:hAnsi="Arial"/>
                <w:sz w:val="14"/>
                <w:szCs w:val="14"/>
                <w:color w:val="auto"/>
              </w:rPr>
              <w:t>4,762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4,762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449,810</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94.46</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449,810</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94.46</w:t>
            </w: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2027</w:t>
            </w:r>
          </w:p>
        </w:tc>
        <w:tc>
          <w:tcPr>
            <w:tcW w:w="1400" w:type="dxa"/>
            <w:vAlign w:val="bottom"/>
          </w:tcPr>
          <w:p>
            <w:pPr>
              <w:jc w:val="right"/>
              <w:spacing w:after="0"/>
              <w:rPr>
                <w:sz w:val="20"/>
                <w:szCs w:val="20"/>
                <w:color w:val="auto"/>
              </w:rPr>
            </w:pPr>
            <w:r>
              <w:rPr>
                <w:rFonts w:ascii="Arial" w:cs="Arial" w:eastAsia="Arial" w:hAnsi="Arial"/>
                <w:sz w:val="14"/>
                <w:szCs w:val="14"/>
                <w:color w:val="auto"/>
              </w:rPr>
              <w:t>200,837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197,880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7,789,159</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39.36</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7,790,494</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39.37</w:t>
            </w: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2027</w:t>
            </w:r>
          </w:p>
        </w:tc>
        <w:tc>
          <w:tcPr>
            <w:tcW w:w="1400" w:type="dxa"/>
            <w:vAlign w:val="bottom"/>
          </w:tcPr>
          <w:p>
            <w:pPr>
              <w:jc w:val="right"/>
              <w:spacing w:after="0"/>
              <w:rPr>
                <w:sz w:val="20"/>
                <w:szCs w:val="20"/>
                <w:color w:val="auto"/>
              </w:rPr>
            </w:pPr>
            <w:r>
              <w:rPr>
                <w:rFonts w:ascii="Arial" w:cs="Arial" w:eastAsia="Arial" w:hAnsi="Arial"/>
                <w:sz w:val="14"/>
                <w:szCs w:val="14"/>
                <w:color w:val="auto"/>
              </w:rPr>
              <w:t>59,347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59,347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2,515,116</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42.38</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2,517,520</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42.42</w:t>
            </w:r>
          </w:p>
        </w:tc>
        <w:tc>
          <w:tcPr>
            <w:tcW w:w="0" w:type="dxa"/>
            <w:vAlign w:val="bottom"/>
          </w:tcPr>
          <w:p>
            <w:pPr>
              <w:spacing w:after="0"/>
              <w:rPr>
                <w:sz w:val="1"/>
                <w:szCs w:val="1"/>
                <w:color w:val="auto"/>
              </w:rPr>
            </w:pPr>
          </w:p>
        </w:tc>
      </w:tr>
      <w:tr>
        <w:trPr>
          <w:trHeight w:val="220"/>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82,692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53,160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5,816,021</w:t>
            </w:r>
          </w:p>
        </w:tc>
        <w:tc>
          <w:tcPr>
            <w:tcW w:w="1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109.41</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5,816,970</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109.42</w:t>
            </w:r>
          </w:p>
        </w:tc>
        <w:tc>
          <w:tcPr>
            <w:tcW w:w="0" w:type="dxa"/>
            <w:vAlign w:val="bottom"/>
          </w:tcPr>
          <w:p>
            <w:pPr>
              <w:spacing w:after="0"/>
              <w:rPr>
                <w:sz w:val="1"/>
                <w:szCs w:val="1"/>
                <w:color w:val="auto"/>
              </w:rPr>
            </w:pPr>
          </w:p>
        </w:tc>
      </w:tr>
      <w:tr>
        <w:trPr>
          <w:trHeight w:val="214"/>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347,638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315,149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16,570,106</w:t>
            </w:r>
          </w:p>
        </w:tc>
        <w:tc>
          <w:tcPr>
            <w:tcW w:w="1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52.58</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16,574,794</w:t>
            </w:r>
          </w:p>
        </w:tc>
        <w:tc>
          <w:tcPr>
            <w:tcW w:w="20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52.59</w:t>
            </w:r>
          </w:p>
        </w:tc>
        <w:tc>
          <w:tcPr>
            <w:tcW w:w="0" w:type="dxa"/>
            <w:vAlign w:val="bottom"/>
          </w:tcPr>
          <w:p>
            <w:pPr>
              <w:spacing w:after="0"/>
              <w:rPr>
                <w:sz w:val="1"/>
                <w:szCs w:val="1"/>
                <w:color w:val="auto"/>
              </w:rPr>
            </w:pPr>
          </w:p>
        </w:tc>
      </w:tr>
      <w:tr>
        <w:trPr>
          <w:trHeight w:val="20"/>
        </w:trPr>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RETAIL</w:t>
            </w: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164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56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rPr>
              <w:t>Rentable Square</w:t>
            </w:r>
          </w:p>
        </w:tc>
        <w:tc>
          <w:tcPr>
            <w:tcW w:w="29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9"/>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Borders>
              <w:right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201"/>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2026</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2026</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2026</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2026</w:t>
            </w:r>
          </w:p>
        </w:tc>
        <w:tc>
          <w:tcPr>
            <w:tcW w:w="14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2026</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2027</w:t>
            </w:r>
          </w:p>
        </w:tc>
        <w:tc>
          <w:tcPr>
            <w:tcW w:w="1400" w:type="dxa"/>
            <w:vAlign w:val="bottom"/>
          </w:tcPr>
          <w:p>
            <w:pPr>
              <w:jc w:val="right"/>
              <w:spacing w:after="0"/>
              <w:rPr>
                <w:sz w:val="20"/>
                <w:szCs w:val="20"/>
                <w:color w:val="auto"/>
              </w:rPr>
            </w:pPr>
            <w:r>
              <w:rPr>
                <w:rFonts w:ascii="Arial" w:cs="Arial" w:eastAsia="Arial" w:hAnsi="Arial"/>
                <w:sz w:val="14"/>
                <w:szCs w:val="14"/>
                <w:color w:val="auto"/>
              </w:rPr>
              <w:t>12,121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8,448</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2,778,747</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328.92</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2,778,747</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328.92</w:t>
            </w: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2027</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2027</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2027</w:t>
            </w:r>
          </w:p>
        </w:tc>
        <w:tc>
          <w:tcPr>
            <w:tcW w:w="16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2027</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12,121</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8,448</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2,778,747</w:t>
            </w:r>
          </w:p>
        </w:tc>
        <w:tc>
          <w:tcPr>
            <w:tcW w:w="18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328.92</w:t>
            </w:r>
          </w:p>
        </w:tc>
        <w:tc>
          <w:tcPr>
            <w:tcW w:w="18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2,778,747</w:t>
            </w:r>
          </w:p>
        </w:tc>
        <w:tc>
          <w:tcPr>
            <w:tcW w:w="20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328.92</w:t>
            </w: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326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16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5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29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gridSpan w:val="2"/>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201"/>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2026</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2026</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2026</w:t>
            </w: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10,943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373,944</w:t>
            </w:r>
          </w:p>
        </w:tc>
        <w:tc>
          <w:tcPr>
            <w:tcW w:w="1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34.17</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331,059</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30.25</w:t>
            </w:r>
          </w:p>
        </w:tc>
        <w:tc>
          <w:tcPr>
            <w:tcW w:w="0" w:type="dxa"/>
            <w:vAlign w:val="bottom"/>
          </w:tcPr>
          <w:p>
            <w:pPr>
              <w:spacing w:after="0"/>
              <w:rPr>
                <w:sz w:val="1"/>
                <w:szCs w:val="1"/>
                <w:color w:val="auto"/>
              </w:rPr>
            </w:pPr>
          </w:p>
        </w:tc>
      </w:tr>
      <w:tr>
        <w:trPr>
          <w:trHeight w:val="214"/>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10,943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373,944</w:t>
            </w:r>
          </w:p>
        </w:tc>
        <w:tc>
          <w:tcPr>
            <w:tcW w:w="1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34.17</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331,059</w:t>
            </w:r>
          </w:p>
        </w:tc>
        <w:tc>
          <w:tcPr>
            <w:tcW w:w="20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30.25</w:t>
            </w:r>
          </w:p>
        </w:tc>
        <w:tc>
          <w:tcPr>
            <w:tcW w:w="0" w:type="dxa"/>
            <w:vAlign w:val="bottom"/>
          </w:tcPr>
          <w:p>
            <w:pPr>
              <w:spacing w:after="0"/>
              <w:rPr>
                <w:sz w:val="1"/>
                <w:szCs w:val="1"/>
                <w:color w:val="auto"/>
              </w:rPr>
            </w:pPr>
          </w:p>
        </w:tc>
      </w:tr>
      <w:tr>
        <w:trPr>
          <w:trHeight w:val="20"/>
        </w:trPr>
        <w:tc>
          <w:tcPr>
            <w:tcW w:w="1640" w:type="dxa"/>
            <w:vAlign w:val="bottom"/>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5"/>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Q1 2027</w:t>
            </w:r>
          </w:p>
        </w:tc>
        <w:tc>
          <w:tcPr>
            <w:tcW w:w="1400" w:type="dxa"/>
            <w:vAlign w:val="bottom"/>
          </w:tcPr>
          <w:p>
            <w:pPr>
              <w:jc w:val="right"/>
              <w:spacing w:after="0"/>
              <w:rPr>
                <w:sz w:val="20"/>
                <w:szCs w:val="20"/>
                <w:color w:val="auto"/>
              </w:rPr>
            </w:pPr>
            <w:r>
              <w:rPr>
                <w:rFonts w:ascii="Arial" w:cs="Arial" w:eastAsia="Arial" w:hAnsi="Arial"/>
                <w:sz w:val="14"/>
                <w:szCs w:val="14"/>
                <w:color w:val="auto"/>
              </w:rPr>
              <w:t>16,883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13,210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3,228,557</w:t>
            </w:r>
          </w:p>
        </w:tc>
        <w:tc>
          <w:tcPr>
            <w:tcW w:w="1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244.40</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3,228,557</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244.40</w:t>
            </w: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Q2 2027</w:t>
            </w:r>
          </w:p>
        </w:tc>
        <w:tc>
          <w:tcPr>
            <w:tcW w:w="1400" w:type="dxa"/>
            <w:vAlign w:val="bottom"/>
          </w:tcPr>
          <w:p>
            <w:pPr>
              <w:jc w:val="right"/>
              <w:spacing w:after="0"/>
              <w:rPr>
                <w:sz w:val="20"/>
                <w:szCs w:val="20"/>
                <w:color w:val="auto"/>
              </w:rPr>
            </w:pPr>
            <w:r>
              <w:rPr>
                <w:rFonts w:ascii="Arial" w:cs="Arial" w:eastAsia="Arial" w:hAnsi="Arial"/>
                <w:sz w:val="14"/>
                <w:szCs w:val="14"/>
                <w:color w:val="auto"/>
              </w:rPr>
              <w:t>200,837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197,880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7,789,159</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39.36</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7,790,494</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39.37</w:t>
            </w:r>
          </w:p>
        </w:tc>
        <w:tc>
          <w:tcPr>
            <w:tcW w:w="0" w:type="dxa"/>
            <w:vAlign w:val="bottom"/>
          </w:tcPr>
          <w:p>
            <w:pPr>
              <w:spacing w:after="0"/>
              <w:rPr>
                <w:sz w:val="1"/>
                <w:szCs w:val="1"/>
                <w:color w:val="auto"/>
              </w:rPr>
            </w:pPr>
          </w:p>
        </w:tc>
      </w:tr>
      <w:tr>
        <w:trPr>
          <w:trHeight w:val="216"/>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Q3 2027</w:t>
            </w:r>
          </w:p>
        </w:tc>
        <w:tc>
          <w:tcPr>
            <w:tcW w:w="1400" w:type="dxa"/>
            <w:vAlign w:val="bottom"/>
          </w:tcPr>
          <w:p>
            <w:pPr>
              <w:jc w:val="right"/>
              <w:spacing w:after="0"/>
              <w:rPr>
                <w:sz w:val="20"/>
                <w:szCs w:val="20"/>
                <w:color w:val="auto"/>
              </w:rPr>
            </w:pPr>
            <w:r>
              <w:rPr>
                <w:rFonts w:ascii="Arial" w:cs="Arial" w:eastAsia="Arial" w:hAnsi="Arial"/>
                <w:sz w:val="14"/>
                <w:szCs w:val="14"/>
                <w:color w:val="auto"/>
              </w:rPr>
              <w:t>59,347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9"/>
              <w:spacing w:after="0"/>
              <w:rPr>
                <w:sz w:val="20"/>
                <w:szCs w:val="20"/>
                <w:color w:val="auto"/>
              </w:rPr>
            </w:pPr>
            <w:r>
              <w:rPr>
                <w:rFonts w:ascii="Arial" w:cs="Arial" w:eastAsia="Arial" w:hAnsi="Arial"/>
                <w:sz w:val="14"/>
                <w:szCs w:val="14"/>
                <w:color w:val="auto"/>
              </w:rPr>
              <w:t>59,347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2,515,116</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42.38</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2,517,520</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42.42</w:t>
            </w:r>
          </w:p>
        </w:tc>
        <w:tc>
          <w:tcPr>
            <w:tcW w:w="0" w:type="dxa"/>
            <w:vAlign w:val="bottom"/>
          </w:tcPr>
          <w:p>
            <w:pPr>
              <w:spacing w:after="0"/>
              <w:rPr>
                <w:sz w:val="1"/>
                <w:szCs w:val="1"/>
                <w:color w:val="auto"/>
              </w:rPr>
            </w:pPr>
          </w:p>
        </w:tc>
      </w:tr>
      <w:tr>
        <w:trPr>
          <w:trHeight w:val="220"/>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rPr>
              <w:t>Q4 2027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82,692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53,160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5,816,021</w:t>
            </w:r>
          </w:p>
        </w:tc>
        <w:tc>
          <w:tcPr>
            <w:tcW w:w="18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109.41</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5,816,970</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109.42</w:t>
            </w:r>
          </w:p>
        </w:tc>
        <w:tc>
          <w:tcPr>
            <w:tcW w:w="0" w:type="dxa"/>
            <w:vAlign w:val="bottom"/>
          </w:tcPr>
          <w:p>
            <w:pPr>
              <w:spacing w:after="0"/>
              <w:rPr>
                <w:sz w:val="1"/>
                <w:szCs w:val="1"/>
                <w:color w:val="auto"/>
              </w:rPr>
            </w:pPr>
          </w:p>
        </w:tc>
      </w:tr>
      <w:tr>
        <w:trPr>
          <w:trHeight w:val="214"/>
        </w:trPr>
        <w:tc>
          <w:tcPr>
            <w:tcW w:w="164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Total 2027</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359,759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323,597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19,348,853</w:t>
            </w:r>
          </w:p>
        </w:tc>
        <w:tc>
          <w:tcPr>
            <w:tcW w:w="18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59.79</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19,353,541</w:t>
            </w:r>
          </w:p>
        </w:tc>
        <w:tc>
          <w:tcPr>
            <w:tcW w:w="20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59.81</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2"/>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79" w:right="339" w:bottom="835" w:gutter="0" w:footer="0" w:header="0"/>
        </w:sectPr>
      </w:pPr>
    </w:p>
    <w:p>
      <w:pPr>
        <w:spacing w:after="0" w:line="28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240"/>
          </w:cols>
          <w:pgMar w:left="320" w:top="279" w:right="339" w:bottom="835" w:gutter="0" w:footer="0" w:header="0"/>
          <w:type w:val="continuous"/>
        </w:sectPr>
      </w:pPr>
    </w:p>
    <w:bookmarkStart w:id="52" w:name="page53"/>
    <w:bookmarkEnd w:id="52"/>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San Francisco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692658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25"/>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gridSpan w:val="8"/>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00" w:type="dxa"/>
            <w:vAlign w:val="bottom"/>
            <w:tcBorders>
              <w:right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Annualized Rental Obligations Under</w:t>
            </w: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6"/>
                <w:szCs w:val="16"/>
                <w:color w:val="auto"/>
              </w:rPr>
            </w:pPr>
          </w:p>
        </w:tc>
        <w:tc>
          <w:tcPr>
            <w:tcW w:w="300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Expiring Leases with future step-ups</w:t>
            </w:r>
          </w:p>
        </w:tc>
      </w:tr>
      <w:tr>
        <w:trPr>
          <w:trHeight w:val="199"/>
        </w:trPr>
        <w:tc>
          <w:tcPr>
            <w:tcW w:w="1660" w:type="dxa"/>
            <w:vAlign w:val="bottom"/>
            <w:gridSpan w:val="3"/>
          </w:tcPr>
          <w:p>
            <w:pPr>
              <w:ind w:left="600"/>
              <w:spacing w:after="0"/>
              <w:rPr>
                <w:sz w:val="20"/>
                <w:szCs w:val="20"/>
                <w:color w:val="auto"/>
              </w:rPr>
            </w:pPr>
            <w:r>
              <w:rPr>
                <w:rFonts w:ascii="Arial" w:cs="Arial" w:eastAsia="Arial" w:hAnsi="Arial"/>
                <w:sz w:val="13"/>
                <w:szCs w:val="13"/>
                <w:b w:val="1"/>
                <w:bCs w:val="1"/>
                <w:color w:val="auto"/>
              </w:rPr>
              <w:t>Year</w:t>
            </w:r>
          </w:p>
        </w:tc>
        <w:tc>
          <w:tcPr>
            <w:tcW w:w="152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ind w:left="30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220" w:type="dxa"/>
            <w:vAlign w:val="bottom"/>
            <w:tcBorders>
              <w:right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$/PSF</w:t>
            </w:r>
          </w:p>
        </w:tc>
      </w:tr>
      <w:tr>
        <w:trPr>
          <w:trHeight w:val="202"/>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7,925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7,925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511,990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64.60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511,990</w:t>
            </w:r>
          </w:p>
        </w:tc>
        <w:tc>
          <w:tcPr>
            <w:tcW w:w="160" w:type="dxa"/>
            <w:vAlign w:val="bottom"/>
          </w:tcPr>
          <w:p>
            <w:pPr>
              <w:spacing w:after="0"/>
              <w:rPr>
                <w:sz w:val="17"/>
                <w:szCs w:val="17"/>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64.60</w:t>
            </w:r>
          </w:p>
        </w:tc>
      </w:tr>
      <w:tr>
        <w:trPr>
          <w:trHeight w:val="28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310,542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310,542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31,598,525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101.75</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32,038,509</w:t>
            </w:r>
          </w:p>
        </w:tc>
        <w:tc>
          <w:tcPr>
            <w:tcW w:w="16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103.17</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378,365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378,365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42,288,972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111.77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43,600,232</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115.23</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671,435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671,435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61,532,694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63,990,131</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95.30</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414,707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414,707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36,371,024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39,671,144</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95.66</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993,604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993,604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107,602,521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115,743,451</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116.49</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518,951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518,951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43,011,444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82.88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49,081,597</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94.58</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689,297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689,297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74,957,225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82,955,622</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120.35</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161,732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161,732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14,939,700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92.37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17,770,531</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109.88</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21,961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21,961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2,539,576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115.64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3,400,064</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154.82</w:t>
            </w:r>
          </w:p>
        </w:tc>
      </w:tr>
      <w:tr>
        <w:trPr>
          <w:trHeight w:val="216"/>
        </w:trPr>
        <w:tc>
          <w:tcPr>
            <w:tcW w:w="1660" w:type="dxa"/>
            <w:vAlign w:val="bottom"/>
            <w:gridSpan w:val="3"/>
          </w:tcPr>
          <w:p>
            <w:pPr>
              <w:jc w:val="center"/>
              <w:ind w:right="20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714,986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714,986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72,358,351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101.20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96,127,917</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134.45</w:t>
            </w:r>
          </w:p>
        </w:tc>
      </w:tr>
      <w:tr>
        <w:trPr>
          <w:trHeight w:val="654"/>
        </w:trPr>
        <w:tc>
          <w:tcPr>
            <w:tcW w:w="1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RETAIL</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3"/>
        </w:trPr>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gridSpan w:val="3"/>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00"/>
        </w:trPr>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25"/>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gridSpan w:val="8"/>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00" w:type="dxa"/>
            <w:vAlign w:val="bottom"/>
            <w:tcBorders>
              <w:right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Annualized Rental Obligations Under</w:t>
            </w: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0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Expiring Leases with future step-ups</w:t>
            </w:r>
          </w:p>
        </w:tc>
      </w:tr>
      <w:tr>
        <w:trPr>
          <w:trHeight w:val="199"/>
        </w:trPr>
        <w:tc>
          <w:tcPr>
            <w:tcW w:w="16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3"/>
          </w:tcPr>
          <w:p>
            <w:pPr>
              <w:ind w:left="32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220" w:type="dxa"/>
            <w:vAlign w:val="bottom"/>
            <w:tcBorders>
              <w:right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$/PSF</w:t>
            </w:r>
          </w:p>
        </w:tc>
      </w:tr>
      <w:tr>
        <w:trPr>
          <w:trHeight w:val="202"/>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9,382</w:t>
            </w:r>
          </w:p>
        </w:tc>
        <w:tc>
          <w:tcPr>
            <w:tcW w:w="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9,382</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446,254</w:t>
            </w: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47.56</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446,254</w:t>
            </w:r>
          </w:p>
        </w:tc>
        <w:tc>
          <w:tcPr>
            <w:tcW w:w="160" w:type="dxa"/>
            <w:vAlign w:val="bottom"/>
          </w:tcPr>
          <w:p>
            <w:pPr>
              <w:spacing w:after="0"/>
              <w:rPr>
                <w:sz w:val="17"/>
                <w:szCs w:val="17"/>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47.56</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16,140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16,140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828,710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860,658</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53.32</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22,240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22,240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1,543,681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69.41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1,564,066</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70.33</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4,967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4,967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337,971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423,127</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85.19</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19,864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19,864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1,563,763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78.72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1,853,174</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93.29</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21,244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21,244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1,644,440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77.41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1,777,920</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83.69</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6,357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6,357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453,813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71.39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492,688</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77.50</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21,063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21,063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2,115,389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100.43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2,277,507</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108.13</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1660" w:type="dxa"/>
            <w:vAlign w:val="bottom"/>
            <w:gridSpan w:val="3"/>
          </w:tcPr>
          <w:p>
            <w:pPr>
              <w:jc w:val="center"/>
              <w:ind w:right="16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7,996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7,996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486,672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60.86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552,671</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69.12</w:t>
            </w:r>
          </w:p>
        </w:tc>
      </w:tr>
      <w:tr>
        <w:trPr>
          <w:trHeight w:val="627"/>
        </w:trPr>
        <w:tc>
          <w:tcPr>
            <w:tcW w:w="3180" w:type="dxa"/>
            <w:vAlign w:val="bottom"/>
            <w:gridSpan w:val="6"/>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63"/>
        </w:trPr>
        <w:tc>
          <w:tcPr>
            <w:tcW w:w="14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gridSpan w:val="3"/>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00"/>
        </w:trPr>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225"/>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80" w:type="dxa"/>
            <w:vAlign w:val="bottom"/>
            <w:gridSpan w:val="8"/>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00" w:type="dxa"/>
            <w:vAlign w:val="bottom"/>
            <w:tcBorders>
              <w:right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Annualized Rental Obligations Under</w:t>
            </w: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00" w:type="dxa"/>
            <w:vAlign w:val="bottom"/>
            <w:tcBorders>
              <w:bottom w:val="single" w:sz="8" w:color="auto"/>
              <w:right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Expiring Leases with future step-ups</w:t>
            </w: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Year</w:t>
            </w:r>
          </w:p>
        </w:tc>
        <w:tc>
          <w:tcPr>
            <w:tcW w:w="200" w:type="dxa"/>
            <w:vAlign w:val="bottom"/>
            <w:gridSpan w:val="2"/>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gridSpan w:val="2"/>
          </w:tcPr>
          <w:p>
            <w:pPr>
              <w:spacing w:after="0"/>
              <w:rPr>
                <w:sz w:val="17"/>
                <w:szCs w:val="17"/>
                <w:color w:val="auto"/>
              </w:rPr>
            </w:pPr>
          </w:p>
        </w:tc>
        <w:tc>
          <w:tcPr>
            <w:tcW w:w="13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80" w:type="dxa"/>
            <w:vAlign w:val="bottom"/>
          </w:tcPr>
          <w:p>
            <w:pPr>
              <w:spacing w:after="0"/>
              <w:rPr>
                <w:sz w:val="17"/>
                <w:szCs w:val="17"/>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ind w:left="320"/>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22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$/PSF</w:t>
            </w:r>
          </w:p>
        </w:tc>
      </w:tr>
      <w:tr>
        <w:trPr>
          <w:trHeight w:val="201"/>
        </w:trPr>
        <w:tc>
          <w:tcPr>
            <w:tcW w:w="1460" w:type="dxa"/>
            <w:vAlign w:val="bottom"/>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17,307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17,307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958,244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55.37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958,244</w:t>
            </w:r>
          </w:p>
        </w:tc>
        <w:tc>
          <w:tcPr>
            <w:tcW w:w="160" w:type="dxa"/>
            <w:vAlign w:val="bottom"/>
          </w:tcPr>
          <w:p>
            <w:pPr>
              <w:spacing w:after="0"/>
              <w:rPr>
                <w:sz w:val="17"/>
                <w:szCs w:val="17"/>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55.37</w:t>
            </w:r>
          </w:p>
        </w:tc>
      </w:tr>
      <w:tr>
        <w:trPr>
          <w:trHeight w:val="283"/>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326,682</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326,682</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32,427,235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99.26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32,899,167</w:t>
            </w:r>
          </w:p>
        </w:tc>
        <w:tc>
          <w:tcPr>
            <w:tcW w:w="16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100.71</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400,605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400,605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43,832,653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109.42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45,164,298</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112.74</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676,402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676,402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61,870,665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91.47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64,413,258</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95.23</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434,571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434,571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37,934,787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87.29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41,524,318</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95.55</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1,014,848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1,014,848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109,246,961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107.65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117,521,371</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115.80</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525,308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525,308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43,465,257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82.74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49,574,285</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94.37</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710,360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710,360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77,072,614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108.50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85,233,129</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119.99</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161,732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161,732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14,939,700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92.37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17,770,531</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109.88</w:t>
            </w: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21,961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21,961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2,539,576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115.64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3,400,064</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154.82</w:t>
            </w:r>
          </w:p>
        </w:tc>
      </w:tr>
      <w:tr>
        <w:trPr>
          <w:trHeight w:val="216"/>
        </w:trPr>
        <w:tc>
          <w:tcPr>
            <w:tcW w:w="1660" w:type="dxa"/>
            <w:vAlign w:val="bottom"/>
            <w:gridSpan w:val="3"/>
          </w:tcPr>
          <w:p>
            <w:pPr>
              <w:jc w:val="center"/>
              <w:ind w:right="20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722,982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722,982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72,845,023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96,680,588</w:t>
            </w:r>
          </w:p>
        </w:tc>
        <w:tc>
          <w:tcPr>
            <w:tcW w:w="16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133.72</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113"/>
        </w:numPr>
        <w:rPr>
          <w:rFonts w:ascii="Arial" w:cs="Arial" w:eastAsia="Arial" w:hAnsi="Arial"/>
          <w:sz w:val="19"/>
          <w:szCs w:val="19"/>
          <w:color w:val="auto"/>
          <w:vertAlign w:val="superscript"/>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12" w:lineRule="exact"/>
        <w:rPr>
          <w:rFonts w:ascii="Arial" w:cs="Arial" w:eastAsia="Arial" w:hAnsi="Arial"/>
          <w:sz w:val="19"/>
          <w:szCs w:val="19"/>
          <w:color w:val="auto"/>
          <w:vertAlign w:val="superscript"/>
        </w:rPr>
      </w:pP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ind w:left="80" w:right="200" w:hanging="81"/>
        <w:spacing w:after="0" w:line="279" w:lineRule="auto"/>
        <w:rPr>
          <w:rFonts w:ascii="Arial" w:cs="Arial" w:eastAsia="Arial" w:hAnsi="Arial"/>
          <w:sz w:val="19"/>
          <w:szCs w:val="19"/>
          <w:color w:val="auto"/>
          <w:vertAlign w:val="superscript"/>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79" w:right="339" w:bottom="1440" w:gutter="0" w:footer="0" w:header="0"/>
        </w:sectPr>
      </w:pPr>
    </w:p>
    <w:p>
      <w:pPr>
        <w:spacing w:after="0" w:line="28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45</w:t>
      </w:r>
    </w:p>
    <w:p>
      <w:pPr>
        <w:sectPr>
          <w:pgSz w:w="11900" w:h="16838" w:orient="portrait"/>
          <w:cols w:equalWidth="0" w:num="1">
            <w:col w:w="11240"/>
          </w:cols>
          <w:pgMar w:left="320" w:top="279" w:right="339" w:bottom="1440" w:gutter="0" w:footer="0" w:header="0"/>
          <w:type w:val="continuous"/>
        </w:sectPr>
      </w:pPr>
    </w:p>
    <w:bookmarkStart w:id="53" w:name="page54"/>
    <w:bookmarkEnd w:id="53"/>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San Francisco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696912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969125" cy="1714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9"/>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40" w:type="dxa"/>
            <w:vAlign w:val="bottom"/>
            <w:tcBorders>
              <w:right w:val="single" w:sz="8" w:color="auto"/>
            </w:tcBorders>
            <w:gridSpan w:val="2"/>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48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202"/>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Q1 2026</w:t>
            </w:r>
          </w:p>
        </w:tc>
        <w:tc>
          <w:tcPr>
            <w:tcW w:w="20" w:type="dxa"/>
            <w:vAlign w:val="bottom"/>
          </w:tcPr>
          <w:p>
            <w:pPr>
              <w:spacing w:after="0"/>
              <w:rPr>
                <w:sz w:val="17"/>
                <w:szCs w:val="17"/>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Q2 2026</w:t>
            </w:r>
          </w:p>
        </w:tc>
        <w:tc>
          <w:tcPr>
            <w:tcW w:w="20" w:type="dxa"/>
            <w:vAlign w:val="bottom"/>
          </w:tcPr>
          <w:p>
            <w:pPr>
              <w:spacing w:after="0"/>
              <w:rPr>
                <w:sz w:val="18"/>
                <w:szCs w:val="18"/>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Q3 2026</w:t>
            </w:r>
          </w:p>
        </w:tc>
        <w:tc>
          <w:tcPr>
            <w:tcW w:w="20" w:type="dxa"/>
            <w:vAlign w:val="bottom"/>
          </w:tcPr>
          <w:p>
            <w:pPr>
              <w:spacing w:after="0"/>
              <w:rPr>
                <w:sz w:val="18"/>
                <w:szCs w:val="18"/>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2026</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7,925</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7,925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511,990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64.60</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511,990</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64.60</w:t>
            </w:r>
          </w:p>
        </w:tc>
        <w:tc>
          <w:tcPr>
            <w:tcW w:w="0" w:type="dxa"/>
            <w:vAlign w:val="bottom"/>
          </w:tcPr>
          <w:p>
            <w:pPr>
              <w:spacing w:after="0"/>
              <w:rPr>
                <w:sz w:val="1"/>
                <w:szCs w:val="1"/>
                <w:color w:val="auto"/>
              </w:rPr>
            </w:pPr>
          </w:p>
        </w:tc>
      </w:tr>
      <w:tr>
        <w:trPr>
          <w:trHeight w:val="214"/>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w w:val="99"/>
              </w:rPr>
              <w:t>Total 2026</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7,925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7,925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511,990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64.60</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511,990</w:t>
            </w:r>
          </w:p>
        </w:tc>
        <w:tc>
          <w:tcPr>
            <w:tcW w:w="20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64.60</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Q1 2027</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65,086</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65,086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6,144,262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94.40</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6,232,913</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95.76</w:t>
            </w:r>
          </w:p>
        </w:tc>
        <w:tc>
          <w:tcPr>
            <w:tcW w:w="0" w:type="dxa"/>
            <w:vAlign w:val="bottom"/>
          </w:tcPr>
          <w:p>
            <w:pPr>
              <w:spacing w:after="0"/>
              <w:rPr>
                <w:sz w:val="1"/>
                <w:szCs w:val="1"/>
                <w:color w:val="auto"/>
              </w:rPr>
            </w:pPr>
          </w:p>
        </w:tc>
      </w:tr>
      <w:tr>
        <w:trPr>
          <w:trHeight w:val="216"/>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Q2 2027</w:t>
            </w:r>
          </w:p>
        </w:tc>
        <w:tc>
          <w:tcPr>
            <w:tcW w:w="20" w:type="dxa"/>
            <w:vAlign w:val="bottom"/>
          </w:tcPr>
          <w:p>
            <w:pPr>
              <w:spacing w:after="0"/>
              <w:rPr>
                <w:sz w:val="18"/>
                <w:szCs w:val="18"/>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Q3 2027</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73,512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73,512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6,845,935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93.13</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6,873,397</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93.50</w:t>
            </w:r>
          </w:p>
        </w:tc>
        <w:tc>
          <w:tcPr>
            <w:tcW w:w="0" w:type="dxa"/>
            <w:vAlign w:val="bottom"/>
          </w:tcPr>
          <w:p>
            <w:pPr>
              <w:spacing w:after="0"/>
              <w:rPr>
                <w:sz w:val="1"/>
                <w:szCs w:val="1"/>
                <w:color w:val="auto"/>
              </w:rPr>
            </w:pPr>
          </w:p>
        </w:tc>
      </w:tr>
      <w:tr>
        <w:trPr>
          <w:trHeight w:val="220"/>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2027</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171,944</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171,944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18,608,328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108.22</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18,932,199</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110.11</w:t>
            </w:r>
          </w:p>
        </w:tc>
        <w:tc>
          <w:tcPr>
            <w:tcW w:w="0" w:type="dxa"/>
            <w:vAlign w:val="bottom"/>
          </w:tcPr>
          <w:p>
            <w:pPr>
              <w:spacing w:after="0"/>
              <w:rPr>
                <w:sz w:val="1"/>
                <w:szCs w:val="1"/>
                <w:color w:val="auto"/>
              </w:rPr>
            </w:pPr>
          </w:p>
        </w:tc>
      </w:tr>
      <w:tr>
        <w:trPr>
          <w:trHeight w:val="241"/>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w w:val="99"/>
              </w:rPr>
              <w:t>Total 2027</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310,542</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310,542</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31,598,525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101.75</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32,038,509</w:t>
            </w:r>
          </w:p>
        </w:tc>
        <w:tc>
          <w:tcPr>
            <w:tcW w:w="200" w:type="dxa"/>
            <w:vAlign w:val="bottom"/>
          </w:tcPr>
          <w:p>
            <w:pPr>
              <w:spacing w:after="0"/>
              <w:rPr>
                <w:sz w:val="20"/>
                <w:szCs w:val="20"/>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103.17</w:t>
            </w:r>
          </w:p>
        </w:tc>
        <w:tc>
          <w:tcPr>
            <w:tcW w:w="0" w:type="dxa"/>
            <w:vAlign w:val="bottom"/>
          </w:tcPr>
          <w:p>
            <w:pPr>
              <w:spacing w:after="0"/>
              <w:rPr>
                <w:sz w:val="1"/>
                <w:szCs w:val="1"/>
                <w:color w:val="auto"/>
              </w:rPr>
            </w:pPr>
          </w:p>
        </w:tc>
      </w:tr>
      <w:tr>
        <w:trPr>
          <w:trHeight w:val="20"/>
        </w:trPr>
        <w:tc>
          <w:tcPr>
            <w:tcW w:w="16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RETAIL</w:t>
            </w: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164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6"/>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Pr>
          <w:p>
            <w:pPr>
              <w:spacing w:after="0"/>
              <w:rPr>
                <w:sz w:val="16"/>
                <w:szCs w:val="16"/>
                <w:color w:val="auto"/>
              </w:rPr>
            </w:pPr>
          </w:p>
        </w:tc>
        <w:tc>
          <w:tcPr>
            <w:tcW w:w="29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9"/>
        </w:trPr>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Quarter</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tcBorders>
              <w:bottom w:val="single" w:sz="8" w:color="auto"/>
            </w:tcBorders>
          </w:tcPr>
          <w:p>
            <w:pPr>
              <w:jc w:val="right"/>
              <w:ind w:right="610"/>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202"/>
        </w:trPr>
        <w:tc>
          <w:tcPr>
            <w:tcW w:w="1640" w:type="dxa"/>
            <w:vAlign w:val="bottom"/>
            <w:gridSpan w:val="3"/>
          </w:tcPr>
          <w:p>
            <w:pPr>
              <w:jc w:val="center"/>
              <w:ind w:right="160"/>
              <w:spacing w:after="0"/>
              <w:rPr>
                <w:sz w:val="20"/>
                <w:szCs w:val="20"/>
                <w:color w:val="auto"/>
              </w:rPr>
            </w:pPr>
            <w:r>
              <w:rPr>
                <w:rFonts w:ascii="Arial" w:cs="Arial" w:eastAsia="Arial" w:hAnsi="Arial"/>
                <w:sz w:val="14"/>
                <w:szCs w:val="14"/>
                <w:color w:val="auto"/>
              </w:rPr>
              <w:t>Q1 2026</w:t>
            </w:r>
          </w:p>
        </w:tc>
        <w:tc>
          <w:tcPr>
            <w:tcW w:w="20" w:type="dxa"/>
            <w:vAlign w:val="bottom"/>
          </w:tcPr>
          <w:p>
            <w:pPr>
              <w:spacing w:after="0"/>
              <w:rPr>
                <w:sz w:val="17"/>
                <w:szCs w:val="17"/>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gridSpan w:val="3"/>
          </w:tcPr>
          <w:p>
            <w:pPr>
              <w:jc w:val="center"/>
              <w:ind w:right="160"/>
              <w:spacing w:after="0"/>
              <w:rPr>
                <w:sz w:val="20"/>
                <w:szCs w:val="20"/>
                <w:color w:val="auto"/>
              </w:rPr>
            </w:pPr>
            <w:r>
              <w:rPr>
                <w:rFonts w:ascii="Arial" w:cs="Arial" w:eastAsia="Arial" w:hAnsi="Arial"/>
                <w:sz w:val="14"/>
                <w:szCs w:val="14"/>
                <w:color w:val="auto"/>
              </w:rPr>
              <w:t>Q2 2026</w:t>
            </w:r>
          </w:p>
        </w:tc>
        <w:tc>
          <w:tcPr>
            <w:tcW w:w="20" w:type="dxa"/>
            <w:vAlign w:val="bottom"/>
          </w:tcPr>
          <w:p>
            <w:pPr>
              <w:spacing w:after="0"/>
              <w:rPr>
                <w:sz w:val="18"/>
                <w:szCs w:val="18"/>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gridSpan w:val="3"/>
          </w:tcPr>
          <w:p>
            <w:pPr>
              <w:jc w:val="center"/>
              <w:ind w:right="160"/>
              <w:spacing w:after="0"/>
              <w:rPr>
                <w:sz w:val="20"/>
                <w:szCs w:val="20"/>
                <w:color w:val="auto"/>
              </w:rPr>
            </w:pPr>
            <w:r>
              <w:rPr>
                <w:rFonts w:ascii="Arial" w:cs="Arial" w:eastAsia="Arial" w:hAnsi="Arial"/>
                <w:sz w:val="14"/>
                <w:szCs w:val="14"/>
                <w:color w:val="auto"/>
              </w:rPr>
              <w:t>Q3 2026</w:t>
            </w:r>
          </w:p>
        </w:tc>
        <w:tc>
          <w:tcPr>
            <w:tcW w:w="20" w:type="dxa"/>
            <w:vAlign w:val="bottom"/>
          </w:tcPr>
          <w:p>
            <w:pPr>
              <w:spacing w:after="0"/>
              <w:rPr>
                <w:sz w:val="18"/>
                <w:szCs w:val="18"/>
                <w:color w:val="auto"/>
              </w:rPr>
            </w:pPr>
          </w:p>
        </w:tc>
        <w:tc>
          <w:tcPr>
            <w:tcW w:w="16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640" w:type="dxa"/>
            <w:vAlign w:val="bottom"/>
            <w:gridSpan w:val="3"/>
          </w:tcPr>
          <w:p>
            <w:pPr>
              <w:jc w:val="center"/>
              <w:ind w:right="160"/>
              <w:spacing w:after="0"/>
              <w:rPr>
                <w:sz w:val="20"/>
                <w:szCs w:val="20"/>
                <w:color w:val="auto"/>
              </w:rPr>
            </w:pPr>
            <w:r>
              <w:rPr>
                <w:rFonts w:ascii="Arial" w:cs="Arial" w:eastAsia="Arial" w:hAnsi="Arial"/>
                <w:sz w:val="14"/>
                <w:szCs w:val="14"/>
                <w:color w:val="auto"/>
              </w:rPr>
              <w:t>Q4 2026</w:t>
            </w:r>
          </w:p>
        </w:tc>
        <w:tc>
          <w:tcPr>
            <w:tcW w:w="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9,382</w:t>
            </w: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446,254</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47.56</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446,254</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47.56</w:t>
            </w:r>
          </w:p>
        </w:tc>
        <w:tc>
          <w:tcPr>
            <w:tcW w:w="0" w:type="dxa"/>
            <w:vAlign w:val="bottom"/>
          </w:tcPr>
          <w:p>
            <w:pPr>
              <w:spacing w:after="0"/>
              <w:rPr>
                <w:sz w:val="1"/>
                <w:szCs w:val="1"/>
                <w:color w:val="auto"/>
              </w:rPr>
            </w:pPr>
          </w:p>
        </w:tc>
      </w:tr>
      <w:tr>
        <w:trPr>
          <w:trHeight w:val="214"/>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w w:val="99"/>
              </w:rPr>
              <w:t>Total 2026</w:t>
            </w:r>
          </w:p>
        </w:tc>
        <w:tc>
          <w:tcPr>
            <w:tcW w:w="2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9,382</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9,382</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446,254</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47.56</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446,254</w:t>
            </w:r>
          </w:p>
        </w:tc>
        <w:tc>
          <w:tcPr>
            <w:tcW w:w="20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47.56</w:t>
            </w:r>
          </w:p>
        </w:tc>
        <w:tc>
          <w:tcPr>
            <w:tcW w:w="0" w:type="dxa"/>
            <w:vAlign w:val="bottom"/>
          </w:tcPr>
          <w:p>
            <w:pPr>
              <w:spacing w:after="0"/>
              <w:rPr>
                <w:sz w:val="1"/>
                <w:szCs w:val="1"/>
                <w:color w:val="auto"/>
              </w:rPr>
            </w:pPr>
          </w:p>
        </w:tc>
      </w:tr>
      <w:tr>
        <w:trPr>
          <w:trHeight w:val="20"/>
        </w:trPr>
        <w:tc>
          <w:tcPr>
            <w:tcW w:w="14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1640" w:type="dxa"/>
            <w:vAlign w:val="bottom"/>
            <w:gridSpan w:val="3"/>
          </w:tcPr>
          <w:p>
            <w:pPr>
              <w:jc w:val="center"/>
              <w:ind w:right="160"/>
              <w:spacing w:after="0"/>
              <w:rPr>
                <w:sz w:val="20"/>
                <w:szCs w:val="20"/>
                <w:color w:val="auto"/>
              </w:rPr>
            </w:pPr>
            <w:r>
              <w:rPr>
                <w:rFonts w:ascii="Arial" w:cs="Arial" w:eastAsia="Arial" w:hAnsi="Arial"/>
                <w:sz w:val="14"/>
                <w:szCs w:val="14"/>
                <w:color w:val="auto"/>
              </w:rPr>
              <w:t>Q1 2027</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1,275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1,275</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34,908</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27.38</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34,908</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27.38</w:t>
            </w:r>
          </w:p>
        </w:tc>
        <w:tc>
          <w:tcPr>
            <w:tcW w:w="0" w:type="dxa"/>
            <w:vAlign w:val="bottom"/>
          </w:tcPr>
          <w:p>
            <w:pPr>
              <w:spacing w:after="0"/>
              <w:rPr>
                <w:sz w:val="1"/>
                <w:szCs w:val="1"/>
                <w:color w:val="auto"/>
              </w:rPr>
            </w:pPr>
          </w:p>
        </w:tc>
      </w:tr>
      <w:tr>
        <w:trPr>
          <w:trHeight w:val="216"/>
        </w:trPr>
        <w:tc>
          <w:tcPr>
            <w:tcW w:w="1640" w:type="dxa"/>
            <w:vAlign w:val="bottom"/>
            <w:gridSpan w:val="3"/>
          </w:tcPr>
          <w:p>
            <w:pPr>
              <w:jc w:val="center"/>
              <w:ind w:right="160"/>
              <w:spacing w:after="0"/>
              <w:rPr>
                <w:sz w:val="20"/>
                <w:szCs w:val="20"/>
                <w:color w:val="auto"/>
              </w:rPr>
            </w:pPr>
            <w:r>
              <w:rPr>
                <w:rFonts w:ascii="Arial" w:cs="Arial" w:eastAsia="Arial" w:hAnsi="Arial"/>
                <w:sz w:val="14"/>
                <w:szCs w:val="14"/>
                <w:color w:val="auto"/>
              </w:rPr>
              <w:t>Q2 2027</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7,246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7,246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164,254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22.67</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195,710</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27.01</w:t>
            </w:r>
          </w:p>
        </w:tc>
        <w:tc>
          <w:tcPr>
            <w:tcW w:w="0" w:type="dxa"/>
            <w:vAlign w:val="bottom"/>
          </w:tcPr>
          <w:p>
            <w:pPr>
              <w:spacing w:after="0"/>
              <w:rPr>
                <w:sz w:val="1"/>
                <w:szCs w:val="1"/>
                <w:color w:val="auto"/>
              </w:rPr>
            </w:pPr>
          </w:p>
        </w:tc>
      </w:tr>
      <w:tr>
        <w:trPr>
          <w:trHeight w:val="216"/>
        </w:trPr>
        <w:tc>
          <w:tcPr>
            <w:tcW w:w="1640" w:type="dxa"/>
            <w:vAlign w:val="bottom"/>
            <w:gridSpan w:val="3"/>
          </w:tcPr>
          <w:p>
            <w:pPr>
              <w:jc w:val="center"/>
              <w:ind w:right="160"/>
              <w:spacing w:after="0"/>
              <w:rPr>
                <w:sz w:val="20"/>
                <w:szCs w:val="20"/>
                <w:color w:val="auto"/>
              </w:rPr>
            </w:pPr>
            <w:r>
              <w:rPr>
                <w:rFonts w:ascii="Arial" w:cs="Arial" w:eastAsia="Arial" w:hAnsi="Arial"/>
                <w:sz w:val="14"/>
                <w:szCs w:val="14"/>
                <w:color w:val="auto"/>
              </w:rPr>
              <w:t>Q3 2027</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5,793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5,793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480,482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82.94</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480,482</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82.94</w:t>
            </w:r>
          </w:p>
        </w:tc>
        <w:tc>
          <w:tcPr>
            <w:tcW w:w="0" w:type="dxa"/>
            <w:vAlign w:val="bottom"/>
          </w:tcPr>
          <w:p>
            <w:pPr>
              <w:spacing w:after="0"/>
              <w:rPr>
                <w:sz w:val="1"/>
                <w:szCs w:val="1"/>
                <w:color w:val="auto"/>
              </w:rPr>
            </w:pPr>
          </w:p>
        </w:tc>
      </w:tr>
      <w:tr>
        <w:trPr>
          <w:trHeight w:val="220"/>
        </w:trPr>
        <w:tc>
          <w:tcPr>
            <w:tcW w:w="1640" w:type="dxa"/>
            <w:vAlign w:val="bottom"/>
            <w:gridSpan w:val="3"/>
          </w:tcPr>
          <w:p>
            <w:pPr>
              <w:jc w:val="center"/>
              <w:ind w:right="160"/>
              <w:spacing w:after="0"/>
              <w:rPr>
                <w:sz w:val="20"/>
                <w:szCs w:val="20"/>
                <w:color w:val="auto"/>
              </w:rPr>
            </w:pPr>
            <w:r>
              <w:rPr>
                <w:rFonts w:ascii="Arial" w:cs="Arial" w:eastAsia="Arial" w:hAnsi="Arial"/>
                <w:sz w:val="14"/>
                <w:szCs w:val="14"/>
                <w:color w:val="auto"/>
              </w:rPr>
              <w:t>Q4 2027</w:t>
            </w:r>
          </w:p>
        </w:tc>
        <w:tc>
          <w:tcPr>
            <w:tcW w:w="2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1,826</w:t>
            </w:r>
          </w:p>
        </w:tc>
        <w:tc>
          <w:tcPr>
            <w:tcW w:w="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1,826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149,067</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81.64</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149,558</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81.90</w:t>
            </w:r>
          </w:p>
        </w:tc>
        <w:tc>
          <w:tcPr>
            <w:tcW w:w="0" w:type="dxa"/>
            <w:vAlign w:val="bottom"/>
          </w:tcPr>
          <w:p>
            <w:pPr>
              <w:spacing w:after="0"/>
              <w:rPr>
                <w:sz w:val="1"/>
                <w:szCs w:val="1"/>
                <w:color w:val="auto"/>
              </w:rPr>
            </w:pPr>
          </w:p>
        </w:tc>
      </w:tr>
      <w:tr>
        <w:trPr>
          <w:trHeight w:val="213"/>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w w:val="99"/>
              </w:rPr>
              <w:t>Total 2027</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16,140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16,140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828,710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51.35</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860,658</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53.32</w:t>
            </w:r>
          </w:p>
        </w:tc>
        <w:tc>
          <w:tcPr>
            <w:tcW w:w="0" w:type="dxa"/>
            <w:vAlign w:val="bottom"/>
          </w:tcPr>
          <w:p>
            <w:pPr>
              <w:spacing w:after="0"/>
              <w:rPr>
                <w:sz w:val="1"/>
                <w:szCs w:val="1"/>
                <w:color w:val="auto"/>
              </w:rPr>
            </w:pPr>
          </w:p>
        </w:tc>
      </w:tr>
      <w:tr>
        <w:trPr>
          <w:trHeight w:val="20"/>
        </w:trPr>
        <w:tc>
          <w:tcPr>
            <w:tcW w:w="1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6"/>
        </w:trPr>
        <w:tc>
          <w:tcPr>
            <w:tcW w:w="3280" w:type="dxa"/>
            <w:vAlign w:val="bottom"/>
            <w:gridSpan w:val="7"/>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2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c>
          <w:tcPr>
            <w:tcW w:w="0" w:type="dxa"/>
            <w:vAlign w:val="bottom"/>
          </w:tcPr>
          <w:p>
            <w:pPr>
              <w:spacing w:after="0"/>
              <w:rPr>
                <w:sz w:val="1"/>
                <w:szCs w:val="1"/>
                <w:color w:val="auto"/>
              </w:rPr>
            </w:pP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Borders>
              <w:right w:val="single" w:sz="8" w:color="auto"/>
            </w:tcBorders>
            <w:gridSpan w:val="3"/>
          </w:tcPr>
          <w:p>
            <w:pPr>
              <w:jc w:val="center"/>
              <w:ind w:right="24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02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c>
          <w:tcPr>
            <w:tcW w:w="0" w:type="dxa"/>
            <w:vAlign w:val="bottom"/>
          </w:tcPr>
          <w:p>
            <w:pPr>
              <w:spacing w:after="0"/>
              <w:rPr>
                <w:sz w:val="1"/>
                <w:szCs w:val="1"/>
                <w:color w:val="auto"/>
              </w:rPr>
            </w:pP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2"/>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40" w:type="dxa"/>
            <w:vAlign w:val="bottom"/>
            <w:tcBorders>
              <w:right w:val="single" w:sz="8" w:color="auto"/>
            </w:tcBorders>
            <w:gridSpan w:val="2"/>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48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50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0" w:type="dxa"/>
            <w:vAlign w:val="bottom"/>
          </w:tcPr>
          <w:p>
            <w:pPr>
              <w:spacing w:after="0"/>
              <w:rPr>
                <w:sz w:val="1"/>
                <w:szCs w:val="1"/>
                <w:color w:val="auto"/>
              </w:rPr>
            </w:pPr>
          </w:p>
        </w:tc>
      </w:tr>
      <w:tr>
        <w:trPr>
          <w:trHeight w:val="201"/>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Q1 2026</w:t>
            </w:r>
          </w:p>
        </w:tc>
        <w:tc>
          <w:tcPr>
            <w:tcW w:w="20" w:type="dxa"/>
            <w:vAlign w:val="bottom"/>
          </w:tcPr>
          <w:p>
            <w:pPr>
              <w:spacing w:after="0"/>
              <w:rPr>
                <w:sz w:val="17"/>
                <w:szCs w:val="17"/>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Q2 2026</w:t>
            </w:r>
          </w:p>
        </w:tc>
        <w:tc>
          <w:tcPr>
            <w:tcW w:w="20" w:type="dxa"/>
            <w:vAlign w:val="bottom"/>
          </w:tcPr>
          <w:p>
            <w:pPr>
              <w:spacing w:after="0"/>
              <w:rPr>
                <w:sz w:val="18"/>
                <w:szCs w:val="18"/>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Q3 2026</w:t>
            </w:r>
          </w:p>
        </w:tc>
        <w:tc>
          <w:tcPr>
            <w:tcW w:w="20" w:type="dxa"/>
            <w:vAlign w:val="bottom"/>
          </w:tcPr>
          <w:p>
            <w:pPr>
              <w:spacing w:after="0"/>
              <w:rPr>
                <w:sz w:val="18"/>
                <w:szCs w:val="18"/>
                <w:color w:val="auto"/>
              </w:rPr>
            </w:pPr>
          </w:p>
        </w:tc>
        <w:tc>
          <w:tcPr>
            <w:tcW w:w="16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2026</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17,307</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17,307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958,244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55.37</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958,244</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55.37</w:t>
            </w:r>
          </w:p>
        </w:tc>
        <w:tc>
          <w:tcPr>
            <w:tcW w:w="0" w:type="dxa"/>
            <w:vAlign w:val="bottom"/>
          </w:tcPr>
          <w:p>
            <w:pPr>
              <w:spacing w:after="0"/>
              <w:rPr>
                <w:sz w:val="1"/>
                <w:szCs w:val="1"/>
                <w:color w:val="auto"/>
              </w:rPr>
            </w:pPr>
          </w:p>
        </w:tc>
      </w:tr>
      <w:tr>
        <w:trPr>
          <w:trHeight w:val="214"/>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w w:val="99"/>
              </w:rPr>
              <w:t>Total 2026</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17,307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17,307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958,244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55.37</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958,244</w:t>
            </w:r>
          </w:p>
        </w:tc>
        <w:tc>
          <w:tcPr>
            <w:tcW w:w="20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55.37</w:t>
            </w:r>
          </w:p>
        </w:tc>
        <w:tc>
          <w:tcPr>
            <w:tcW w:w="0" w:type="dxa"/>
            <w:vAlign w:val="bottom"/>
          </w:tcPr>
          <w:p>
            <w:pPr>
              <w:spacing w:after="0"/>
              <w:rPr>
                <w:sz w:val="1"/>
                <w:szCs w:val="1"/>
                <w:color w:val="auto"/>
              </w:rPr>
            </w:pPr>
          </w:p>
        </w:tc>
      </w:tr>
      <w:tr>
        <w:trPr>
          <w:trHeight w:val="20"/>
        </w:trPr>
        <w:tc>
          <w:tcPr>
            <w:tcW w:w="1640" w:type="dxa"/>
            <w:vAlign w:val="bottom"/>
            <w:gridSpan w:val="3"/>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Q1 2027</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66,361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66,361</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6,179,170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93.11</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6,267,821</w:t>
            </w:r>
          </w:p>
        </w:tc>
        <w:tc>
          <w:tcPr>
            <w:tcW w:w="20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94.45</w:t>
            </w:r>
          </w:p>
        </w:tc>
        <w:tc>
          <w:tcPr>
            <w:tcW w:w="0" w:type="dxa"/>
            <w:vAlign w:val="bottom"/>
          </w:tcPr>
          <w:p>
            <w:pPr>
              <w:spacing w:after="0"/>
              <w:rPr>
                <w:sz w:val="1"/>
                <w:szCs w:val="1"/>
                <w:color w:val="auto"/>
              </w:rPr>
            </w:pPr>
          </w:p>
        </w:tc>
      </w:tr>
      <w:tr>
        <w:trPr>
          <w:trHeight w:val="216"/>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Q2 2027</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7,246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7,246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164,254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22.67</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195,710</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27.01</w:t>
            </w:r>
          </w:p>
        </w:tc>
        <w:tc>
          <w:tcPr>
            <w:tcW w:w="0" w:type="dxa"/>
            <w:vAlign w:val="bottom"/>
          </w:tcPr>
          <w:p>
            <w:pPr>
              <w:spacing w:after="0"/>
              <w:rPr>
                <w:sz w:val="1"/>
                <w:szCs w:val="1"/>
                <w:color w:val="auto"/>
              </w:rPr>
            </w:pPr>
          </w:p>
        </w:tc>
      </w:tr>
      <w:tr>
        <w:trPr>
          <w:trHeight w:val="216"/>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Q3 2027</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79,305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9"/>
              <w:spacing w:after="0"/>
              <w:rPr>
                <w:sz w:val="20"/>
                <w:szCs w:val="20"/>
                <w:color w:val="auto"/>
              </w:rPr>
            </w:pPr>
            <w:r>
              <w:rPr>
                <w:rFonts w:ascii="Arial" w:cs="Arial" w:eastAsia="Arial" w:hAnsi="Arial"/>
                <w:sz w:val="14"/>
                <w:szCs w:val="14"/>
                <w:color w:val="auto"/>
              </w:rPr>
              <w:t>79,305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7,326,417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92.38</w:t>
            </w: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7,353,879</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92.73</w:t>
            </w:r>
          </w:p>
        </w:tc>
        <w:tc>
          <w:tcPr>
            <w:tcW w:w="0" w:type="dxa"/>
            <w:vAlign w:val="bottom"/>
          </w:tcPr>
          <w:p>
            <w:pPr>
              <w:spacing w:after="0"/>
              <w:rPr>
                <w:sz w:val="1"/>
                <w:szCs w:val="1"/>
                <w:color w:val="auto"/>
              </w:rPr>
            </w:pPr>
          </w:p>
        </w:tc>
      </w:tr>
      <w:tr>
        <w:trPr>
          <w:trHeight w:val="220"/>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2027</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173,770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173,770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18,757,395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107.94</w:t>
            </w:r>
          </w:p>
        </w:tc>
        <w:tc>
          <w:tcPr>
            <w:tcW w:w="1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19,081,757</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109.81</w:t>
            </w:r>
          </w:p>
        </w:tc>
        <w:tc>
          <w:tcPr>
            <w:tcW w:w="0" w:type="dxa"/>
            <w:vAlign w:val="bottom"/>
          </w:tcPr>
          <w:p>
            <w:pPr>
              <w:spacing w:after="0"/>
              <w:rPr>
                <w:sz w:val="1"/>
                <w:szCs w:val="1"/>
                <w:color w:val="auto"/>
              </w:rPr>
            </w:pPr>
          </w:p>
        </w:tc>
      </w:tr>
      <w:tr>
        <w:trPr>
          <w:trHeight w:val="214"/>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w w:val="99"/>
              </w:rPr>
              <w:t>Total 2027</w:t>
            </w: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326,682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326,682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32,427,235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99.26</w:t>
            </w:r>
          </w:p>
        </w:tc>
        <w:tc>
          <w:tcPr>
            <w:tcW w:w="18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32,899,167</w:t>
            </w:r>
          </w:p>
        </w:tc>
        <w:tc>
          <w:tcPr>
            <w:tcW w:w="20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100.71</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4"/>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79" w:right="339" w:bottom="997" w:gutter="0" w:footer="0" w:header="0"/>
        </w:sectPr>
      </w:pPr>
    </w:p>
    <w:p>
      <w:pPr>
        <w:spacing w:after="0" w:line="28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240"/>
          </w:cols>
          <w:pgMar w:left="320" w:top="279" w:right="339" w:bottom="997" w:gutter="0" w:footer="0" w:header="0"/>
          <w:type w:val="continuous"/>
        </w:sectPr>
      </w:pPr>
    </w:p>
    <w:bookmarkStart w:id="54" w:name="page55"/>
    <w:bookmarkEnd w:id="54"/>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Seattle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696912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969125" cy="1714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25"/>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$/PSF</w:t>
            </w:r>
          </w:p>
        </w:tc>
        <w:tc>
          <w:tcPr>
            <w:tcW w:w="1620" w:type="dxa"/>
            <w:vAlign w:val="bottom"/>
            <w:gridSpan w:val="2"/>
          </w:tcPr>
          <w:p>
            <w:pPr>
              <w:jc w:val="right"/>
              <w:ind w:right="69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2"/>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20,894</w:t>
            </w:r>
          </w:p>
        </w:tc>
        <w:tc>
          <w:tcPr>
            <w:tcW w:w="22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15,051</w:t>
            </w:r>
          </w:p>
        </w:tc>
        <w:tc>
          <w:tcPr>
            <w:tcW w:w="20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670,057</w:t>
            </w:r>
          </w:p>
        </w:tc>
        <w:tc>
          <w:tcPr>
            <w:tcW w:w="200" w:type="dxa"/>
            <w:vAlign w:val="bottom"/>
          </w:tcPr>
          <w:p>
            <w:pPr>
              <w:spacing w:after="0"/>
              <w:rPr>
                <w:sz w:val="17"/>
                <w:szCs w:val="17"/>
                <w:color w:val="auto"/>
              </w:rPr>
            </w:pPr>
          </w:p>
        </w:tc>
        <w:tc>
          <w:tcPr>
            <w:tcW w:w="12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44.52</w:t>
            </w:r>
          </w:p>
        </w:tc>
        <w:tc>
          <w:tcPr>
            <w:tcW w:w="180" w:type="dxa"/>
            <w:vAlign w:val="bottom"/>
          </w:tcPr>
          <w:p>
            <w:pPr>
              <w:spacing w:after="0"/>
              <w:rPr>
                <w:sz w:val="17"/>
                <w:szCs w:val="17"/>
                <w:color w:val="auto"/>
              </w:rPr>
            </w:pPr>
          </w:p>
        </w:tc>
        <w:tc>
          <w:tcPr>
            <w:tcW w:w="1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670,470</w:t>
            </w:r>
          </w:p>
        </w:tc>
        <w:tc>
          <w:tcPr>
            <w:tcW w:w="160" w:type="dxa"/>
            <w:vAlign w:val="bottom"/>
          </w:tcPr>
          <w:p>
            <w:pPr>
              <w:spacing w:after="0"/>
              <w:rPr>
                <w:sz w:val="17"/>
                <w:szCs w:val="17"/>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44.55</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59,769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59,769</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3,572,847</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59.78</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3,636,660</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60.85</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494,343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192,324</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9,853,025</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51.23</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10,221,853</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53.15</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325,705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294,656</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16,521,325</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56.07</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17,195,111</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58.36</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34,778</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34,778</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2,031,860</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58.42</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2,194,108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63.09</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62,686</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47,705</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2,311,653</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48.46</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2,600,013</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54.50</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118,280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104,931</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7,130,402</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67.95</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7,896,861</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75.26</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60,774</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20,463</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1,505,083</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73.55</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1,809,319</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88.42</w:t>
            </w:r>
          </w:p>
        </w:tc>
      </w:tr>
      <w:tr>
        <w:trPr>
          <w:trHeight w:val="216"/>
        </w:trPr>
        <w:tc>
          <w:tcPr>
            <w:tcW w:w="166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131,625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131,625</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8,485,654</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64.47</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10,906,593</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82.86</w:t>
            </w:r>
          </w:p>
        </w:tc>
      </w:tr>
      <w:tr>
        <w:trPr>
          <w:trHeight w:val="640"/>
        </w:trPr>
        <w:tc>
          <w:tcPr>
            <w:tcW w:w="1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RETAIL</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0"/>
        </w:trPr>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25"/>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Year</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Pr>
          <w:p>
            <w:pPr>
              <w:spacing w:after="0"/>
              <w:rPr>
                <w:sz w:val="17"/>
                <w:szCs w:val="17"/>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$/PSF</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tcBorders>
              <w:bottom w:val="single" w:sz="8" w:color="auto"/>
            </w:tcBorders>
          </w:tcPr>
          <w:p>
            <w:pPr>
              <w:jc w:val="right"/>
              <w:ind w:right="69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1"/>
        </w:trPr>
        <w:tc>
          <w:tcPr>
            <w:tcW w:w="148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945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945</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56,413</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59.70</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56,413</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59.70</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1,121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377</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7,306</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19.36</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7,306</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19.36</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220</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5,302</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24.11</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5,578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25.37</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6,734</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4,289</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303,969</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70.87</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323,476</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75.42</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66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640"/>
        </w:trPr>
        <w:tc>
          <w:tcPr>
            <w:tcW w:w="31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0"/>
        </w:trPr>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25"/>
        </w:trPr>
        <w:tc>
          <w:tcPr>
            <w:tcW w:w="1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6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8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8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6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$/PSF</w:t>
            </w:r>
          </w:p>
        </w:tc>
        <w:tc>
          <w:tcPr>
            <w:tcW w:w="1620" w:type="dxa"/>
            <w:vAlign w:val="bottom"/>
            <w:gridSpan w:val="2"/>
          </w:tcPr>
          <w:p>
            <w:pPr>
              <w:jc w:val="right"/>
              <w:ind w:right="69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1"/>
        </w:trPr>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20,894</w:t>
            </w:r>
          </w:p>
        </w:tc>
        <w:tc>
          <w:tcPr>
            <w:tcW w:w="22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15,051</w:t>
            </w:r>
          </w:p>
        </w:tc>
        <w:tc>
          <w:tcPr>
            <w:tcW w:w="20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670,057</w:t>
            </w:r>
          </w:p>
        </w:tc>
        <w:tc>
          <w:tcPr>
            <w:tcW w:w="200" w:type="dxa"/>
            <w:vAlign w:val="bottom"/>
          </w:tcPr>
          <w:p>
            <w:pPr>
              <w:spacing w:after="0"/>
              <w:rPr>
                <w:sz w:val="17"/>
                <w:szCs w:val="17"/>
                <w:color w:val="auto"/>
              </w:rPr>
            </w:pPr>
          </w:p>
        </w:tc>
        <w:tc>
          <w:tcPr>
            <w:tcW w:w="128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44.52</w:t>
            </w:r>
          </w:p>
        </w:tc>
        <w:tc>
          <w:tcPr>
            <w:tcW w:w="180" w:type="dxa"/>
            <w:vAlign w:val="bottom"/>
          </w:tcPr>
          <w:p>
            <w:pPr>
              <w:spacing w:after="0"/>
              <w:rPr>
                <w:sz w:val="17"/>
                <w:szCs w:val="17"/>
                <w:color w:val="auto"/>
              </w:rPr>
            </w:pPr>
          </w:p>
        </w:tc>
        <w:tc>
          <w:tcPr>
            <w:tcW w:w="162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670,470</w:t>
            </w:r>
          </w:p>
        </w:tc>
        <w:tc>
          <w:tcPr>
            <w:tcW w:w="160" w:type="dxa"/>
            <w:vAlign w:val="bottom"/>
          </w:tcPr>
          <w:p>
            <w:pPr>
              <w:spacing w:after="0"/>
              <w:rPr>
                <w:sz w:val="17"/>
                <w:szCs w:val="17"/>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44.55</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59,769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59,769</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3,572,847</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59.78</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3,636,660</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60.85</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495,288</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193,269</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9,909,438</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51.27</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10,278,266</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53.18</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326,826</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295,033</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16,528,631</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56.02</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17,202,417</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58.31</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35,431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34,998</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2,037,162</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58.21</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2,199,686</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62.85</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69,420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51,994</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2,615,622</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50.31</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2,923,489</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56.23</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118,280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104,931</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7,130,402</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67.95</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7,896,861</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75.26</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48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60,774</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20,463</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1,505,083</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73.55</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1,809,319</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88.42</w:t>
            </w:r>
          </w:p>
        </w:tc>
      </w:tr>
      <w:tr>
        <w:trPr>
          <w:trHeight w:val="216"/>
        </w:trPr>
        <w:tc>
          <w:tcPr>
            <w:tcW w:w="166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131,625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131,625</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8,485,654</w:t>
            </w:r>
          </w:p>
        </w:tc>
        <w:tc>
          <w:tcPr>
            <w:tcW w:w="200" w:type="dxa"/>
            <w:vAlign w:val="bottom"/>
          </w:tcPr>
          <w:p>
            <w:pPr>
              <w:spacing w:after="0"/>
              <w:rPr>
                <w:sz w:val="18"/>
                <w:szCs w:val="18"/>
                <w:color w:val="auto"/>
              </w:rPr>
            </w:pPr>
          </w:p>
        </w:tc>
        <w:tc>
          <w:tcPr>
            <w:tcW w:w="1280" w:type="dxa"/>
            <w:vAlign w:val="bottom"/>
          </w:tcPr>
          <w:p>
            <w:pPr>
              <w:jc w:val="right"/>
              <w:ind w:right="9"/>
              <w:spacing w:after="0"/>
              <w:rPr>
                <w:sz w:val="20"/>
                <w:szCs w:val="20"/>
                <w:color w:val="auto"/>
              </w:rPr>
            </w:pPr>
            <w:r>
              <w:rPr>
                <w:rFonts w:ascii="Arial" w:cs="Arial" w:eastAsia="Arial" w:hAnsi="Arial"/>
                <w:sz w:val="14"/>
                <w:szCs w:val="14"/>
                <w:color w:val="auto"/>
              </w:rPr>
              <w:t>64.47</w:t>
            </w:r>
          </w:p>
        </w:tc>
        <w:tc>
          <w:tcPr>
            <w:tcW w:w="18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10,906,593</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82.86</w:t>
            </w: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5"/>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79" w:right="339" w:bottom="1038" w:gutter="0" w:footer="0" w:header="0"/>
        </w:sectPr>
      </w:pPr>
    </w:p>
    <w:p>
      <w:pPr>
        <w:spacing w:after="0" w:line="200" w:lineRule="exact"/>
        <w:rPr>
          <w:sz w:val="20"/>
          <w:szCs w:val="20"/>
          <w:color w:val="auto"/>
        </w:rPr>
      </w:pPr>
    </w:p>
    <w:p>
      <w:pPr>
        <w:spacing w:after="0" w:line="35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47</w:t>
      </w:r>
    </w:p>
    <w:p>
      <w:pPr>
        <w:sectPr>
          <w:pgSz w:w="11900" w:h="16838" w:orient="portrait"/>
          <w:cols w:equalWidth="0" w:num="1">
            <w:col w:w="11240"/>
          </w:cols>
          <w:pgMar w:left="320" w:top="279" w:right="339" w:bottom="1038" w:gutter="0" w:footer="0" w:header="0"/>
          <w:type w:val="continuous"/>
        </w:sectPr>
      </w:pPr>
    </w:p>
    <w:bookmarkStart w:id="55" w:name="page56"/>
    <w:bookmarkEnd w:id="55"/>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Seattle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696912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69125" cy="1714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25"/>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2"/>
          </w:tcPr>
          <w:p>
            <w:pPr>
              <w:spacing w:after="0"/>
              <w:rPr>
                <w:sz w:val="17"/>
                <w:szCs w:val="17"/>
                <w:color w:val="auto"/>
              </w:rPr>
            </w:pP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gridSpan w:val="2"/>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2"/>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Q1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Q2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Q3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0"/>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2026</w:t>
            </w:r>
          </w:p>
        </w:tc>
        <w:tc>
          <w:tcPr>
            <w:tcW w:w="180" w:type="dxa"/>
            <w:vAlign w:val="bottom"/>
            <w:tcBorders>
              <w:bottom w:val="single" w:sz="8" w:color="auto"/>
            </w:tcBorders>
            <w:gridSpan w:val="2"/>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20,894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670,057</w:t>
            </w:r>
          </w:p>
        </w:tc>
        <w:tc>
          <w:tcPr>
            <w:tcW w:w="1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670,470</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44.55</w:t>
            </w:r>
          </w:p>
        </w:tc>
      </w:tr>
      <w:tr>
        <w:trPr>
          <w:trHeight w:val="214"/>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w w:val="99"/>
              </w:rPr>
              <w:t>Total 2026</w:t>
            </w:r>
          </w:p>
        </w:tc>
        <w:tc>
          <w:tcPr>
            <w:tcW w:w="18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670,057</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670,470</w:t>
            </w:r>
          </w:p>
        </w:tc>
        <w:tc>
          <w:tcPr>
            <w:tcW w:w="20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44.55</w:t>
            </w:r>
          </w:p>
        </w:tc>
      </w:tr>
      <w:tr>
        <w:trPr>
          <w:trHeight w:val="20"/>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77"/>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Q1 2027</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Q2 2027</w:t>
            </w:r>
          </w:p>
        </w:tc>
        <w:tc>
          <w:tcPr>
            <w:tcW w:w="1240" w:type="dxa"/>
            <w:vAlign w:val="bottom"/>
          </w:tcPr>
          <w:p>
            <w:pPr>
              <w:jc w:val="right"/>
              <w:spacing w:after="0"/>
              <w:rPr>
                <w:sz w:val="20"/>
                <w:szCs w:val="20"/>
                <w:color w:val="auto"/>
              </w:rPr>
            </w:pPr>
            <w:r>
              <w:rPr>
                <w:rFonts w:ascii="Arial" w:cs="Arial" w:eastAsia="Arial" w:hAnsi="Arial"/>
                <w:sz w:val="14"/>
                <w:szCs w:val="14"/>
                <w:color w:val="auto"/>
              </w:rPr>
              <w:t>3,317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204,787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61.74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204,787</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61.74</w:t>
            </w:r>
          </w:p>
        </w:tc>
      </w:tr>
      <w:tr>
        <w:trPr>
          <w:trHeight w:val="216"/>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Q3 2027</w:t>
            </w:r>
          </w:p>
        </w:tc>
        <w:tc>
          <w:tcPr>
            <w:tcW w:w="1240" w:type="dxa"/>
            <w:vAlign w:val="bottom"/>
          </w:tcPr>
          <w:p>
            <w:pPr>
              <w:jc w:val="right"/>
              <w:spacing w:after="0"/>
              <w:rPr>
                <w:sz w:val="20"/>
                <w:szCs w:val="20"/>
                <w:color w:val="auto"/>
              </w:rPr>
            </w:pPr>
            <w:r>
              <w:rPr>
                <w:rFonts w:ascii="Arial" w:cs="Arial" w:eastAsia="Arial" w:hAnsi="Arial"/>
                <w:sz w:val="14"/>
                <w:szCs w:val="14"/>
                <w:color w:val="auto"/>
              </w:rPr>
              <w:t>12,172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12,172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728,635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59.86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744,093</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61.13</w:t>
            </w:r>
          </w:p>
        </w:tc>
      </w:tr>
      <w:tr>
        <w:trPr>
          <w:trHeight w:val="220"/>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2027</w:t>
            </w:r>
          </w:p>
        </w:tc>
        <w:tc>
          <w:tcPr>
            <w:tcW w:w="180" w:type="dxa"/>
            <w:vAlign w:val="bottom"/>
            <w:tcBorders>
              <w:bottom w:val="single" w:sz="8" w:color="auto"/>
            </w:tcBorders>
            <w:gridSpan w:val="2"/>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44,280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44,280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2,639,425</w:t>
            </w:r>
          </w:p>
        </w:tc>
        <w:tc>
          <w:tcPr>
            <w:tcW w:w="1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2,687,780</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60.70</w:t>
            </w:r>
          </w:p>
        </w:tc>
      </w:tr>
      <w:tr>
        <w:trPr>
          <w:trHeight w:val="21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w w:val="99"/>
              </w:rPr>
              <w:t>Total 2027</w:t>
            </w:r>
          </w:p>
        </w:tc>
        <w:tc>
          <w:tcPr>
            <w:tcW w:w="1240" w:type="dxa"/>
            <w:vAlign w:val="bottom"/>
          </w:tcPr>
          <w:p>
            <w:pPr>
              <w:jc w:val="right"/>
              <w:spacing w:after="0"/>
              <w:rPr>
                <w:sz w:val="20"/>
                <w:szCs w:val="20"/>
                <w:color w:val="auto"/>
              </w:rPr>
            </w:pPr>
            <w:r>
              <w:rPr>
                <w:rFonts w:ascii="Arial" w:cs="Arial" w:eastAsia="Arial" w:hAnsi="Arial"/>
                <w:sz w:val="14"/>
                <w:szCs w:val="14"/>
                <w:color w:val="auto"/>
              </w:rPr>
              <w:t>59,769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59,769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3,572,847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59.78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3,636,660</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60.85</w:t>
            </w:r>
          </w:p>
        </w:tc>
      </w:tr>
      <w:tr>
        <w:trPr>
          <w:trHeight w:val="21"/>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626"/>
        </w:trPr>
        <w:tc>
          <w:tcPr>
            <w:tcW w:w="182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RETAIL</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
        </w:trPr>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1"/>
        </w:trPr>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25"/>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w:t>
            </w: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right w:val="single" w:sz="8" w:color="auto"/>
            </w:tcBorders>
            <w:gridSpan w:val="3"/>
          </w:tcPr>
          <w:p>
            <w:pPr>
              <w:jc w:val="center"/>
              <w:ind w:right="36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Pr>
          <w:p>
            <w:pPr>
              <w:spacing w:after="0"/>
              <w:rPr>
                <w:sz w:val="16"/>
                <w:szCs w:val="16"/>
                <w:color w:val="auto"/>
              </w:rPr>
            </w:pPr>
          </w:p>
        </w:tc>
        <w:tc>
          <w:tcPr>
            <w:tcW w:w="29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 with future step-ups</w:t>
            </w:r>
          </w:p>
        </w:tc>
      </w:tr>
      <w:tr>
        <w:trPr>
          <w:trHeight w:val="199"/>
        </w:trPr>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Borders>
              <w:right w:val="single" w:sz="8" w:color="auto"/>
            </w:tcBorders>
          </w:tcPr>
          <w:p>
            <w:pPr>
              <w:spacing w:after="0"/>
              <w:rPr>
                <w:sz w:val="17"/>
                <w:szCs w:val="17"/>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2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3"/>
                <w:szCs w:val="13"/>
                <w:b w:val="1"/>
                <w:bCs w:val="1"/>
                <w:color w:val="auto"/>
              </w:rPr>
              <w:t>$/PSF</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1"/>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Q1 2026</w:t>
            </w:r>
          </w:p>
        </w:tc>
        <w:tc>
          <w:tcPr>
            <w:tcW w:w="146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540" w:type="dxa"/>
            <w:vAlign w:val="bottom"/>
            <w:gridSpan w:val="3"/>
          </w:tcPr>
          <w:p>
            <w:pPr>
              <w:ind w:left="1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Q2 2026</w:t>
            </w:r>
          </w:p>
        </w:tc>
        <w:tc>
          <w:tcPr>
            <w:tcW w:w="146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540" w:type="dxa"/>
            <w:vAlign w:val="bottom"/>
            <w:gridSpan w:val="3"/>
          </w:tcPr>
          <w:p>
            <w:pPr>
              <w:ind w:left="1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Q3 2026</w:t>
            </w:r>
          </w:p>
        </w:tc>
        <w:tc>
          <w:tcPr>
            <w:tcW w:w="146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540" w:type="dxa"/>
            <w:vAlign w:val="bottom"/>
            <w:gridSpan w:val="3"/>
          </w:tcPr>
          <w:p>
            <w:pPr>
              <w:ind w:left="1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0"/>
        </w:trPr>
        <w:tc>
          <w:tcPr>
            <w:tcW w:w="1660" w:type="dxa"/>
            <w:vAlign w:val="bottom"/>
            <w:gridSpan w:val="4"/>
          </w:tcPr>
          <w:p>
            <w:pPr>
              <w:jc w:val="center"/>
              <w:ind w:right="180"/>
              <w:spacing w:after="0"/>
              <w:rPr>
                <w:sz w:val="20"/>
                <w:szCs w:val="20"/>
                <w:color w:val="auto"/>
              </w:rPr>
            </w:pPr>
            <w:r>
              <w:rPr>
                <w:rFonts w:ascii="Arial" w:cs="Arial" w:eastAsia="Arial" w:hAnsi="Arial"/>
                <w:sz w:val="14"/>
                <w:szCs w:val="14"/>
                <w:color w:val="auto"/>
              </w:rPr>
              <w:t>Q4 2026</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40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32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13"/>
        </w:trPr>
        <w:tc>
          <w:tcPr>
            <w:tcW w:w="1660" w:type="dxa"/>
            <w:vAlign w:val="bottom"/>
            <w:gridSpan w:val="4"/>
          </w:tcPr>
          <w:p>
            <w:pPr>
              <w:jc w:val="center"/>
              <w:ind w:right="200"/>
              <w:spacing w:after="0"/>
              <w:rPr>
                <w:sz w:val="20"/>
                <w:szCs w:val="20"/>
                <w:color w:val="auto"/>
              </w:rPr>
            </w:pPr>
            <w:r>
              <w:rPr>
                <w:rFonts w:ascii="Arial" w:cs="Arial" w:eastAsia="Arial" w:hAnsi="Arial"/>
                <w:sz w:val="14"/>
                <w:szCs w:val="14"/>
                <w:color w:val="auto"/>
                <w:w w:val="99"/>
              </w:rPr>
              <w:t>Total 2026</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40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32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1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77"/>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Q1 2027</w:t>
            </w:r>
          </w:p>
        </w:tc>
        <w:tc>
          <w:tcPr>
            <w:tcW w:w="146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540" w:type="dxa"/>
            <w:vAlign w:val="bottom"/>
            <w:gridSpan w:val="3"/>
          </w:tcPr>
          <w:p>
            <w:pPr>
              <w:ind w:left="1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Q2 2027</w:t>
            </w:r>
          </w:p>
        </w:tc>
        <w:tc>
          <w:tcPr>
            <w:tcW w:w="146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540" w:type="dxa"/>
            <w:vAlign w:val="bottom"/>
            <w:gridSpan w:val="3"/>
          </w:tcPr>
          <w:p>
            <w:pPr>
              <w:ind w:left="1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40"/>
              <w:spacing w:after="0"/>
              <w:rPr>
                <w:sz w:val="20"/>
                <w:szCs w:val="20"/>
                <w:color w:val="auto"/>
              </w:rPr>
            </w:pPr>
            <w:r>
              <w:rPr>
                <w:rFonts w:ascii="Arial" w:cs="Arial" w:eastAsia="Arial" w:hAnsi="Arial"/>
                <w:sz w:val="14"/>
                <w:szCs w:val="14"/>
                <w:color w:val="auto"/>
              </w:rPr>
              <w:t>Q3 2027</w:t>
            </w:r>
          </w:p>
        </w:tc>
        <w:tc>
          <w:tcPr>
            <w:tcW w:w="146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540" w:type="dxa"/>
            <w:vAlign w:val="bottom"/>
            <w:gridSpan w:val="3"/>
          </w:tcPr>
          <w:p>
            <w:pPr>
              <w:ind w:left="1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0"/>
        </w:trPr>
        <w:tc>
          <w:tcPr>
            <w:tcW w:w="1660" w:type="dxa"/>
            <w:vAlign w:val="bottom"/>
            <w:gridSpan w:val="4"/>
          </w:tcPr>
          <w:p>
            <w:pPr>
              <w:jc w:val="center"/>
              <w:ind w:right="180"/>
              <w:spacing w:after="0"/>
              <w:rPr>
                <w:sz w:val="20"/>
                <w:szCs w:val="20"/>
                <w:color w:val="auto"/>
              </w:rPr>
            </w:pPr>
            <w:r>
              <w:rPr>
                <w:rFonts w:ascii="Arial" w:cs="Arial" w:eastAsia="Arial" w:hAnsi="Arial"/>
                <w:sz w:val="14"/>
                <w:szCs w:val="14"/>
                <w:color w:val="auto"/>
              </w:rPr>
              <w:t>Q4 2027</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10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40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320" w:type="dxa"/>
            <w:vAlign w:val="bottom"/>
            <w:tcBorders>
              <w:bottom w:val="single" w:sz="8" w:color="auto"/>
            </w:tcBorders>
            <w:gridSpan w:val="2"/>
          </w:tcPr>
          <w:p>
            <w:pPr>
              <w:ind w:left="1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14"/>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w w:val="99"/>
              </w:rPr>
              <w:t>Total 2027</w:t>
            </w:r>
          </w:p>
        </w:tc>
        <w:tc>
          <w:tcPr>
            <w:tcW w:w="1460" w:type="dxa"/>
            <w:vAlign w:val="bottom"/>
            <w:gridSpan w:val="3"/>
          </w:tcPr>
          <w:p>
            <w:pPr>
              <w:ind w:left="1040"/>
              <w:spacing w:after="0"/>
              <w:rPr>
                <w:sz w:val="20"/>
                <w:szCs w:val="20"/>
                <w:color w:val="auto"/>
              </w:rPr>
            </w:pPr>
            <w:r>
              <w:rPr>
                <w:rFonts w:ascii="Arial" w:cs="Arial" w:eastAsia="Arial" w:hAnsi="Arial"/>
                <w:sz w:val="14"/>
                <w:szCs w:val="14"/>
                <w:color w:val="auto"/>
              </w:rPr>
              <w:t>—</w:t>
            </w:r>
          </w:p>
        </w:tc>
        <w:tc>
          <w:tcPr>
            <w:tcW w:w="1540" w:type="dxa"/>
            <w:vAlign w:val="bottom"/>
            <w:gridSpan w:val="3"/>
          </w:tcPr>
          <w:p>
            <w:pPr>
              <w:ind w:left="1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ind w:left="110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14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626"/>
        </w:trPr>
        <w:tc>
          <w:tcPr>
            <w:tcW w:w="182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0"/>
        </w:trPr>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BXP’s Share</w:t>
            </w: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225"/>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4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rPr>
              <w:t>Current Annualized Rental Obligations Under</w:t>
            </w:r>
          </w:p>
        </w:tc>
        <w:tc>
          <w:tcPr>
            <w:tcW w:w="20" w:type="dxa"/>
            <w:vAlign w:val="bottom"/>
          </w:tcPr>
          <w:p>
            <w:pPr>
              <w:spacing w:after="0"/>
              <w:rPr>
                <w:sz w:val="19"/>
                <w:szCs w:val="19"/>
                <w:color w:val="auto"/>
              </w:rPr>
            </w:pPr>
          </w:p>
        </w:tc>
        <w:tc>
          <w:tcPr>
            <w:tcW w:w="30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3"/>
                <w:szCs w:val="13"/>
                <w:b w:val="1"/>
                <w:bCs w:val="1"/>
                <w:color w:val="auto"/>
              </w:rPr>
              <w:t>Rentable Square</w:t>
            </w:r>
          </w:p>
        </w:tc>
        <w:tc>
          <w:tcPr>
            <w:tcW w:w="15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2"/>
          </w:tcPr>
          <w:p>
            <w:pPr>
              <w:spacing w:after="0"/>
              <w:rPr>
                <w:sz w:val="17"/>
                <w:szCs w:val="17"/>
                <w:color w:val="auto"/>
              </w:rPr>
            </w:pPr>
          </w:p>
        </w:tc>
        <w:tc>
          <w:tcPr>
            <w:tcW w:w="180" w:type="dxa"/>
            <w:vAlign w:val="bottom"/>
            <w:tcBorders>
              <w:bottom w:val="single" w:sz="8" w:color="auto"/>
            </w:tcBorders>
            <w:gridSpan w:val="2"/>
          </w:tcPr>
          <w:p>
            <w:pPr>
              <w:spacing w:after="0"/>
              <w:rPr>
                <w:sz w:val="17"/>
                <w:szCs w:val="17"/>
                <w:color w:val="auto"/>
              </w:rPr>
            </w:pPr>
          </w:p>
        </w:tc>
        <w:tc>
          <w:tcPr>
            <w:tcW w:w="12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gridSpan w:val="2"/>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4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180" w:type="dxa"/>
            <w:vAlign w:val="bottom"/>
            <w:gridSpan w:val="2"/>
          </w:tcPr>
          <w:p>
            <w:pPr>
              <w:spacing w:after="0"/>
              <w:rPr>
                <w:sz w:val="17"/>
                <w:szCs w:val="17"/>
                <w:color w:val="auto"/>
              </w:rPr>
            </w:pPr>
          </w:p>
        </w:tc>
        <w:tc>
          <w:tcPr>
            <w:tcW w:w="1500" w:type="dxa"/>
            <w:vAlign w:val="bottom"/>
            <w:tcBorders>
              <w:bottom w:val="single" w:sz="8" w:color="auto"/>
            </w:tcBorders>
            <w:gridSpan w:val="2"/>
          </w:tcPr>
          <w:p>
            <w:pPr>
              <w:jc w:val="right"/>
              <w:ind w:right="629"/>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1"/>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Q1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7"/>
                <w:szCs w:val="17"/>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Q2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Q3 2026</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20"/>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2026</w:t>
            </w:r>
          </w:p>
        </w:tc>
        <w:tc>
          <w:tcPr>
            <w:tcW w:w="180" w:type="dxa"/>
            <w:vAlign w:val="bottom"/>
            <w:tcBorders>
              <w:bottom w:val="single" w:sz="8" w:color="auto"/>
            </w:tcBorders>
            <w:gridSpan w:val="2"/>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20,894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670,057</w:t>
            </w:r>
          </w:p>
        </w:tc>
        <w:tc>
          <w:tcPr>
            <w:tcW w:w="1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670,470</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44.55</w:t>
            </w:r>
          </w:p>
        </w:tc>
      </w:tr>
      <w:tr>
        <w:trPr>
          <w:trHeight w:val="213"/>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w w:val="99"/>
              </w:rPr>
              <w:t>Total 2026</w:t>
            </w:r>
          </w:p>
        </w:tc>
        <w:tc>
          <w:tcPr>
            <w:tcW w:w="18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670,057</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670,470</w:t>
            </w:r>
          </w:p>
        </w:tc>
        <w:tc>
          <w:tcPr>
            <w:tcW w:w="200" w:type="dxa"/>
            <w:vAlign w:val="bottom"/>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44.55</w:t>
            </w:r>
          </w:p>
        </w:tc>
      </w:tr>
      <w:tr>
        <w:trPr>
          <w:trHeight w:val="21"/>
        </w:trPr>
        <w:tc>
          <w:tcPr>
            <w:tcW w:w="1640" w:type="dxa"/>
            <w:vAlign w:val="bottom"/>
            <w:gridSpan w:val="3"/>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77"/>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Q1 2027</w:t>
            </w:r>
          </w:p>
        </w:tc>
        <w:tc>
          <w:tcPr>
            <w:tcW w:w="146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24"/>
                <w:szCs w:val="24"/>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Q2 2027</w:t>
            </w:r>
          </w:p>
        </w:tc>
        <w:tc>
          <w:tcPr>
            <w:tcW w:w="1240" w:type="dxa"/>
            <w:vAlign w:val="bottom"/>
          </w:tcPr>
          <w:p>
            <w:pPr>
              <w:jc w:val="right"/>
              <w:spacing w:after="0"/>
              <w:rPr>
                <w:sz w:val="20"/>
                <w:szCs w:val="20"/>
                <w:color w:val="auto"/>
              </w:rPr>
            </w:pPr>
            <w:r>
              <w:rPr>
                <w:rFonts w:ascii="Arial" w:cs="Arial" w:eastAsia="Arial" w:hAnsi="Arial"/>
                <w:sz w:val="14"/>
                <w:szCs w:val="14"/>
                <w:color w:val="auto"/>
              </w:rPr>
              <w:t>3,317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204,787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61.74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204,787</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61.74</w:t>
            </w:r>
          </w:p>
        </w:tc>
      </w:tr>
      <w:tr>
        <w:trPr>
          <w:trHeight w:val="216"/>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rPr>
              <w:t>Q3 2027</w:t>
            </w:r>
          </w:p>
        </w:tc>
        <w:tc>
          <w:tcPr>
            <w:tcW w:w="1240" w:type="dxa"/>
            <w:vAlign w:val="bottom"/>
          </w:tcPr>
          <w:p>
            <w:pPr>
              <w:jc w:val="right"/>
              <w:spacing w:after="0"/>
              <w:rPr>
                <w:sz w:val="20"/>
                <w:szCs w:val="20"/>
                <w:color w:val="auto"/>
              </w:rPr>
            </w:pPr>
            <w:r>
              <w:rPr>
                <w:rFonts w:ascii="Arial" w:cs="Arial" w:eastAsia="Arial" w:hAnsi="Arial"/>
                <w:sz w:val="14"/>
                <w:szCs w:val="14"/>
                <w:color w:val="auto"/>
              </w:rPr>
              <w:t>12,172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12,172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728,635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59.86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744,093</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61.13</w:t>
            </w:r>
          </w:p>
        </w:tc>
      </w:tr>
      <w:tr>
        <w:trPr>
          <w:trHeight w:val="220"/>
        </w:trPr>
        <w:tc>
          <w:tcPr>
            <w:tcW w:w="1640" w:type="dxa"/>
            <w:vAlign w:val="bottom"/>
            <w:gridSpan w:val="3"/>
          </w:tcPr>
          <w:p>
            <w:pPr>
              <w:jc w:val="center"/>
              <w:ind w:right="180"/>
              <w:spacing w:after="0"/>
              <w:rPr>
                <w:sz w:val="20"/>
                <w:szCs w:val="20"/>
                <w:color w:val="auto"/>
              </w:rPr>
            </w:pPr>
            <w:r>
              <w:rPr>
                <w:rFonts w:ascii="Arial" w:cs="Arial" w:eastAsia="Arial" w:hAnsi="Arial"/>
                <w:sz w:val="14"/>
                <w:szCs w:val="14"/>
                <w:color w:val="auto"/>
              </w:rPr>
              <w:t>Q4 2027</w:t>
            </w:r>
          </w:p>
        </w:tc>
        <w:tc>
          <w:tcPr>
            <w:tcW w:w="180" w:type="dxa"/>
            <w:vAlign w:val="bottom"/>
            <w:tcBorders>
              <w:bottom w:val="single" w:sz="8" w:color="auto"/>
            </w:tcBorders>
            <w:gridSpan w:val="2"/>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44,280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44,280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2,639,425</w:t>
            </w:r>
          </w:p>
        </w:tc>
        <w:tc>
          <w:tcPr>
            <w:tcW w:w="1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2,687,780</w:t>
            </w:r>
          </w:p>
        </w:tc>
        <w:tc>
          <w:tcPr>
            <w:tcW w:w="200" w:type="dxa"/>
            <w:vAlign w:val="bottom"/>
          </w:tcPr>
          <w:p>
            <w:pPr>
              <w:spacing w:after="0"/>
              <w:rPr>
                <w:sz w:val="19"/>
                <w:szCs w:val="19"/>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60.70</w:t>
            </w:r>
          </w:p>
        </w:tc>
      </w:tr>
      <w:tr>
        <w:trPr>
          <w:trHeight w:val="213"/>
        </w:trPr>
        <w:tc>
          <w:tcPr>
            <w:tcW w:w="1820" w:type="dxa"/>
            <w:vAlign w:val="bottom"/>
            <w:gridSpan w:val="5"/>
          </w:tcPr>
          <w:p>
            <w:pPr>
              <w:jc w:val="center"/>
              <w:ind w:right="360"/>
              <w:spacing w:after="0"/>
              <w:rPr>
                <w:sz w:val="20"/>
                <w:szCs w:val="20"/>
                <w:color w:val="auto"/>
              </w:rPr>
            </w:pPr>
            <w:r>
              <w:rPr>
                <w:rFonts w:ascii="Arial" w:cs="Arial" w:eastAsia="Arial" w:hAnsi="Arial"/>
                <w:sz w:val="14"/>
                <w:szCs w:val="14"/>
                <w:color w:val="auto"/>
                <w:w w:val="99"/>
              </w:rPr>
              <w:t>Total 2027</w:t>
            </w:r>
          </w:p>
        </w:tc>
        <w:tc>
          <w:tcPr>
            <w:tcW w:w="1240" w:type="dxa"/>
            <w:vAlign w:val="bottom"/>
          </w:tcPr>
          <w:p>
            <w:pPr>
              <w:jc w:val="right"/>
              <w:spacing w:after="0"/>
              <w:rPr>
                <w:sz w:val="20"/>
                <w:szCs w:val="20"/>
                <w:color w:val="auto"/>
              </w:rPr>
            </w:pPr>
            <w:r>
              <w:rPr>
                <w:rFonts w:ascii="Arial" w:cs="Arial" w:eastAsia="Arial" w:hAnsi="Arial"/>
                <w:sz w:val="14"/>
                <w:szCs w:val="14"/>
                <w:color w:val="auto"/>
              </w:rPr>
              <w:t>59,769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59,769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9"/>
              <w:spacing w:after="0"/>
              <w:rPr>
                <w:sz w:val="20"/>
                <w:szCs w:val="20"/>
                <w:color w:val="auto"/>
              </w:rPr>
            </w:pPr>
            <w:r>
              <w:rPr>
                <w:rFonts w:ascii="Arial" w:cs="Arial" w:eastAsia="Arial" w:hAnsi="Arial"/>
                <w:sz w:val="14"/>
                <w:szCs w:val="14"/>
                <w:color w:val="auto"/>
              </w:rPr>
              <w:t>3,572,847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59.78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3,636,660</w:t>
            </w:r>
          </w:p>
        </w:tc>
        <w:tc>
          <w:tcPr>
            <w:tcW w:w="20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60.85</w:t>
            </w:r>
          </w:p>
        </w:tc>
      </w:tr>
      <w:tr>
        <w:trPr>
          <w:trHeight w:val="21"/>
        </w:trPr>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6"/>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79" w:right="339" w:bottom="862" w:gutter="0" w:footer="0" w:header="0"/>
        </w:sectPr>
      </w:pPr>
    </w:p>
    <w:p>
      <w:pPr>
        <w:spacing w:after="0" w:line="200" w:lineRule="exact"/>
        <w:rPr>
          <w:sz w:val="20"/>
          <w:szCs w:val="20"/>
          <w:color w:val="auto"/>
        </w:rPr>
      </w:pPr>
    </w:p>
    <w:p>
      <w:pPr>
        <w:spacing w:after="0" w:line="24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48</w:t>
      </w:r>
    </w:p>
    <w:p>
      <w:pPr>
        <w:sectPr>
          <w:pgSz w:w="11900" w:h="16838" w:orient="portrait"/>
          <w:cols w:equalWidth="0" w:num="1">
            <w:col w:w="11240"/>
          </w:cols>
          <w:pgMar w:left="320" w:top="279" w:right="339" w:bottom="862" w:gutter="0" w:footer="0" w:header="0"/>
          <w:type w:val="continuous"/>
        </w:sectPr>
      </w:pPr>
    </w:p>
    <w:bookmarkStart w:id="56" w:name="page57"/>
    <w:bookmarkEnd w:id="56"/>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Washington, DC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695198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51980" cy="1714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r>
      <w:tr>
        <w:trPr>
          <w:trHeight w:val="225"/>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gridSpan w:val="7"/>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60" w:type="dxa"/>
            <w:vAlign w:val="bottom"/>
            <w:tcBorders>
              <w:right w:val="single" w:sz="8" w:color="auto"/>
            </w:tcBorders>
            <w:gridSpan w:val="8"/>
          </w:tcPr>
          <w:p>
            <w:pPr>
              <w:jc w:val="right"/>
              <w:ind w:right="80"/>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6"/>
                <w:szCs w:val="16"/>
                <w:color w:val="auto"/>
              </w:rPr>
            </w:pPr>
          </w:p>
        </w:tc>
        <w:tc>
          <w:tcPr>
            <w:tcW w:w="3060" w:type="dxa"/>
            <w:vAlign w:val="bottom"/>
            <w:tcBorders>
              <w:bottom w:val="single" w:sz="8" w:color="auto"/>
              <w:right w:val="single" w:sz="8" w:color="auto"/>
            </w:tcBorders>
            <w:gridSpan w:val="8"/>
          </w:tcPr>
          <w:p>
            <w:pPr>
              <w:ind w:left="620"/>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660" w:type="dxa"/>
            <w:vAlign w:val="bottom"/>
            <w:gridSpan w:val="3"/>
          </w:tcPr>
          <w:p>
            <w:pPr>
              <w:ind w:left="600"/>
              <w:spacing w:after="0"/>
              <w:rPr>
                <w:sz w:val="20"/>
                <w:szCs w:val="20"/>
                <w:color w:val="auto"/>
              </w:rPr>
            </w:pPr>
            <w:r>
              <w:rPr>
                <w:rFonts w:ascii="Arial" w:cs="Arial" w:eastAsia="Arial" w:hAnsi="Arial"/>
                <w:sz w:val="13"/>
                <w:szCs w:val="13"/>
                <w:b w:val="1"/>
                <w:bCs w:val="1"/>
                <w:color w:val="auto"/>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8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580" w:type="dxa"/>
            <w:vAlign w:val="bottom"/>
          </w:tcPr>
          <w:p>
            <w:pPr>
              <w:jc w:val="right"/>
              <w:ind w:right="66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4"/>
          </w:tcPr>
          <w:p>
            <w:pPr>
              <w:ind w:left="460"/>
              <w:spacing w:after="0"/>
              <w:rPr>
                <w:sz w:val="20"/>
                <w:szCs w:val="20"/>
                <w:color w:val="auto"/>
              </w:rPr>
            </w:pPr>
            <w:r>
              <w:rPr>
                <w:rFonts w:ascii="Arial" w:cs="Arial" w:eastAsia="Arial" w:hAnsi="Arial"/>
                <w:sz w:val="13"/>
                <w:szCs w:val="13"/>
                <w:b w:val="1"/>
                <w:bCs w:val="1"/>
                <w:color w:val="auto"/>
              </w:rPr>
              <w:t>$/PSF</w:t>
            </w:r>
          </w:p>
        </w:tc>
        <w:tc>
          <w:tcPr>
            <w:tcW w:w="1500" w:type="dxa"/>
            <w:vAlign w:val="bottom"/>
          </w:tcPr>
          <w:p>
            <w:pPr>
              <w:jc w:val="right"/>
              <w:ind w:right="58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Borders>
              <w:right w:val="single" w:sz="8" w:color="auto"/>
            </w:tcBorders>
            <w:gridSpan w:val="2"/>
          </w:tcPr>
          <w:p>
            <w:pPr>
              <w:ind w:left="420"/>
              <w:spacing w:after="0"/>
              <w:rPr>
                <w:sz w:val="20"/>
                <w:szCs w:val="20"/>
                <w:color w:val="auto"/>
              </w:rPr>
            </w:pPr>
            <w:r>
              <w:rPr>
                <w:rFonts w:ascii="Arial" w:cs="Arial" w:eastAsia="Arial" w:hAnsi="Arial"/>
                <w:sz w:val="13"/>
                <w:szCs w:val="13"/>
                <w:b w:val="1"/>
                <w:bCs w:val="1"/>
                <w:color w:val="auto"/>
              </w:rPr>
              <w:t>$/PSF</w:t>
            </w:r>
          </w:p>
        </w:tc>
      </w:tr>
      <w:tr>
        <w:trPr>
          <w:trHeight w:val="202"/>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17,039</w:t>
            </w:r>
          </w:p>
        </w:tc>
        <w:tc>
          <w:tcPr>
            <w:tcW w:w="22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17,039</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912,174</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53.53</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912,174</w:t>
            </w:r>
          </w:p>
        </w:tc>
        <w:tc>
          <w:tcPr>
            <w:tcW w:w="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53.53</w:t>
            </w:r>
          </w:p>
        </w:tc>
        <w:tc>
          <w:tcPr>
            <w:tcW w:w="60" w:type="dxa"/>
            <w:vAlign w:val="bottom"/>
            <w:tcBorders>
              <w:top w:val="single" w:sz="8" w:color="auto"/>
            </w:tcBorders>
          </w:tcPr>
          <w:p>
            <w:pPr>
              <w:spacing w:after="0"/>
              <w:rPr>
                <w:sz w:val="17"/>
                <w:szCs w:val="17"/>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157,469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157,469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9,720,223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9,897,763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62.86</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142,180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140,839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8,309,163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8,794,242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62.44</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163,307</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163,307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9,261,930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9,842,522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60.27</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144,987</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135,754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7,925,461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8,578,744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63.19</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246,977</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240,231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13,550,487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15,156,183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63.09</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626,500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626,500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42,932,084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68.53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48,901,819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78.06</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987,844</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987,844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58,754,939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68,731,150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69.58</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299,912</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299,912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17,584,867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20,835,967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69.47</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514,633</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514,633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27,067,003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52.59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32,156,071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62.48</w:t>
            </w:r>
          </w:p>
        </w:tc>
        <w:tc>
          <w:tcPr>
            <w:tcW w:w="60" w:type="dxa"/>
            <w:vAlign w:val="bottom"/>
          </w:tcPr>
          <w:p>
            <w:pPr>
              <w:spacing w:after="0"/>
              <w:rPr>
                <w:sz w:val="18"/>
                <w:szCs w:val="18"/>
                <w:color w:val="auto"/>
              </w:rPr>
            </w:pPr>
          </w:p>
        </w:tc>
      </w:tr>
      <w:tr>
        <w:trPr>
          <w:trHeight w:val="216"/>
        </w:trPr>
        <w:tc>
          <w:tcPr>
            <w:tcW w:w="1660" w:type="dxa"/>
            <w:vAlign w:val="bottom"/>
            <w:gridSpan w:val="3"/>
          </w:tcPr>
          <w:p>
            <w:pPr>
              <w:jc w:val="center"/>
              <w:ind w:right="20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2,757,846</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2,619,018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175,853,810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67.14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4"/>
                <w:szCs w:val="14"/>
                <w:color w:val="auto"/>
              </w:rPr>
              <w:t>220,303,728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84.12</w:t>
            </w:r>
          </w:p>
        </w:tc>
        <w:tc>
          <w:tcPr>
            <w:tcW w:w="60" w:type="dxa"/>
            <w:vAlign w:val="bottom"/>
          </w:tcPr>
          <w:p>
            <w:pPr>
              <w:spacing w:after="0"/>
              <w:rPr>
                <w:sz w:val="18"/>
                <w:szCs w:val="18"/>
                <w:color w:val="auto"/>
              </w:rPr>
            </w:pPr>
          </w:p>
        </w:tc>
      </w:tr>
      <w:tr>
        <w:trPr>
          <w:trHeight w:val="640"/>
        </w:trPr>
        <w:tc>
          <w:tcPr>
            <w:tcW w:w="1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RETAIL</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4"/>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00"/>
        </w:trPr>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225"/>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gridSpan w:val="7"/>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60" w:type="dxa"/>
            <w:vAlign w:val="bottom"/>
            <w:tcBorders>
              <w:right w:val="single" w:sz="8" w:color="auto"/>
            </w:tcBorders>
            <w:gridSpan w:val="8"/>
          </w:tcPr>
          <w:p>
            <w:pPr>
              <w:jc w:val="right"/>
              <w:ind w:right="80"/>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60" w:type="dxa"/>
            <w:vAlign w:val="bottom"/>
            <w:tcBorders>
              <w:bottom w:val="single" w:sz="8" w:color="auto"/>
              <w:right w:val="single" w:sz="8" w:color="auto"/>
            </w:tcBorders>
            <w:gridSpan w:val="8"/>
          </w:tcPr>
          <w:p>
            <w:pPr>
              <w:ind w:left="620"/>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6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8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58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4"/>
          </w:tcPr>
          <w:p>
            <w:pPr>
              <w:ind w:left="460"/>
              <w:spacing w:after="0"/>
              <w:rPr>
                <w:sz w:val="20"/>
                <w:szCs w:val="20"/>
                <w:color w:val="auto"/>
              </w:rPr>
            </w:pPr>
            <w:r>
              <w:rPr>
                <w:rFonts w:ascii="Arial" w:cs="Arial" w:eastAsia="Arial" w:hAnsi="Arial"/>
                <w:sz w:val="13"/>
                <w:szCs w:val="13"/>
                <w:b w:val="1"/>
                <w:bCs w:val="1"/>
                <w:color w:val="auto"/>
              </w:rPr>
              <w:t>$/PSF</w:t>
            </w:r>
          </w:p>
        </w:tc>
        <w:tc>
          <w:tcPr>
            <w:tcW w:w="1500" w:type="dxa"/>
            <w:vAlign w:val="bottom"/>
          </w:tcPr>
          <w:p>
            <w:pPr>
              <w:jc w:val="right"/>
              <w:ind w:right="60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Borders>
              <w:right w:val="single" w:sz="8" w:color="auto"/>
            </w:tcBorders>
            <w:gridSpan w:val="2"/>
          </w:tcPr>
          <w:p>
            <w:pPr>
              <w:ind w:left="420"/>
              <w:spacing w:after="0"/>
              <w:rPr>
                <w:sz w:val="20"/>
                <w:szCs w:val="20"/>
                <w:color w:val="auto"/>
              </w:rPr>
            </w:pPr>
            <w:r>
              <w:rPr>
                <w:rFonts w:ascii="Arial" w:cs="Arial" w:eastAsia="Arial" w:hAnsi="Arial"/>
                <w:sz w:val="13"/>
                <w:szCs w:val="13"/>
                <w:b w:val="1"/>
                <w:bCs w:val="1"/>
                <w:color w:val="auto"/>
              </w:rPr>
              <w:t>$/PSF</w:t>
            </w:r>
          </w:p>
        </w:tc>
      </w:tr>
      <w:tr>
        <w:trPr>
          <w:trHeight w:val="201"/>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1,653</w:t>
            </w:r>
          </w:p>
        </w:tc>
        <w:tc>
          <w:tcPr>
            <w:tcW w:w="22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1,653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118,748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71.84</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118,748</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71.84</w:t>
            </w:r>
          </w:p>
        </w:tc>
        <w:tc>
          <w:tcPr>
            <w:tcW w:w="60" w:type="dxa"/>
            <w:vAlign w:val="bottom"/>
            <w:tcBorders>
              <w:top w:val="single" w:sz="8" w:color="auto"/>
            </w:tcBorders>
          </w:tcPr>
          <w:p>
            <w:pPr>
              <w:spacing w:after="0"/>
              <w:rPr>
                <w:sz w:val="17"/>
                <w:szCs w:val="17"/>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19,120</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19,120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940,817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49.21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944,145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49.38</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32,691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32,691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2,253,682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2,271,061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69.47</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48,044</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48,044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3,339,456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69.51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3,480,872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72.45</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37,368</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37,368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2,759,801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73.85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2,859,596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76.53</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43,505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43,505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2,889,785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66.42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3,054,401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70.21</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33,591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33,591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2,609,409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77.68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2,766,444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82.36</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22,891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22,891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1,567,024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1,761,814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76.97</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35,694</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35,694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2,375,167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66.54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2,579,176</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72.26</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90,816</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87,695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2,500,075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3,670,695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41.86</w:t>
            </w:r>
          </w:p>
        </w:tc>
        <w:tc>
          <w:tcPr>
            <w:tcW w:w="60" w:type="dxa"/>
            <w:vAlign w:val="bottom"/>
          </w:tcPr>
          <w:p>
            <w:pPr>
              <w:spacing w:after="0"/>
              <w:rPr>
                <w:sz w:val="18"/>
                <w:szCs w:val="18"/>
                <w:color w:val="auto"/>
              </w:rPr>
            </w:pPr>
          </w:p>
        </w:tc>
      </w:tr>
      <w:tr>
        <w:trPr>
          <w:trHeight w:val="216"/>
        </w:trPr>
        <w:tc>
          <w:tcPr>
            <w:tcW w:w="1660" w:type="dxa"/>
            <w:vAlign w:val="bottom"/>
            <w:gridSpan w:val="3"/>
          </w:tcPr>
          <w:p>
            <w:pPr>
              <w:jc w:val="center"/>
              <w:ind w:right="16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51,018</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51,018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3,927,139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76.98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Arial" w:cs="Arial" w:eastAsia="Arial" w:hAnsi="Arial"/>
                <w:sz w:val="14"/>
                <w:szCs w:val="14"/>
                <w:color w:val="auto"/>
              </w:rPr>
              <w:t>4,762,569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93.35</w:t>
            </w:r>
          </w:p>
        </w:tc>
        <w:tc>
          <w:tcPr>
            <w:tcW w:w="60" w:type="dxa"/>
            <w:vAlign w:val="bottom"/>
          </w:tcPr>
          <w:p>
            <w:pPr>
              <w:spacing w:after="0"/>
              <w:rPr>
                <w:sz w:val="18"/>
                <w:szCs w:val="18"/>
                <w:color w:val="auto"/>
              </w:rPr>
            </w:pPr>
          </w:p>
        </w:tc>
      </w:tr>
      <w:tr>
        <w:trPr>
          <w:trHeight w:val="640"/>
        </w:trPr>
        <w:tc>
          <w:tcPr>
            <w:tcW w:w="318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
        </w:trPr>
        <w:tc>
          <w:tcPr>
            <w:tcW w:w="1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gridSpan w:val="4"/>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00"/>
        </w:trPr>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BXP’s Share</w:t>
            </w:r>
          </w:p>
        </w:tc>
        <w:tc>
          <w:tcPr>
            <w:tcW w:w="1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80" w:type="dxa"/>
            <w:vAlign w:val="bottom"/>
            <w:gridSpan w:val="7"/>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00" w:type="dxa"/>
            <w:vAlign w:val="bottom"/>
            <w:tcBorders>
              <w:right w:val="single" w:sz="8" w:color="auto"/>
            </w:tcBorders>
            <w:gridSpan w:val="7"/>
          </w:tcPr>
          <w:p>
            <w:pPr>
              <w:jc w:val="right"/>
              <w:ind w:right="248"/>
              <w:spacing w:after="0"/>
              <w:rPr>
                <w:sz w:val="20"/>
                <w:szCs w:val="20"/>
                <w:color w:val="auto"/>
              </w:rPr>
            </w:pPr>
            <w:r>
              <w:rPr>
                <w:rFonts w:ascii="Arial" w:cs="Arial" w:eastAsia="Arial" w:hAnsi="Arial"/>
                <w:sz w:val="13"/>
                <w:szCs w:val="13"/>
                <w:b w:val="1"/>
                <w:bCs w:val="1"/>
                <w:color w:val="auto"/>
              </w:rPr>
              <w:t>Annualized Rental Obligations Under</w:t>
            </w:r>
          </w:p>
        </w:tc>
        <w:tc>
          <w:tcPr>
            <w:tcW w:w="60" w:type="dxa"/>
            <w:vAlign w:val="bottom"/>
          </w:tcPr>
          <w:p>
            <w:pPr>
              <w:spacing w:after="0"/>
              <w:rPr>
                <w:sz w:val="19"/>
                <w:szCs w:val="19"/>
                <w:color w:val="auto"/>
              </w:rPr>
            </w:pPr>
          </w:p>
        </w:tc>
      </w:tr>
      <w:tr>
        <w:trPr>
          <w:trHeight w:val="188"/>
        </w:trPr>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6"/>
                <w:szCs w:val="16"/>
                <w:color w:val="auto"/>
              </w:rPr>
            </w:pPr>
          </w:p>
        </w:tc>
        <w:tc>
          <w:tcPr>
            <w:tcW w:w="3000" w:type="dxa"/>
            <w:vAlign w:val="bottom"/>
            <w:tcBorders>
              <w:bottom w:val="single" w:sz="8" w:color="auto"/>
              <w:right w:val="single" w:sz="8" w:color="auto"/>
            </w:tcBorders>
            <w:gridSpan w:val="7"/>
          </w:tcPr>
          <w:p>
            <w:pPr>
              <w:jc w:val="right"/>
              <w:ind w:right="268"/>
              <w:spacing w:after="0"/>
              <w:rPr>
                <w:sz w:val="20"/>
                <w:szCs w:val="20"/>
                <w:color w:val="auto"/>
              </w:rPr>
            </w:pPr>
            <w:r>
              <w:rPr>
                <w:rFonts w:ascii="Arial" w:cs="Arial" w:eastAsia="Arial" w:hAnsi="Arial"/>
                <w:sz w:val="13"/>
                <w:szCs w:val="13"/>
                <w:b w:val="1"/>
                <w:bCs w:val="1"/>
                <w:color w:val="auto"/>
              </w:rPr>
              <w:t>Expiring Leases with future step-ups</w:t>
            </w:r>
          </w:p>
        </w:tc>
        <w:tc>
          <w:tcPr>
            <w:tcW w:w="60" w:type="dxa"/>
            <w:vAlign w:val="bottom"/>
          </w:tcPr>
          <w:p>
            <w:pPr>
              <w:spacing w:after="0"/>
              <w:rPr>
                <w:sz w:val="16"/>
                <w:szCs w:val="16"/>
                <w:color w:val="auto"/>
              </w:rPr>
            </w:pPr>
          </w:p>
        </w:tc>
      </w:tr>
      <w:tr>
        <w:trPr>
          <w:trHeight w:val="197"/>
        </w:trPr>
        <w:tc>
          <w:tcPr>
            <w:tcW w:w="16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8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580" w:type="dxa"/>
            <w:vAlign w:val="bottom"/>
          </w:tcPr>
          <w:p>
            <w:pPr>
              <w:jc w:val="right"/>
              <w:ind w:right="66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4"/>
          </w:tcPr>
          <w:p>
            <w:pPr>
              <w:ind w:left="460"/>
              <w:spacing w:after="0"/>
              <w:rPr>
                <w:sz w:val="20"/>
                <w:szCs w:val="20"/>
                <w:color w:val="auto"/>
              </w:rPr>
            </w:pPr>
            <w:r>
              <w:rPr>
                <w:rFonts w:ascii="Arial" w:cs="Arial" w:eastAsia="Arial" w:hAnsi="Arial"/>
                <w:sz w:val="13"/>
                <w:szCs w:val="13"/>
                <w:b w:val="1"/>
                <w:bCs w:val="1"/>
                <w:color w:val="auto"/>
              </w:rPr>
              <w:t>$/PSF</w:t>
            </w:r>
          </w:p>
        </w:tc>
        <w:tc>
          <w:tcPr>
            <w:tcW w:w="1500" w:type="dxa"/>
            <w:vAlign w:val="bottom"/>
          </w:tcPr>
          <w:p>
            <w:pPr>
              <w:jc w:val="right"/>
              <w:ind w:right="649"/>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7"/>
                <w:szCs w:val="17"/>
                <w:color w:val="auto"/>
              </w:rPr>
            </w:pPr>
          </w:p>
        </w:tc>
      </w:tr>
      <w:tr>
        <w:trPr>
          <w:trHeight w:val="201"/>
        </w:trPr>
        <w:tc>
          <w:tcPr>
            <w:tcW w:w="14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18,692</w:t>
            </w:r>
          </w:p>
        </w:tc>
        <w:tc>
          <w:tcPr>
            <w:tcW w:w="22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18,692</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1,030,922</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55.15</w:t>
            </w:r>
          </w:p>
        </w:tc>
        <w:tc>
          <w:tcPr>
            <w:tcW w:w="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1,030,922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55.15</w:t>
            </w:r>
          </w:p>
        </w:tc>
        <w:tc>
          <w:tcPr>
            <w:tcW w:w="60" w:type="dxa"/>
            <w:vAlign w:val="bottom"/>
          </w:tcPr>
          <w:p>
            <w:pPr>
              <w:spacing w:after="0"/>
              <w:rPr>
                <w:sz w:val="17"/>
                <w:szCs w:val="17"/>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176,589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176,589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10,661,040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10,841,908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61.40</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174,871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173,530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10,562,845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11,065,303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63.77</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211,351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211,351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12,601,386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13,323,394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63.04</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182,355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173,122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10,685,262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61.72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11,438,340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66.07</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290,482</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283,736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16,440,272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57.94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18,210,584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64.18</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660,091</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660,091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45,541,493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68.99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51,668,263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78.27</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1,010,735</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1,010,735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60,321,963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70,492,964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69.74</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335,606</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335,606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19,960,034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23,415,143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69.77</w:t>
            </w:r>
          </w:p>
        </w:tc>
        <w:tc>
          <w:tcPr>
            <w:tcW w:w="60" w:type="dxa"/>
            <w:vAlign w:val="bottom"/>
          </w:tcPr>
          <w:p>
            <w:pPr>
              <w:spacing w:after="0"/>
              <w:rPr>
                <w:sz w:val="18"/>
                <w:szCs w:val="18"/>
                <w:color w:val="auto"/>
              </w:rPr>
            </w:pPr>
          </w:p>
        </w:tc>
      </w:tr>
      <w:tr>
        <w:trPr>
          <w:trHeight w:val="216"/>
        </w:trPr>
        <w:tc>
          <w:tcPr>
            <w:tcW w:w="1460" w:type="dxa"/>
            <w:vAlign w:val="bottom"/>
          </w:tcPr>
          <w:p>
            <w:pPr>
              <w:jc w:val="center"/>
              <w:spacing w:after="0"/>
              <w:rPr>
                <w:sz w:val="20"/>
                <w:szCs w:val="20"/>
                <w:color w:val="auto"/>
              </w:rPr>
            </w:pPr>
            <w:r>
              <w:rPr>
                <w:rFonts w:ascii="Arial" w:cs="Arial" w:eastAsia="Arial" w:hAnsi="Arial"/>
                <w:sz w:val="14"/>
                <w:szCs w:val="14"/>
                <w:color w:val="auto"/>
              </w:rPr>
              <w:t>2035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605,449</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602,328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29,567,078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49.09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35,826,766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59.48</w:t>
            </w:r>
          </w:p>
        </w:tc>
        <w:tc>
          <w:tcPr>
            <w:tcW w:w="60" w:type="dxa"/>
            <w:vAlign w:val="bottom"/>
          </w:tcPr>
          <w:p>
            <w:pPr>
              <w:spacing w:after="0"/>
              <w:rPr>
                <w:sz w:val="18"/>
                <w:szCs w:val="18"/>
                <w:color w:val="auto"/>
              </w:rPr>
            </w:pPr>
          </w:p>
        </w:tc>
      </w:tr>
      <w:tr>
        <w:trPr>
          <w:trHeight w:val="216"/>
        </w:trPr>
        <w:tc>
          <w:tcPr>
            <w:tcW w:w="1660" w:type="dxa"/>
            <w:vAlign w:val="bottom"/>
            <w:gridSpan w:val="3"/>
          </w:tcPr>
          <w:p>
            <w:pPr>
              <w:jc w:val="center"/>
              <w:ind w:right="20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2,808,864</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2,670,036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179,780,949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67.33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tcPr>
          <w:p>
            <w:pPr>
              <w:jc w:val="right"/>
              <w:ind w:right="9"/>
              <w:spacing w:after="0"/>
              <w:rPr>
                <w:sz w:val="20"/>
                <w:szCs w:val="20"/>
                <w:color w:val="auto"/>
              </w:rPr>
            </w:pPr>
            <w:r>
              <w:rPr>
                <w:rFonts w:ascii="Arial" w:cs="Arial" w:eastAsia="Arial" w:hAnsi="Arial"/>
                <w:sz w:val="14"/>
                <w:szCs w:val="14"/>
                <w:color w:val="auto"/>
              </w:rPr>
              <w:t>225,066,297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84.29</w:t>
            </w:r>
          </w:p>
        </w:tc>
        <w:tc>
          <w:tcPr>
            <w:tcW w:w="60" w:type="dxa"/>
            <w:vAlign w:val="bottom"/>
          </w:tcPr>
          <w:p>
            <w:pPr>
              <w:spacing w:after="0"/>
              <w:rPr>
                <w:sz w:val="18"/>
                <w:szCs w:val="18"/>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7"/>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79" w:right="339" w:bottom="1038" w:gutter="0" w:footer="0" w:header="0"/>
        </w:sectPr>
      </w:pPr>
    </w:p>
    <w:p>
      <w:pPr>
        <w:spacing w:after="0" w:line="200" w:lineRule="exact"/>
        <w:rPr>
          <w:sz w:val="20"/>
          <w:szCs w:val="20"/>
          <w:color w:val="auto"/>
        </w:rPr>
      </w:pPr>
    </w:p>
    <w:p>
      <w:pPr>
        <w:spacing w:after="0" w:line="351"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49</w:t>
      </w:r>
    </w:p>
    <w:p>
      <w:pPr>
        <w:sectPr>
          <w:pgSz w:w="11900" w:h="16838" w:orient="portrait"/>
          <w:cols w:equalWidth="0" w:num="1">
            <w:col w:w="11240"/>
          </w:cols>
          <w:pgMar w:left="320" w:top="279" w:right="339" w:bottom="1038" w:gutter="0" w:footer="0" w:header="0"/>
          <w:type w:val="continuous"/>
        </w:sectPr>
      </w:pPr>
    </w:p>
    <w:bookmarkStart w:id="57" w:name="page58"/>
    <w:bookmarkEnd w:id="57"/>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Quarterly lease expirations - Washington, DC region in-service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48260</wp:posOffset>
            </wp:positionV>
            <wp:extent cx="690943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BXP’s Share</w:t>
            </w: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25"/>
        </w:trPr>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80" w:type="dxa"/>
            <w:vAlign w:val="bottom"/>
            <w:gridSpan w:val="8"/>
          </w:tcPr>
          <w:p>
            <w:pPr>
              <w:jc w:val="center"/>
              <w:ind w:right="20"/>
              <w:spacing w:after="0"/>
              <w:rPr>
                <w:sz w:val="20"/>
                <w:szCs w:val="20"/>
                <w:color w:val="auto"/>
              </w:rPr>
            </w:pPr>
            <w:r>
              <w:rPr>
                <w:rFonts w:ascii="Arial" w:cs="Arial" w:eastAsia="Arial" w:hAnsi="Arial"/>
                <w:sz w:val="13"/>
                <w:szCs w:val="13"/>
                <w:b w:val="1"/>
                <w:bCs w:val="1"/>
                <w:color w:val="auto"/>
              </w:rPr>
              <w:t>Current Annualized Rental Obligations Under</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00" w:type="dxa"/>
            <w:vAlign w:val="bottom"/>
            <w:tcBorders>
              <w:right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rPr>
              <w:t>Annualized Rental Obligations Under</w:t>
            </w:r>
          </w:p>
        </w:tc>
        <w:tc>
          <w:tcPr>
            <w:tcW w:w="60" w:type="dxa"/>
            <w:vAlign w:val="bottom"/>
          </w:tcPr>
          <w:p>
            <w:pPr>
              <w:spacing w:after="0"/>
              <w:rPr>
                <w:sz w:val="19"/>
                <w:szCs w:val="19"/>
                <w:color w:val="auto"/>
              </w:rPr>
            </w:pPr>
          </w:p>
        </w:tc>
      </w:tr>
      <w:tr>
        <w:trPr>
          <w:trHeight w:val="186"/>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Borders>
              <w:right w:val="single" w:sz="8" w:color="auto"/>
            </w:tcBorders>
            <w:gridSpan w:val="5"/>
          </w:tcPr>
          <w:p>
            <w:pPr>
              <w:jc w:val="center"/>
              <w:ind w:right="340"/>
              <w:spacing w:after="0"/>
              <w:rPr>
                <w:sz w:val="20"/>
                <w:szCs w:val="20"/>
                <w:color w:val="auto"/>
              </w:rPr>
            </w:pPr>
            <w:r>
              <w:rPr>
                <w:rFonts w:ascii="Arial" w:cs="Arial" w:eastAsia="Arial" w:hAnsi="Arial"/>
                <w:sz w:val="13"/>
                <w:szCs w:val="13"/>
                <w:b w:val="1"/>
                <w:bCs w:val="1"/>
                <w:color w:val="auto"/>
              </w:rPr>
              <w:t>Rentable Square</w:t>
            </w:r>
          </w:p>
        </w:tc>
        <w:tc>
          <w:tcPr>
            <w:tcW w:w="1420" w:type="dxa"/>
            <w:vAlign w:val="bottom"/>
            <w:gridSpan w:val="2"/>
          </w:tcPr>
          <w:p>
            <w:pPr>
              <w:jc w:val="center"/>
              <w:spacing w:after="0"/>
              <w:rPr>
                <w:sz w:val="20"/>
                <w:szCs w:val="20"/>
                <w:color w:val="auto"/>
              </w:rPr>
            </w:pPr>
            <w:r>
              <w:rPr>
                <w:rFonts w:ascii="Arial" w:cs="Arial" w:eastAsia="Arial" w:hAnsi="Arial"/>
                <w:sz w:val="13"/>
                <w:szCs w:val="13"/>
                <w:b w:val="1"/>
                <w:bCs w:val="1"/>
                <w:color w:val="auto"/>
              </w:rPr>
              <w:t>Rentable Square</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00" w:type="dxa"/>
            <w:vAlign w:val="bottom"/>
            <w:tcBorders>
              <w:bottom w:val="single" w:sz="8" w:color="auto"/>
              <w:right w:val="single" w:sz="8" w:color="auto"/>
            </w:tcBorders>
            <w:gridSpan w:val="7"/>
          </w:tcPr>
          <w:p>
            <w:pPr>
              <w:jc w:val="center"/>
              <w:spacing w:after="0"/>
              <w:rPr>
                <w:sz w:val="20"/>
                <w:szCs w:val="20"/>
                <w:color w:val="auto"/>
              </w:rPr>
            </w:pPr>
            <w:r>
              <w:rPr>
                <w:rFonts w:ascii="Arial" w:cs="Arial" w:eastAsia="Arial" w:hAnsi="Arial"/>
                <w:sz w:val="13"/>
                <w:szCs w:val="13"/>
                <w:b w:val="1"/>
                <w:bCs w:val="1"/>
                <w:color w:val="auto"/>
              </w:rPr>
              <w:t>Expiring Leases with future step-ups</w:t>
            </w:r>
          </w:p>
        </w:tc>
        <w:tc>
          <w:tcPr>
            <w:tcW w:w="60" w:type="dxa"/>
            <w:vAlign w:val="bottom"/>
          </w:tcPr>
          <w:p>
            <w:pPr>
              <w:spacing w:after="0"/>
              <w:rPr>
                <w:sz w:val="16"/>
                <w:szCs w:val="16"/>
                <w:color w:val="auto"/>
              </w:rPr>
            </w:pPr>
          </w:p>
        </w:tc>
      </w:tr>
      <w:tr>
        <w:trPr>
          <w:trHeight w:val="199"/>
        </w:trPr>
        <w:tc>
          <w:tcPr>
            <w:tcW w:w="40" w:type="dxa"/>
            <w:vAlign w:val="bottom"/>
          </w:tcPr>
          <w:p>
            <w:pPr>
              <w:spacing w:after="0"/>
              <w:rPr>
                <w:sz w:val="17"/>
                <w:szCs w:val="17"/>
                <w:color w:val="auto"/>
              </w:rPr>
            </w:pPr>
          </w:p>
        </w:tc>
        <w:tc>
          <w:tcPr>
            <w:tcW w:w="14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3"/>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00" w:type="dxa"/>
            <w:vAlign w:val="bottom"/>
            <w:tcBorders>
              <w:right w:val="single" w:sz="8" w:color="auto"/>
            </w:tcBorders>
            <w:gridSpan w:val="2"/>
          </w:tcPr>
          <w:p>
            <w:pPr>
              <w:spacing w:after="0"/>
              <w:rPr>
                <w:sz w:val="17"/>
                <w:szCs w:val="17"/>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 w:type="dxa"/>
            <w:vAlign w:val="bottom"/>
            <w:gridSpan w:val="2"/>
          </w:tcPr>
          <w:p>
            <w:pPr>
              <w:spacing w:after="0"/>
              <w:rPr>
                <w:sz w:val="17"/>
                <w:szCs w:val="17"/>
                <w:color w:val="auto"/>
              </w:rPr>
            </w:pPr>
          </w:p>
        </w:tc>
        <w:tc>
          <w:tcPr>
            <w:tcW w:w="1440" w:type="dxa"/>
            <w:vAlign w:val="bottom"/>
            <w:tcBorders>
              <w:bottom w:val="single" w:sz="8" w:color="auto"/>
            </w:tcBorders>
          </w:tcPr>
          <w:p>
            <w:pPr>
              <w:jc w:val="right"/>
              <w:ind w:right="609"/>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tcBorders>
            <w:gridSpan w:val="3"/>
          </w:tcPr>
          <w:p>
            <w:pPr>
              <w:ind w:left="460"/>
              <w:spacing w:after="0"/>
              <w:rPr>
                <w:sz w:val="20"/>
                <w:szCs w:val="20"/>
                <w:color w:val="auto"/>
              </w:rPr>
            </w:pPr>
            <w:r>
              <w:rPr>
                <w:rFonts w:ascii="Arial" w:cs="Arial" w:eastAsia="Arial" w:hAnsi="Arial"/>
                <w:sz w:val="13"/>
                <w:szCs w:val="13"/>
                <w:b w:val="1"/>
                <w:bCs w:val="1"/>
                <w:color w:val="auto"/>
              </w:rPr>
              <w:t>$/PSF</w:t>
            </w:r>
          </w:p>
        </w:tc>
        <w:tc>
          <w:tcPr>
            <w:tcW w:w="180" w:type="dxa"/>
            <w:vAlign w:val="bottom"/>
            <w:gridSpan w:val="3"/>
          </w:tcPr>
          <w:p>
            <w:pPr>
              <w:spacing w:after="0"/>
              <w:rPr>
                <w:sz w:val="17"/>
                <w:szCs w:val="17"/>
                <w:color w:val="auto"/>
              </w:rPr>
            </w:pPr>
          </w:p>
        </w:tc>
        <w:tc>
          <w:tcPr>
            <w:tcW w:w="1440" w:type="dxa"/>
            <w:vAlign w:val="bottom"/>
            <w:tcBorders>
              <w:bottom w:val="single" w:sz="8" w:color="auto"/>
            </w:tcBorders>
          </w:tcPr>
          <w:p>
            <w:pPr>
              <w:jc w:val="right"/>
              <w:ind w:right="590"/>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Borders>
              <w:bottom w:val="single" w:sz="8" w:color="auto"/>
              <w:right w:val="single" w:sz="8" w:color="auto"/>
            </w:tcBorders>
          </w:tcPr>
          <w:p>
            <w:pPr>
              <w:jc w:val="right"/>
              <w:ind w:right="368"/>
              <w:spacing w:after="0"/>
              <w:rPr>
                <w:sz w:val="20"/>
                <w:szCs w:val="20"/>
                <w:color w:val="auto"/>
              </w:rPr>
            </w:pPr>
            <w:r>
              <w:rPr>
                <w:rFonts w:ascii="Arial" w:cs="Arial" w:eastAsia="Arial" w:hAnsi="Arial"/>
                <w:sz w:val="13"/>
                <w:szCs w:val="13"/>
                <w:b w:val="1"/>
                <w:bCs w:val="1"/>
                <w:color w:val="auto"/>
              </w:rPr>
              <w:t>$/PSF</w:t>
            </w:r>
          </w:p>
        </w:tc>
        <w:tc>
          <w:tcPr>
            <w:tcW w:w="60" w:type="dxa"/>
            <w:vAlign w:val="bottom"/>
          </w:tcPr>
          <w:p>
            <w:pPr>
              <w:spacing w:after="0"/>
              <w:rPr>
                <w:sz w:val="17"/>
                <w:szCs w:val="17"/>
                <w:color w:val="auto"/>
              </w:rPr>
            </w:pPr>
          </w:p>
        </w:tc>
      </w:tr>
      <w:tr>
        <w:trPr>
          <w:trHeight w:val="202"/>
        </w:trPr>
        <w:tc>
          <w:tcPr>
            <w:tcW w:w="40" w:type="dxa"/>
            <w:vAlign w:val="bottom"/>
          </w:tcPr>
          <w:p>
            <w:pPr>
              <w:spacing w:after="0"/>
              <w:rPr>
                <w:sz w:val="17"/>
                <w:szCs w:val="17"/>
                <w:color w:val="auto"/>
              </w:rPr>
            </w:pPr>
          </w:p>
        </w:tc>
        <w:tc>
          <w:tcPr>
            <w:tcW w:w="1780" w:type="dxa"/>
            <w:vAlign w:val="bottom"/>
            <w:gridSpan w:val="7"/>
          </w:tcPr>
          <w:p>
            <w:pPr>
              <w:jc w:val="center"/>
              <w:ind w:right="340"/>
              <w:spacing w:after="0"/>
              <w:rPr>
                <w:sz w:val="20"/>
                <w:szCs w:val="20"/>
                <w:color w:val="auto"/>
              </w:rPr>
            </w:pPr>
            <w:r>
              <w:rPr>
                <w:rFonts w:ascii="Arial" w:cs="Arial" w:eastAsia="Arial" w:hAnsi="Arial"/>
                <w:sz w:val="14"/>
                <w:szCs w:val="14"/>
                <w:color w:val="auto"/>
              </w:rPr>
              <w:t>Q1 2026</w:t>
            </w:r>
          </w:p>
        </w:tc>
        <w:tc>
          <w:tcPr>
            <w:tcW w:w="1480" w:type="dxa"/>
            <w:vAlign w:val="bottom"/>
            <w:gridSpan w:val="5"/>
          </w:tcPr>
          <w:p>
            <w:pPr>
              <w:jc w:val="right"/>
              <w:ind w:right="28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6"/>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16"/>
        </w:trPr>
        <w:tc>
          <w:tcPr>
            <w:tcW w:w="40" w:type="dxa"/>
            <w:vAlign w:val="bottom"/>
          </w:tcPr>
          <w:p>
            <w:pPr>
              <w:spacing w:after="0"/>
              <w:rPr>
                <w:sz w:val="18"/>
                <w:szCs w:val="18"/>
                <w:color w:val="auto"/>
              </w:rPr>
            </w:pPr>
          </w:p>
        </w:tc>
        <w:tc>
          <w:tcPr>
            <w:tcW w:w="1780" w:type="dxa"/>
            <w:vAlign w:val="bottom"/>
            <w:gridSpan w:val="7"/>
          </w:tcPr>
          <w:p>
            <w:pPr>
              <w:jc w:val="center"/>
              <w:ind w:right="340"/>
              <w:spacing w:after="0"/>
              <w:rPr>
                <w:sz w:val="20"/>
                <w:szCs w:val="20"/>
                <w:color w:val="auto"/>
              </w:rPr>
            </w:pPr>
            <w:r>
              <w:rPr>
                <w:rFonts w:ascii="Arial" w:cs="Arial" w:eastAsia="Arial" w:hAnsi="Arial"/>
                <w:sz w:val="14"/>
                <w:szCs w:val="14"/>
                <w:color w:val="auto"/>
              </w:rPr>
              <w:t>Q2 2026</w:t>
            </w:r>
          </w:p>
        </w:tc>
        <w:tc>
          <w:tcPr>
            <w:tcW w:w="1480" w:type="dxa"/>
            <w:vAlign w:val="bottom"/>
            <w:gridSpan w:val="5"/>
          </w:tcPr>
          <w:p>
            <w:pPr>
              <w:jc w:val="right"/>
              <w:ind w:right="28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6"/>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16"/>
        </w:trPr>
        <w:tc>
          <w:tcPr>
            <w:tcW w:w="40" w:type="dxa"/>
            <w:vAlign w:val="bottom"/>
          </w:tcPr>
          <w:p>
            <w:pPr>
              <w:spacing w:after="0"/>
              <w:rPr>
                <w:sz w:val="18"/>
                <w:szCs w:val="18"/>
                <w:color w:val="auto"/>
              </w:rPr>
            </w:pPr>
          </w:p>
        </w:tc>
        <w:tc>
          <w:tcPr>
            <w:tcW w:w="1780" w:type="dxa"/>
            <w:vAlign w:val="bottom"/>
            <w:gridSpan w:val="7"/>
          </w:tcPr>
          <w:p>
            <w:pPr>
              <w:jc w:val="center"/>
              <w:ind w:right="340"/>
              <w:spacing w:after="0"/>
              <w:rPr>
                <w:sz w:val="20"/>
                <w:szCs w:val="20"/>
                <w:color w:val="auto"/>
              </w:rPr>
            </w:pPr>
            <w:r>
              <w:rPr>
                <w:rFonts w:ascii="Arial" w:cs="Arial" w:eastAsia="Arial" w:hAnsi="Arial"/>
                <w:sz w:val="14"/>
                <w:szCs w:val="14"/>
                <w:color w:val="auto"/>
              </w:rPr>
              <w:t>Q3 2026</w:t>
            </w:r>
          </w:p>
        </w:tc>
        <w:tc>
          <w:tcPr>
            <w:tcW w:w="1480" w:type="dxa"/>
            <w:vAlign w:val="bottom"/>
            <w:gridSpan w:val="5"/>
          </w:tcPr>
          <w:p>
            <w:pPr>
              <w:jc w:val="right"/>
              <w:ind w:right="28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5"/>
          </w:tcPr>
          <w:p>
            <w:pPr>
              <w:jc w:val="right"/>
              <w:ind w:right="26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6"/>
          </w:tcPr>
          <w:p>
            <w:pPr>
              <w:jc w:val="right"/>
              <w:ind w:right="26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220"/>
        </w:trPr>
        <w:tc>
          <w:tcPr>
            <w:tcW w:w="40" w:type="dxa"/>
            <w:vAlign w:val="bottom"/>
          </w:tcPr>
          <w:p>
            <w:pPr>
              <w:spacing w:after="0"/>
              <w:rPr>
                <w:sz w:val="19"/>
                <w:szCs w:val="19"/>
                <w:color w:val="auto"/>
              </w:rPr>
            </w:pPr>
          </w:p>
        </w:tc>
        <w:tc>
          <w:tcPr>
            <w:tcW w:w="1640" w:type="dxa"/>
            <w:vAlign w:val="bottom"/>
            <w:gridSpan w:val="6"/>
          </w:tcPr>
          <w:p>
            <w:pPr>
              <w:jc w:val="center"/>
              <w:ind w:right="200"/>
              <w:spacing w:after="0"/>
              <w:rPr>
                <w:sz w:val="20"/>
                <w:szCs w:val="20"/>
                <w:color w:val="auto"/>
              </w:rPr>
            </w:pPr>
            <w:r>
              <w:rPr>
                <w:rFonts w:ascii="Arial" w:cs="Arial" w:eastAsia="Arial" w:hAnsi="Arial"/>
                <w:sz w:val="14"/>
                <w:szCs w:val="14"/>
                <w:color w:val="auto"/>
              </w:rPr>
              <w:t>Q4 2026</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17,039</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17,039</w:t>
            </w:r>
          </w:p>
        </w:tc>
        <w:tc>
          <w:tcPr>
            <w:tcW w:w="40" w:type="dxa"/>
            <w:vAlign w:val="bottom"/>
            <w:tcBorders>
              <w:bottom w:val="single" w:sz="8" w:color="auto"/>
            </w:tcBorders>
          </w:tcPr>
          <w:p>
            <w:pPr>
              <w:spacing w:after="0"/>
              <w:rPr>
                <w:sz w:val="19"/>
                <w:szCs w:val="19"/>
                <w:color w:val="auto"/>
              </w:rPr>
            </w:pPr>
          </w:p>
        </w:tc>
        <w:tc>
          <w:tcPr>
            <w:tcW w:w="160" w:type="dxa"/>
            <w:vAlign w:val="bottom"/>
            <w:gridSpan w:val="2"/>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912,174</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53.53</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gridSpan w:val="3"/>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912,174</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53.53</w:t>
            </w:r>
          </w:p>
        </w:tc>
        <w:tc>
          <w:tcPr>
            <w:tcW w:w="60" w:type="dxa"/>
            <w:vAlign w:val="bottom"/>
          </w:tcPr>
          <w:p>
            <w:pPr>
              <w:spacing w:after="0"/>
              <w:rPr>
                <w:sz w:val="19"/>
                <w:szCs w:val="19"/>
                <w:color w:val="auto"/>
              </w:rPr>
            </w:pPr>
          </w:p>
        </w:tc>
      </w:tr>
      <w:tr>
        <w:trPr>
          <w:trHeight w:val="214"/>
        </w:trPr>
        <w:tc>
          <w:tcPr>
            <w:tcW w:w="40" w:type="dxa"/>
            <w:vAlign w:val="bottom"/>
          </w:tcPr>
          <w:p>
            <w:pPr>
              <w:spacing w:after="0"/>
              <w:rPr>
                <w:sz w:val="18"/>
                <w:szCs w:val="18"/>
                <w:color w:val="auto"/>
              </w:rPr>
            </w:pPr>
          </w:p>
        </w:tc>
        <w:tc>
          <w:tcPr>
            <w:tcW w:w="1640" w:type="dxa"/>
            <w:vAlign w:val="bottom"/>
            <w:gridSpan w:val="6"/>
          </w:tcPr>
          <w:p>
            <w:pPr>
              <w:jc w:val="center"/>
              <w:ind w:right="180"/>
              <w:spacing w:after="0"/>
              <w:rPr>
                <w:sz w:val="20"/>
                <w:szCs w:val="20"/>
                <w:color w:val="auto"/>
              </w:rPr>
            </w:pPr>
            <w:r>
              <w:rPr>
                <w:rFonts w:ascii="Arial" w:cs="Arial" w:eastAsia="Arial" w:hAnsi="Arial"/>
                <w:sz w:val="14"/>
                <w:szCs w:val="14"/>
                <w:color w:val="auto"/>
                <w:w w:val="99"/>
              </w:rPr>
              <w:t>Total 2026</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17,039</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17,039</w:t>
            </w:r>
          </w:p>
        </w:tc>
        <w:tc>
          <w:tcPr>
            <w:tcW w:w="40" w:type="dxa"/>
            <w:vAlign w:val="bottom"/>
            <w:tcBorders>
              <w:bottom w:val="single" w:sz="8" w:color="auto"/>
            </w:tcBorders>
          </w:tcPr>
          <w:p>
            <w:pPr>
              <w:spacing w:after="0"/>
              <w:rPr>
                <w:sz w:val="18"/>
                <w:szCs w:val="18"/>
                <w:color w:val="auto"/>
              </w:rPr>
            </w:pPr>
          </w:p>
        </w:tc>
        <w:tc>
          <w:tcPr>
            <w:tcW w:w="160" w:type="dxa"/>
            <w:vAlign w:val="bottom"/>
            <w:gridSpan w:val="2"/>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912,174</w:t>
            </w:r>
          </w:p>
        </w:tc>
        <w:tc>
          <w:tcPr>
            <w:tcW w:w="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53.53</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gridSpan w:val="3"/>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912,174</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53.53</w:t>
            </w:r>
          </w:p>
        </w:tc>
        <w:tc>
          <w:tcPr>
            <w:tcW w:w="6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7"/>
        </w:trPr>
        <w:tc>
          <w:tcPr>
            <w:tcW w:w="40" w:type="dxa"/>
            <w:vAlign w:val="bottom"/>
          </w:tcPr>
          <w:p>
            <w:pPr>
              <w:spacing w:after="0"/>
              <w:rPr>
                <w:sz w:val="24"/>
                <w:szCs w:val="24"/>
                <w:color w:val="auto"/>
              </w:rPr>
            </w:pPr>
          </w:p>
        </w:tc>
        <w:tc>
          <w:tcPr>
            <w:tcW w:w="1780" w:type="dxa"/>
            <w:vAlign w:val="bottom"/>
            <w:gridSpan w:val="7"/>
          </w:tcPr>
          <w:p>
            <w:pPr>
              <w:jc w:val="center"/>
              <w:ind w:right="340"/>
              <w:spacing w:after="0"/>
              <w:rPr>
                <w:sz w:val="20"/>
                <w:szCs w:val="20"/>
                <w:color w:val="auto"/>
              </w:rPr>
            </w:pPr>
            <w:r>
              <w:rPr>
                <w:rFonts w:ascii="Arial" w:cs="Arial" w:eastAsia="Arial" w:hAnsi="Arial"/>
                <w:sz w:val="14"/>
                <w:szCs w:val="14"/>
                <w:color w:val="auto"/>
              </w:rPr>
              <w:t>Q1 2027</w:t>
            </w:r>
          </w:p>
        </w:tc>
        <w:tc>
          <w:tcPr>
            <w:tcW w:w="1240" w:type="dxa"/>
            <w:vAlign w:val="bottom"/>
          </w:tcPr>
          <w:p>
            <w:pPr>
              <w:jc w:val="right"/>
              <w:spacing w:after="0"/>
              <w:rPr>
                <w:sz w:val="20"/>
                <w:szCs w:val="20"/>
                <w:color w:val="auto"/>
              </w:rPr>
            </w:pPr>
            <w:r>
              <w:rPr>
                <w:rFonts w:ascii="Arial" w:cs="Arial" w:eastAsia="Arial" w:hAnsi="Arial"/>
                <w:sz w:val="14"/>
                <w:szCs w:val="14"/>
                <w:color w:val="auto"/>
              </w:rPr>
              <w:t>13,199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13,199</w:t>
            </w:r>
          </w:p>
        </w:tc>
        <w:tc>
          <w:tcPr>
            <w:tcW w:w="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832,818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63.10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832,818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63.10</w:t>
            </w:r>
          </w:p>
        </w:tc>
        <w:tc>
          <w:tcPr>
            <w:tcW w:w="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780" w:type="dxa"/>
            <w:vAlign w:val="bottom"/>
            <w:gridSpan w:val="7"/>
          </w:tcPr>
          <w:p>
            <w:pPr>
              <w:jc w:val="center"/>
              <w:ind w:right="340"/>
              <w:spacing w:after="0"/>
              <w:rPr>
                <w:sz w:val="20"/>
                <w:szCs w:val="20"/>
                <w:color w:val="auto"/>
              </w:rPr>
            </w:pPr>
            <w:r>
              <w:rPr>
                <w:rFonts w:ascii="Arial" w:cs="Arial" w:eastAsia="Arial" w:hAnsi="Arial"/>
                <w:sz w:val="14"/>
                <w:szCs w:val="14"/>
                <w:color w:val="auto"/>
              </w:rPr>
              <w:t>Q2 2027</w:t>
            </w:r>
          </w:p>
        </w:tc>
        <w:tc>
          <w:tcPr>
            <w:tcW w:w="1240" w:type="dxa"/>
            <w:vAlign w:val="bottom"/>
          </w:tcPr>
          <w:p>
            <w:pPr>
              <w:jc w:val="right"/>
              <w:spacing w:after="0"/>
              <w:rPr>
                <w:sz w:val="20"/>
                <w:szCs w:val="20"/>
                <w:color w:val="auto"/>
              </w:rPr>
            </w:pPr>
            <w:r>
              <w:rPr>
                <w:rFonts w:ascii="Arial" w:cs="Arial" w:eastAsia="Arial" w:hAnsi="Arial"/>
                <w:sz w:val="14"/>
                <w:szCs w:val="14"/>
                <w:color w:val="auto"/>
              </w:rPr>
              <w:t>24,974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24,974</w:t>
            </w:r>
          </w:p>
        </w:tc>
        <w:tc>
          <w:tcPr>
            <w:tcW w:w="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1,390,151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55.66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1,412,052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56.54</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780" w:type="dxa"/>
            <w:vAlign w:val="bottom"/>
            <w:gridSpan w:val="7"/>
          </w:tcPr>
          <w:p>
            <w:pPr>
              <w:jc w:val="center"/>
              <w:ind w:right="340"/>
              <w:spacing w:after="0"/>
              <w:rPr>
                <w:sz w:val="20"/>
                <w:szCs w:val="20"/>
                <w:color w:val="auto"/>
              </w:rPr>
            </w:pPr>
            <w:r>
              <w:rPr>
                <w:rFonts w:ascii="Arial" w:cs="Arial" w:eastAsia="Arial" w:hAnsi="Arial"/>
                <w:sz w:val="14"/>
                <w:szCs w:val="14"/>
                <w:color w:val="auto"/>
              </w:rPr>
              <w:t>Q3 2027</w:t>
            </w:r>
          </w:p>
        </w:tc>
        <w:tc>
          <w:tcPr>
            <w:tcW w:w="1240" w:type="dxa"/>
            <w:vAlign w:val="bottom"/>
          </w:tcPr>
          <w:p>
            <w:pPr>
              <w:jc w:val="right"/>
              <w:spacing w:after="0"/>
              <w:rPr>
                <w:sz w:val="20"/>
                <w:szCs w:val="20"/>
                <w:color w:val="auto"/>
              </w:rPr>
            </w:pPr>
            <w:r>
              <w:rPr>
                <w:rFonts w:ascii="Arial" w:cs="Arial" w:eastAsia="Arial" w:hAnsi="Arial"/>
                <w:sz w:val="14"/>
                <w:szCs w:val="14"/>
                <w:color w:val="auto"/>
              </w:rPr>
              <w:t>78,086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78,086</w:t>
            </w:r>
          </w:p>
        </w:tc>
        <w:tc>
          <w:tcPr>
            <w:tcW w:w="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5,006,291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64.11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5,082,784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65.09</w:t>
            </w:r>
          </w:p>
        </w:tc>
        <w:tc>
          <w:tcPr>
            <w:tcW w:w="6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1640" w:type="dxa"/>
            <w:vAlign w:val="bottom"/>
            <w:gridSpan w:val="6"/>
          </w:tcPr>
          <w:p>
            <w:pPr>
              <w:jc w:val="center"/>
              <w:ind w:right="200"/>
              <w:spacing w:after="0"/>
              <w:rPr>
                <w:sz w:val="20"/>
                <w:szCs w:val="20"/>
                <w:color w:val="auto"/>
              </w:rPr>
            </w:pPr>
            <w:r>
              <w:rPr>
                <w:rFonts w:ascii="Arial" w:cs="Arial" w:eastAsia="Arial" w:hAnsi="Arial"/>
                <w:sz w:val="14"/>
                <w:szCs w:val="14"/>
                <w:color w:val="auto"/>
              </w:rPr>
              <w:t>Q4 2027</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41,210</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41,210</w:t>
            </w:r>
          </w:p>
        </w:tc>
        <w:tc>
          <w:tcPr>
            <w:tcW w:w="40" w:type="dxa"/>
            <w:vAlign w:val="bottom"/>
            <w:tcBorders>
              <w:bottom w:val="single" w:sz="8" w:color="auto"/>
            </w:tcBorders>
          </w:tcPr>
          <w:p>
            <w:pPr>
              <w:spacing w:after="0"/>
              <w:rPr>
                <w:sz w:val="19"/>
                <w:szCs w:val="19"/>
                <w:color w:val="auto"/>
              </w:rPr>
            </w:pPr>
          </w:p>
        </w:tc>
        <w:tc>
          <w:tcPr>
            <w:tcW w:w="160" w:type="dxa"/>
            <w:vAlign w:val="bottom"/>
            <w:gridSpan w:val="2"/>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2,490,963</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60.45</w:t>
            </w: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gridSpan w:val="3"/>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2,570,109</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62.37</w:t>
            </w:r>
          </w:p>
        </w:tc>
        <w:tc>
          <w:tcPr>
            <w:tcW w:w="60" w:type="dxa"/>
            <w:vAlign w:val="bottom"/>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1780" w:type="dxa"/>
            <w:vAlign w:val="bottom"/>
            <w:gridSpan w:val="7"/>
          </w:tcPr>
          <w:p>
            <w:pPr>
              <w:jc w:val="center"/>
              <w:ind w:right="320"/>
              <w:spacing w:after="0"/>
              <w:rPr>
                <w:sz w:val="20"/>
                <w:szCs w:val="20"/>
                <w:color w:val="auto"/>
              </w:rPr>
            </w:pPr>
            <w:r>
              <w:rPr>
                <w:rFonts w:ascii="Arial" w:cs="Arial" w:eastAsia="Arial" w:hAnsi="Arial"/>
                <w:sz w:val="14"/>
                <w:szCs w:val="14"/>
                <w:color w:val="auto"/>
                <w:w w:val="99"/>
              </w:rPr>
              <w:t>Total 2027</w:t>
            </w:r>
          </w:p>
        </w:tc>
        <w:tc>
          <w:tcPr>
            <w:tcW w:w="1240" w:type="dxa"/>
            <w:vAlign w:val="bottom"/>
          </w:tcPr>
          <w:p>
            <w:pPr>
              <w:jc w:val="right"/>
              <w:spacing w:after="0"/>
              <w:rPr>
                <w:sz w:val="20"/>
                <w:szCs w:val="20"/>
                <w:color w:val="auto"/>
              </w:rPr>
            </w:pPr>
            <w:r>
              <w:rPr>
                <w:rFonts w:ascii="Arial" w:cs="Arial" w:eastAsia="Arial" w:hAnsi="Arial"/>
                <w:sz w:val="14"/>
                <w:szCs w:val="14"/>
                <w:color w:val="auto"/>
              </w:rPr>
              <w:t>157,469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157,469</w:t>
            </w:r>
          </w:p>
        </w:tc>
        <w:tc>
          <w:tcPr>
            <w:tcW w:w="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9,720,223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61.73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9,897,763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62.86</w:t>
            </w:r>
          </w:p>
        </w:tc>
        <w:tc>
          <w:tcPr>
            <w:tcW w:w="60" w:type="dxa"/>
            <w:vAlign w:val="bottom"/>
          </w:tcPr>
          <w:p>
            <w:pPr>
              <w:spacing w:after="0"/>
              <w:rPr>
                <w:sz w:val="18"/>
                <w:szCs w:val="18"/>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6"/>
        </w:trPr>
        <w:tc>
          <w:tcPr>
            <w:tcW w:w="1820" w:type="dxa"/>
            <w:vAlign w:val="bottom"/>
            <w:gridSpan w:val="8"/>
          </w:tcPr>
          <w:p>
            <w:pPr>
              <w:spacing w:after="0"/>
              <w:rPr>
                <w:sz w:val="20"/>
                <w:szCs w:val="20"/>
                <w:color w:val="auto"/>
              </w:rPr>
            </w:pPr>
            <w:r>
              <w:rPr>
                <w:rFonts w:ascii="Arial" w:cs="Arial" w:eastAsia="Arial" w:hAnsi="Arial"/>
                <w:sz w:val="14"/>
                <w:szCs w:val="14"/>
                <w:b w:val="1"/>
                <w:bCs w:val="1"/>
                <w:i w:val="1"/>
                <w:iCs w:val="1"/>
                <w:color w:val="auto"/>
              </w:rPr>
              <w:t>RETAIL</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9"/>
        </w:trPr>
        <w:tc>
          <w:tcPr>
            <w:tcW w:w="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01"/>
        </w:trPr>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BXP’s Share</w:t>
            </w: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225"/>
        </w:trPr>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9"/>
          </w:tcPr>
          <w:p>
            <w:pPr>
              <w:jc w:val="center"/>
              <w:ind w:right="60"/>
              <w:spacing w:after="0"/>
              <w:rPr>
                <w:sz w:val="20"/>
                <w:szCs w:val="20"/>
                <w:color w:val="auto"/>
              </w:rPr>
            </w:pPr>
            <w:r>
              <w:rPr>
                <w:rFonts w:ascii="Arial" w:cs="Arial" w:eastAsia="Arial" w:hAnsi="Arial"/>
                <w:sz w:val="13"/>
                <w:szCs w:val="13"/>
                <w:b w:val="1"/>
                <w:bCs w:val="1"/>
                <w:color w:val="auto"/>
              </w:rPr>
              <w:t>Current Annualized Rental Obligations Under</w:t>
            </w:r>
          </w:p>
        </w:tc>
        <w:tc>
          <w:tcPr>
            <w:tcW w:w="120" w:type="dxa"/>
            <w:vAlign w:val="bottom"/>
          </w:tcPr>
          <w:p>
            <w:pPr>
              <w:spacing w:after="0"/>
              <w:rPr>
                <w:sz w:val="19"/>
                <w:szCs w:val="19"/>
                <w:color w:val="auto"/>
              </w:rPr>
            </w:pPr>
          </w:p>
        </w:tc>
        <w:tc>
          <w:tcPr>
            <w:tcW w:w="3020" w:type="dxa"/>
            <w:vAlign w:val="bottom"/>
            <w:tcBorders>
              <w:right w:val="single" w:sz="8" w:color="auto"/>
            </w:tcBorders>
            <w:gridSpan w:val="10"/>
          </w:tcPr>
          <w:p>
            <w:pPr>
              <w:jc w:val="center"/>
              <w:ind w:right="20"/>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Borders>
              <w:right w:val="single" w:sz="8" w:color="auto"/>
            </w:tcBorders>
            <w:gridSpan w:val="5"/>
          </w:tcPr>
          <w:p>
            <w:pPr>
              <w:jc w:val="center"/>
              <w:ind w:right="380"/>
              <w:spacing w:after="0"/>
              <w:rPr>
                <w:sz w:val="20"/>
                <w:szCs w:val="20"/>
                <w:color w:val="auto"/>
              </w:rPr>
            </w:pPr>
            <w:r>
              <w:rPr>
                <w:rFonts w:ascii="Arial" w:cs="Arial" w:eastAsia="Arial" w:hAnsi="Arial"/>
                <w:sz w:val="13"/>
                <w:szCs w:val="13"/>
                <w:b w:val="1"/>
                <w:bCs w:val="1"/>
                <w:color w:val="auto"/>
              </w:rPr>
              <w:t>Rentable Square</w:t>
            </w:r>
          </w:p>
        </w:tc>
        <w:tc>
          <w:tcPr>
            <w:tcW w:w="14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Rentable Square</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rPr>
              <w:t>Expiring Leases</w:t>
            </w:r>
          </w:p>
        </w:tc>
        <w:tc>
          <w:tcPr>
            <w:tcW w:w="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right w:val="single" w:sz="8" w:color="auto"/>
            </w:tcBorders>
            <w:gridSpan w:val="8"/>
          </w:tcPr>
          <w:p>
            <w:pPr>
              <w:jc w:val="center"/>
              <w:ind w:right="60"/>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ind w:left="460"/>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3"/>
          </w:tcPr>
          <w:p>
            <w:pPr>
              <w:spacing w:after="0"/>
              <w:rPr>
                <w:sz w:val="17"/>
                <w:szCs w:val="17"/>
                <w:color w:val="auto"/>
              </w:rPr>
            </w:pPr>
          </w:p>
        </w:tc>
        <w:tc>
          <w:tcPr>
            <w:tcW w:w="160" w:type="dxa"/>
            <w:vAlign w:val="bottom"/>
            <w:tcBorders>
              <w:bottom w:val="single" w:sz="8" w:color="auto"/>
            </w:tcBorders>
            <w:gridSpan w:val="2"/>
          </w:tcPr>
          <w:p>
            <w:pPr>
              <w:spacing w:after="0"/>
              <w:rPr>
                <w:sz w:val="17"/>
                <w:szCs w:val="17"/>
                <w:color w:val="auto"/>
              </w:rPr>
            </w:pPr>
          </w:p>
        </w:tc>
        <w:tc>
          <w:tcPr>
            <w:tcW w:w="12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20" w:type="dxa"/>
            <w:vAlign w:val="bottom"/>
            <w:tcBorders>
              <w:right w:val="single" w:sz="8" w:color="auto"/>
            </w:tcBorders>
            <w:gridSpan w:val="3"/>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gridSpan w:val="2"/>
          </w:tcPr>
          <w:p>
            <w:pPr>
              <w:jc w:val="right"/>
              <w:ind w:right="629"/>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389"/>
              <w:spacing w:after="0"/>
              <w:rPr>
                <w:sz w:val="20"/>
                <w:szCs w:val="20"/>
                <w:color w:val="auto"/>
              </w:rPr>
            </w:pPr>
            <w:r>
              <w:rPr>
                <w:rFonts w:ascii="Arial" w:cs="Arial" w:eastAsia="Arial" w:hAnsi="Arial"/>
                <w:sz w:val="13"/>
                <w:szCs w:val="13"/>
                <w:b w:val="1"/>
                <w:bCs w:val="1"/>
                <w:color w:val="auto"/>
              </w:rPr>
              <w:t>$/PSF</w:t>
            </w:r>
          </w:p>
        </w:tc>
        <w:tc>
          <w:tcPr>
            <w:tcW w:w="6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right"/>
              <w:ind w:right="480"/>
              <w:spacing w:after="0"/>
              <w:rPr>
                <w:sz w:val="20"/>
                <w:szCs w:val="20"/>
                <w:color w:val="auto"/>
              </w:rPr>
            </w:pPr>
            <w:r>
              <w:rPr>
                <w:rFonts w:ascii="Arial" w:cs="Arial" w:eastAsia="Arial" w:hAnsi="Arial"/>
                <w:sz w:val="13"/>
                <w:szCs w:val="13"/>
                <w:b w:val="1"/>
                <w:bCs w:val="1"/>
                <w:color w:val="auto"/>
              </w:rPr>
              <w:t>$/PSF</w:t>
            </w:r>
          </w:p>
        </w:tc>
      </w:tr>
      <w:tr>
        <w:trPr>
          <w:trHeight w:val="201"/>
        </w:trPr>
        <w:tc>
          <w:tcPr>
            <w:tcW w:w="40" w:type="dxa"/>
            <w:vAlign w:val="bottom"/>
          </w:tcPr>
          <w:p>
            <w:pPr>
              <w:spacing w:after="0"/>
              <w:rPr>
                <w:sz w:val="17"/>
                <w:szCs w:val="17"/>
                <w:color w:val="auto"/>
              </w:rPr>
            </w:pPr>
          </w:p>
        </w:tc>
        <w:tc>
          <w:tcPr>
            <w:tcW w:w="1780" w:type="dxa"/>
            <w:vAlign w:val="bottom"/>
            <w:gridSpan w:val="7"/>
          </w:tcPr>
          <w:p>
            <w:pPr>
              <w:jc w:val="center"/>
              <w:ind w:right="380"/>
              <w:spacing w:after="0"/>
              <w:rPr>
                <w:sz w:val="20"/>
                <w:szCs w:val="20"/>
                <w:color w:val="auto"/>
              </w:rPr>
            </w:pPr>
            <w:r>
              <w:rPr>
                <w:rFonts w:ascii="Arial" w:cs="Arial" w:eastAsia="Arial" w:hAnsi="Arial"/>
                <w:sz w:val="14"/>
                <w:szCs w:val="14"/>
                <w:color w:val="auto"/>
              </w:rPr>
              <w:t>Q1 2026</w:t>
            </w:r>
          </w:p>
        </w:tc>
        <w:tc>
          <w:tcPr>
            <w:tcW w:w="148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6"/>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16"/>
        </w:trPr>
        <w:tc>
          <w:tcPr>
            <w:tcW w:w="40" w:type="dxa"/>
            <w:vAlign w:val="bottom"/>
          </w:tcPr>
          <w:p>
            <w:pPr>
              <w:spacing w:after="0"/>
              <w:rPr>
                <w:sz w:val="18"/>
                <w:szCs w:val="18"/>
                <w:color w:val="auto"/>
              </w:rPr>
            </w:pPr>
          </w:p>
        </w:tc>
        <w:tc>
          <w:tcPr>
            <w:tcW w:w="1780" w:type="dxa"/>
            <w:vAlign w:val="bottom"/>
            <w:gridSpan w:val="7"/>
          </w:tcPr>
          <w:p>
            <w:pPr>
              <w:jc w:val="center"/>
              <w:ind w:right="380"/>
              <w:spacing w:after="0"/>
              <w:rPr>
                <w:sz w:val="20"/>
                <w:szCs w:val="20"/>
                <w:color w:val="auto"/>
              </w:rPr>
            </w:pPr>
            <w:r>
              <w:rPr>
                <w:rFonts w:ascii="Arial" w:cs="Arial" w:eastAsia="Arial" w:hAnsi="Arial"/>
                <w:sz w:val="14"/>
                <w:szCs w:val="14"/>
                <w:color w:val="auto"/>
              </w:rPr>
              <w:t>Q2 2026</w:t>
            </w:r>
          </w:p>
        </w:tc>
        <w:tc>
          <w:tcPr>
            <w:tcW w:w="148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6"/>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16"/>
        </w:trPr>
        <w:tc>
          <w:tcPr>
            <w:tcW w:w="40" w:type="dxa"/>
            <w:vAlign w:val="bottom"/>
          </w:tcPr>
          <w:p>
            <w:pPr>
              <w:spacing w:after="0"/>
              <w:rPr>
                <w:sz w:val="18"/>
                <w:szCs w:val="18"/>
                <w:color w:val="auto"/>
              </w:rPr>
            </w:pPr>
          </w:p>
        </w:tc>
        <w:tc>
          <w:tcPr>
            <w:tcW w:w="1780" w:type="dxa"/>
            <w:vAlign w:val="bottom"/>
            <w:gridSpan w:val="7"/>
          </w:tcPr>
          <w:p>
            <w:pPr>
              <w:jc w:val="center"/>
              <w:ind w:right="380"/>
              <w:spacing w:after="0"/>
              <w:rPr>
                <w:sz w:val="20"/>
                <w:szCs w:val="20"/>
                <w:color w:val="auto"/>
              </w:rPr>
            </w:pPr>
            <w:r>
              <w:rPr>
                <w:rFonts w:ascii="Arial" w:cs="Arial" w:eastAsia="Arial" w:hAnsi="Arial"/>
                <w:sz w:val="14"/>
                <w:szCs w:val="14"/>
                <w:color w:val="auto"/>
              </w:rPr>
              <w:t>Q3 2026</w:t>
            </w:r>
          </w:p>
        </w:tc>
        <w:tc>
          <w:tcPr>
            <w:tcW w:w="148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6"/>
          </w:tcPr>
          <w:p>
            <w:pPr>
              <w:jc w:val="right"/>
              <w:ind w:right="30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r>
      <w:tr>
        <w:trPr>
          <w:trHeight w:val="220"/>
        </w:trPr>
        <w:tc>
          <w:tcPr>
            <w:tcW w:w="40" w:type="dxa"/>
            <w:vAlign w:val="bottom"/>
          </w:tcPr>
          <w:p>
            <w:pPr>
              <w:spacing w:after="0"/>
              <w:rPr>
                <w:sz w:val="19"/>
                <w:szCs w:val="19"/>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color w:val="auto"/>
              </w:rPr>
              <w:t>Q4 2026</w:t>
            </w:r>
          </w:p>
        </w:tc>
        <w:tc>
          <w:tcPr>
            <w:tcW w:w="160" w:type="dxa"/>
            <w:vAlign w:val="bottom"/>
            <w:tcBorders>
              <w:bottom w:val="single" w:sz="8" w:color="auto"/>
            </w:tcBorders>
            <w:gridSpan w:val="2"/>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1,653</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118,748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118,748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71.84</w:t>
            </w:r>
          </w:p>
        </w:tc>
        <w:tc>
          <w:tcPr>
            <w:tcW w:w="60" w:type="dxa"/>
            <w:vAlign w:val="bottom"/>
            <w:tcBorders>
              <w:bottom w:val="single" w:sz="8" w:color="auto"/>
            </w:tcBorders>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color w:val="auto"/>
                <w:w w:val="99"/>
              </w:rPr>
              <w:t>Total 2026</w:t>
            </w:r>
          </w:p>
        </w:tc>
        <w:tc>
          <w:tcPr>
            <w:tcW w:w="160" w:type="dxa"/>
            <w:vAlign w:val="bottom"/>
            <w:tcBorders>
              <w:bottom w:val="single" w:sz="8" w:color="auto"/>
            </w:tcBorders>
            <w:gridSpan w:val="2"/>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1,653</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118,748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118,748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71.84</w:t>
            </w:r>
          </w:p>
        </w:tc>
        <w:tc>
          <w:tcPr>
            <w:tcW w:w="60" w:type="dxa"/>
            <w:vAlign w:val="bottom"/>
            <w:tcBorders>
              <w:bottom w:val="single" w:sz="8" w:color="auto"/>
            </w:tcBorders>
          </w:tcPr>
          <w:p>
            <w:pPr>
              <w:spacing w:after="0"/>
              <w:rPr>
                <w:sz w:val="18"/>
                <w:szCs w:val="18"/>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77"/>
        </w:trPr>
        <w:tc>
          <w:tcPr>
            <w:tcW w:w="40" w:type="dxa"/>
            <w:vAlign w:val="bottom"/>
          </w:tcPr>
          <w:p>
            <w:pPr>
              <w:spacing w:after="0"/>
              <w:rPr>
                <w:sz w:val="24"/>
                <w:szCs w:val="24"/>
                <w:color w:val="auto"/>
              </w:rPr>
            </w:pPr>
          </w:p>
        </w:tc>
        <w:tc>
          <w:tcPr>
            <w:tcW w:w="1780" w:type="dxa"/>
            <w:vAlign w:val="bottom"/>
            <w:gridSpan w:val="7"/>
          </w:tcPr>
          <w:p>
            <w:pPr>
              <w:jc w:val="center"/>
              <w:ind w:right="380"/>
              <w:spacing w:after="0"/>
              <w:rPr>
                <w:sz w:val="20"/>
                <w:szCs w:val="20"/>
                <w:color w:val="auto"/>
              </w:rPr>
            </w:pPr>
            <w:r>
              <w:rPr>
                <w:rFonts w:ascii="Arial" w:cs="Arial" w:eastAsia="Arial" w:hAnsi="Arial"/>
                <w:sz w:val="14"/>
                <w:szCs w:val="14"/>
                <w:color w:val="auto"/>
              </w:rPr>
              <w:t>Q1 2027</w:t>
            </w:r>
          </w:p>
        </w:tc>
        <w:tc>
          <w:tcPr>
            <w:tcW w:w="1240" w:type="dxa"/>
            <w:vAlign w:val="bottom"/>
          </w:tcPr>
          <w:p>
            <w:pPr>
              <w:jc w:val="right"/>
              <w:spacing w:after="0"/>
              <w:rPr>
                <w:sz w:val="20"/>
                <w:szCs w:val="20"/>
                <w:color w:val="auto"/>
              </w:rPr>
            </w:pPr>
            <w:r>
              <w:rPr>
                <w:rFonts w:ascii="Arial" w:cs="Arial" w:eastAsia="Arial" w:hAnsi="Arial"/>
                <w:sz w:val="14"/>
                <w:szCs w:val="14"/>
                <w:color w:val="auto"/>
              </w:rPr>
              <w:t>7,588</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7,588</w:t>
            </w:r>
          </w:p>
        </w:tc>
        <w:tc>
          <w:tcPr>
            <w:tcW w:w="40" w:type="dxa"/>
            <w:vAlign w:val="bottom"/>
          </w:tcPr>
          <w:p>
            <w:pPr>
              <w:spacing w:after="0"/>
              <w:rPr>
                <w:sz w:val="24"/>
                <w:szCs w:val="24"/>
                <w:color w:val="auto"/>
              </w:rPr>
            </w:pPr>
          </w:p>
        </w:tc>
        <w:tc>
          <w:tcPr>
            <w:tcW w:w="1600" w:type="dxa"/>
            <w:vAlign w:val="bottom"/>
            <w:gridSpan w:val="3"/>
          </w:tcPr>
          <w:p>
            <w:pPr>
              <w:jc w:val="right"/>
              <w:ind w:right="9"/>
              <w:spacing w:after="0"/>
              <w:rPr>
                <w:sz w:val="20"/>
                <w:szCs w:val="20"/>
                <w:color w:val="auto"/>
              </w:rPr>
            </w:pPr>
            <w:r>
              <w:rPr>
                <w:rFonts w:ascii="Arial" w:cs="Arial" w:eastAsia="Arial" w:hAnsi="Arial"/>
                <w:sz w:val="14"/>
                <w:szCs w:val="14"/>
                <w:color w:val="auto"/>
              </w:rPr>
              <w:t>439,897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57.97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439,897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57.97</w:t>
            </w:r>
          </w:p>
        </w:tc>
        <w:tc>
          <w:tcPr>
            <w:tcW w:w="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780" w:type="dxa"/>
            <w:vAlign w:val="bottom"/>
            <w:gridSpan w:val="7"/>
          </w:tcPr>
          <w:p>
            <w:pPr>
              <w:jc w:val="center"/>
              <w:ind w:right="380"/>
              <w:spacing w:after="0"/>
              <w:rPr>
                <w:sz w:val="20"/>
                <w:szCs w:val="20"/>
                <w:color w:val="auto"/>
              </w:rPr>
            </w:pPr>
            <w:r>
              <w:rPr>
                <w:rFonts w:ascii="Arial" w:cs="Arial" w:eastAsia="Arial" w:hAnsi="Arial"/>
                <w:sz w:val="14"/>
                <w:szCs w:val="14"/>
                <w:color w:val="auto"/>
              </w:rPr>
              <w:t>Q2 2027</w:t>
            </w:r>
          </w:p>
        </w:tc>
        <w:tc>
          <w:tcPr>
            <w:tcW w:w="1240" w:type="dxa"/>
            <w:vAlign w:val="bottom"/>
          </w:tcPr>
          <w:p>
            <w:pPr>
              <w:jc w:val="right"/>
              <w:spacing w:after="0"/>
              <w:rPr>
                <w:sz w:val="20"/>
                <w:szCs w:val="20"/>
                <w:color w:val="auto"/>
              </w:rPr>
            </w:pPr>
            <w:r>
              <w:rPr>
                <w:rFonts w:ascii="Arial" w:cs="Arial" w:eastAsia="Arial" w:hAnsi="Arial"/>
                <w:sz w:val="14"/>
                <w:szCs w:val="14"/>
                <w:color w:val="auto"/>
              </w:rPr>
              <w:t>1,969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1,969</w:t>
            </w:r>
          </w:p>
        </w:tc>
        <w:tc>
          <w:tcPr>
            <w:tcW w:w="40" w:type="dxa"/>
            <w:vAlign w:val="bottom"/>
          </w:tcPr>
          <w:p>
            <w:pPr>
              <w:spacing w:after="0"/>
              <w:rPr>
                <w:sz w:val="18"/>
                <w:szCs w:val="18"/>
                <w:color w:val="auto"/>
              </w:rPr>
            </w:pPr>
          </w:p>
        </w:tc>
        <w:tc>
          <w:tcPr>
            <w:tcW w:w="1600" w:type="dxa"/>
            <w:vAlign w:val="bottom"/>
            <w:gridSpan w:val="3"/>
          </w:tcPr>
          <w:p>
            <w:pPr>
              <w:jc w:val="right"/>
              <w:ind w:right="9"/>
              <w:spacing w:after="0"/>
              <w:rPr>
                <w:sz w:val="20"/>
                <w:szCs w:val="20"/>
                <w:color w:val="auto"/>
              </w:rPr>
            </w:pPr>
            <w:r>
              <w:rPr>
                <w:rFonts w:ascii="Arial" w:cs="Arial" w:eastAsia="Arial" w:hAnsi="Arial"/>
                <w:sz w:val="14"/>
                <w:szCs w:val="14"/>
                <w:color w:val="auto"/>
              </w:rPr>
              <w:t>119,082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60.48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119,082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60.48</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780" w:type="dxa"/>
            <w:vAlign w:val="bottom"/>
            <w:gridSpan w:val="7"/>
          </w:tcPr>
          <w:p>
            <w:pPr>
              <w:jc w:val="center"/>
              <w:ind w:right="380"/>
              <w:spacing w:after="0"/>
              <w:rPr>
                <w:sz w:val="20"/>
                <w:szCs w:val="20"/>
                <w:color w:val="auto"/>
              </w:rPr>
            </w:pPr>
            <w:r>
              <w:rPr>
                <w:rFonts w:ascii="Arial" w:cs="Arial" w:eastAsia="Arial" w:hAnsi="Arial"/>
                <w:sz w:val="14"/>
                <w:szCs w:val="14"/>
                <w:color w:val="auto"/>
              </w:rPr>
              <w:t>Q3 2027</w:t>
            </w:r>
          </w:p>
        </w:tc>
        <w:tc>
          <w:tcPr>
            <w:tcW w:w="1240" w:type="dxa"/>
            <w:vAlign w:val="bottom"/>
          </w:tcPr>
          <w:p>
            <w:pPr>
              <w:jc w:val="right"/>
              <w:spacing w:after="0"/>
              <w:rPr>
                <w:sz w:val="20"/>
                <w:szCs w:val="20"/>
                <w:color w:val="auto"/>
              </w:rPr>
            </w:pPr>
            <w:r>
              <w:rPr>
                <w:rFonts w:ascii="Arial" w:cs="Arial" w:eastAsia="Arial" w:hAnsi="Arial"/>
                <w:sz w:val="14"/>
                <w:szCs w:val="14"/>
                <w:color w:val="auto"/>
              </w:rPr>
              <w:t>8,733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8,733</w:t>
            </w:r>
          </w:p>
        </w:tc>
        <w:tc>
          <w:tcPr>
            <w:tcW w:w="40" w:type="dxa"/>
            <w:vAlign w:val="bottom"/>
          </w:tcPr>
          <w:p>
            <w:pPr>
              <w:spacing w:after="0"/>
              <w:rPr>
                <w:sz w:val="18"/>
                <w:szCs w:val="18"/>
                <w:color w:val="auto"/>
              </w:rPr>
            </w:pPr>
          </w:p>
        </w:tc>
        <w:tc>
          <w:tcPr>
            <w:tcW w:w="1600" w:type="dxa"/>
            <w:vAlign w:val="bottom"/>
            <w:gridSpan w:val="3"/>
          </w:tcPr>
          <w:p>
            <w:pPr>
              <w:jc w:val="right"/>
              <w:ind w:right="9"/>
              <w:spacing w:after="0"/>
              <w:rPr>
                <w:sz w:val="20"/>
                <w:szCs w:val="20"/>
                <w:color w:val="auto"/>
              </w:rPr>
            </w:pPr>
            <w:r>
              <w:rPr>
                <w:rFonts w:ascii="Arial" w:cs="Arial" w:eastAsia="Arial" w:hAnsi="Arial"/>
                <w:sz w:val="14"/>
                <w:szCs w:val="14"/>
                <w:color w:val="auto"/>
              </w:rPr>
              <w:t>339,837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38.91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343,166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39.30</w:t>
            </w:r>
          </w:p>
        </w:tc>
        <w:tc>
          <w:tcPr>
            <w:tcW w:w="6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1620" w:type="dxa"/>
            <w:vAlign w:val="bottom"/>
            <w:gridSpan w:val="5"/>
          </w:tcPr>
          <w:p>
            <w:pPr>
              <w:jc w:val="center"/>
              <w:ind w:right="220"/>
              <w:spacing w:after="0"/>
              <w:rPr>
                <w:sz w:val="20"/>
                <w:szCs w:val="20"/>
                <w:color w:val="auto"/>
              </w:rPr>
            </w:pPr>
            <w:r>
              <w:rPr>
                <w:rFonts w:ascii="Arial" w:cs="Arial" w:eastAsia="Arial" w:hAnsi="Arial"/>
                <w:sz w:val="14"/>
                <w:szCs w:val="14"/>
                <w:color w:val="auto"/>
              </w:rPr>
              <w:t>Q4 2027</w:t>
            </w:r>
          </w:p>
        </w:tc>
        <w:tc>
          <w:tcPr>
            <w:tcW w:w="160" w:type="dxa"/>
            <w:vAlign w:val="bottom"/>
            <w:tcBorders>
              <w:bottom w:val="single" w:sz="8" w:color="auto"/>
            </w:tcBorders>
            <w:gridSpan w:val="2"/>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color w:val="auto"/>
              </w:rPr>
              <w:t>42,000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42,000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50.60</w:t>
            </w:r>
          </w:p>
        </w:tc>
        <w:tc>
          <w:tcPr>
            <w:tcW w:w="60" w:type="dxa"/>
            <w:vAlign w:val="bottom"/>
            <w:tcBorders>
              <w:bottom w:val="single" w:sz="8" w:color="auto"/>
            </w:tcBorders>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1780" w:type="dxa"/>
            <w:vAlign w:val="bottom"/>
            <w:gridSpan w:val="7"/>
          </w:tcPr>
          <w:p>
            <w:pPr>
              <w:jc w:val="center"/>
              <w:ind w:right="400"/>
              <w:spacing w:after="0"/>
              <w:rPr>
                <w:sz w:val="20"/>
                <w:szCs w:val="20"/>
                <w:color w:val="auto"/>
              </w:rPr>
            </w:pPr>
            <w:r>
              <w:rPr>
                <w:rFonts w:ascii="Arial" w:cs="Arial" w:eastAsia="Arial" w:hAnsi="Arial"/>
                <w:sz w:val="14"/>
                <w:szCs w:val="14"/>
                <w:color w:val="auto"/>
                <w:w w:val="99"/>
              </w:rPr>
              <w:t>Total 2027</w:t>
            </w:r>
          </w:p>
        </w:tc>
        <w:tc>
          <w:tcPr>
            <w:tcW w:w="1240" w:type="dxa"/>
            <w:vAlign w:val="bottom"/>
          </w:tcPr>
          <w:p>
            <w:pPr>
              <w:jc w:val="right"/>
              <w:spacing w:after="0"/>
              <w:rPr>
                <w:sz w:val="20"/>
                <w:szCs w:val="20"/>
                <w:color w:val="auto"/>
              </w:rPr>
            </w:pPr>
            <w:r>
              <w:rPr>
                <w:rFonts w:ascii="Arial" w:cs="Arial" w:eastAsia="Arial" w:hAnsi="Arial"/>
                <w:sz w:val="14"/>
                <w:szCs w:val="14"/>
                <w:color w:val="auto"/>
              </w:rPr>
              <w:t>19,120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19,120</w:t>
            </w:r>
          </w:p>
        </w:tc>
        <w:tc>
          <w:tcPr>
            <w:tcW w:w="40" w:type="dxa"/>
            <w:vAlign w:val="bottom"/>
          </w:tcPr>
          <w:p>
            <w:pPr>
              <w:spacing w:after="0"/>
              <w:rPr>
                <w:sz w:val="18"/>
                <w:szCs w:val="18"/>
                <w:color w:val="auto"/>
              </w:rPr>
            </w:pPr>
          </w:p>
        </w:tc>
        <w:tc>
          <w:tcPr>
            <w:tcW w:w="1600" w:type="dxa"/>
            <w:vAlign w:val="bottom"/>
            <w:gridSpan w:val="3"/>
          </w:tcPr>
          <w:p>
            <w:pPr>
              <w:jc w:val="right"/>
              <w:ind w:right="9"/>
              <w:spacing w:after="0"/>
              <w:rPr>
                <w:sz w:val="20"/>
                <w:szCs w:val="20"/>
                <w:color w:val="auto"/>
              </w:rPr>
            </w:pPr>
            <w:r>
              <w:rPr>
                <w:rFonts w:ascii="Arial" w:cs="Arial" w:eastAsia="Arial" w:hAnsi="Arial"/>
                <w:sz w:val="14"/>
                <w:szCs w:val="14"/>
                <w:color w:val="auto"/>
              </w:rPr>
              <w:t>940,817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944,145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49.38</w:t>
            </w:r>
          </w:p>
        </w:tc>
        <w:tc>
          <w:tcPr>
            <w:tcW w:w="60" w:type="dxa"/>
            <w:vAlign w:val="bottom"/>
          </w:tcPr>
          <w:p>
            <w:pPr>
              <w:spacing w:after="0"/>
              <w:rPr>
                <w:sz w:val="18"/>
                <w:szCs w:val="18"/>
                <w:color w:val="auto"/>
              </w:rPr>
            </w:pPr>
          </w:p>
        </w:tc>
      </w:tr>
      <w:tr>
        <w:trPr>
          <w:trHeight w:val="21"/>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r>
        <w:trPr>
          <w:trHeight w:val="626"/>
        </w:trPr>
        <w:tc>
          <w:tcPr>
            <w:tcW w:w="1820" w:type="dxa"/>
            <w:vAlign w:val="bottom"/>
            <w:gridSpan w:val="8"/>
          </w:tcPr>
          <w:p>
            <w:pPr>
              <w:spacing w:after="0"/>
              <w:rPr>
                <w:sz w:val="20"/>
                <w:szCs w:val="20"/>
                <w:color w:val="auto"/>
              </w:rPr>
            </w:pPr>
            <w:r>
              <w:rPr>
                <w:rFonts w:ascii="Arial" w:cs="Arial" w:eastAsia="Arial" w:hAnsi="Arial"/>
                <w:sz w:val="14"/>
                <w:szCs w:val="14"/>
                <w:b w:val="1"/>
                <w:bCs w:val="1"/>
                <w:i w:val="1"/>
                <w:iCs w:val="1"/>
                <w:color w:val="auto"/>
              </w:rPr>
              <w:t>TOTAL PROPERTY TYPES</w:t>
            </w: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0"/>
        </w:trPr>
        <w:tc>
          <w:tcPr>
            <w:tcW w:w="4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00"/>
        </w:trPr>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3"/>
          </w:tcPr>
          <w:p>
            <w:pPr>
              <w:ind w:left="160"/>
              <w:spacing w:after="0"/>
              <w:rPr>
                <w:sz w:val="20"/>
                <w:szCs w:val="20"/>
                <w:color w:val="auto"/>
              </w:rPr>
            </w:pPr>
            <w:r>
              <w:rPr>
                <w:rFonts w:ascii="Arial" w:cs="Arial" w:eastAsia="Arial" w:hAnsi="Arial"/>
                <w:sz w:val="13"/>
                <w:szCs w:val="13"/>
                <w:b w:val="1"/>
                <w:bCs w:val="1"/>
                <w:color w:val="auto"/>
              </w:rPr>
              <w:t>BXP’s Share</w:t>
            </w: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225"/>
        </w:trPr>
        <w:tc>
          <w:tcPr>
            <w:tcW w:w="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1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9"/>
          </w:tcPr>
          <w:p>
            <w:pPr>
              <w:jc w:val="center"/>
              <w:ind w:right="40"/>
              <w:spacing w:after="0"/>
              <w:rPr>
                <w:sz w:val="20"/>
                <w:szCs w:val="20"/>
                <w:color w:val="auto"/>
              </w:rPr>
            </w:pPr>
            <w:r>
              <w:rPr>
                <w:rFonts w:ascii="Arial" w:cs="Arial" w:eastAsia="Arial" w:hAnsi="Arial"/>
                <w:sz w:val="13"/>
                <w:szCs w:val="13"/>
                <w:b w:val="1"/>
                <w:bCs w:val="1"/>
                <w:color w:val="auto"/>
              </w:rPr>
              <w:t>Current Annualized Rental Obligations Under</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60" w:type="dxa"/>
            <w:vAlign w:val="bottom"/>
            <w:tcBorders>
              <w:right w:val="single" w:sz="8" w:color="auto"/>
            </w:tcBorders>
            <w:gridSpan w:val="8"/>
          </w:tcPr>
          <w:p>
            <w:pPr>
              <w:jc w:val="center"/>
              <w:ind w:right="60"/>
              <w:spacing w:after="0"/>
              <w:rPr>
                <w:sz w:val="20"/>
                <w:szCs w:val="20"/>
                <w:color w:val="auto"/>
              </w:rPr>
            </w:pPr>
            <w:r>
              <w:rPr>
                <w:rFonts w:ascii="Arial" w:cs="Arial" w:eastAsia="Arial" w:hAnsi="Arial"/>
                <w:sz w:val="13"/>
                <w:szCs w:val="13"/>
                <w:b w:val="1"/>
                <w:bCs w:val="1"/>
                <w:color w:val="auto"/>
              </w:rPr>
              <w:t>Annualized Rental Obligations Under</w:t>
            </w:r>
          </w:p>
        </w:tc>
      </w:tr>
      <w:tr>
        <w:trPr>
          <w:trHeight w:val="186"/>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Borders>
              <w:right w:val="single" w:sz="8" w:color="auto"/>
            </w:tcBorders>
            <w:gridSpan w:val="5"/>
          </w:tcPr>
          <w:p>
            <w:pPr>
              <w:jc w:val="center"/>
              <w:ind w:right="420"/>
              <w:spacing w:after="0"/>
              <w:rPr>
                <w:sz w:val="20"/>
                <w:szCs w:val="20"/>
                <w:color w:val="auto"/>
              </w:rPr>
            </w:pPr>
            <w:r>
              <w:rPr>
                <w:rFonts w:ascii="Arial" w:cs="Arial" w:eastAsia="Arial" w:hAnsi="Arial"/>
                <w:sz w:val="13"/>
                <w:szCs w:val="13"/>
                <w:b w:val="1"/>
                <w:bCs w:val="1"/>
                <w:color w:val="auto"/>
              </w:rPr>
              <w:t>Rentable Square</w:t>
            </w:r>
          </w:p>
        </w:tc>
        <w:tc>
          <w:tcPr>
            <w:tcW w:w="14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Rentable Square</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3"/>
                <w:szCs w:val="13"/>
                <w:b w:val="1"/>
                <w:bCs w:val="1"/>
                <w:color w:val="auto"/>
              </w:rPr>
              <w:t>Expiring Leases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960" w:type="dxa"/>
            <w:vAlign w:val="bottom"/>
            <w:tcBorders>
              <w:bottom w:val="single" w:sz="8" w:color="auto"/>
              <w:right w:val="single" w:sz="8" w:color="auto"/>
            </w:tcBorders>
            <w:gridSpan w:val="8"/>
          </w:tcPr>
          <w:p>
            <w:pPr>
              <w:jc w:val="center"/>
              <w:ind w:right="80"/>
              <w:spacing w:after="0"/>
              <w:rPr>
                <w:sz w:val="20"/>
                <w:szCs w:val="20"/>
                <w:color w:val="auto"/>
              </w:rPr>
            </w:pPr>
            <w:r>
              <w:rPr>
                <w:rFonts w:ascii="Arial" w:cs="Arial" w:eastAsia="Arial" w:hAnsi="Arial"/>
                <w:sz w:val="13"/>
                <w:szCs w:val="13"/>
                <w:b w:val="1"/>
                <w:bCs w:val="1"/>
                <w:color w:val="auto"/>
              </w:rPr>
              <w:t>Expiring Leases with future step-ups</w:t>
            </w:r>
          </w:p>
        </w:tc>
      </w:tr>
      <w:tr>
        <w:trPr>
          <w:trHeight w:val="199"/>
        </w:trPr>
        <w:tc>
          <w:tcPr>
            <w:tcW w:w="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Quarter</w:t>
            </w:r>
          </w:p>
        </w:tc>
        <w:tc>
          <w:tcPr>
            <w:tcW w:w="180" w:type="dxa"/>
            <w:vAlign w:val="bottom"/>
            <w:gridSpan w:val="3"/>
          </w:tcPr>
          <w:p>
            <w:pPr>
              <w:spacing w:after="0"/>
              <w:rPr>
                <w:sz w:val="17"/>
                <w:szCs w:val="17"/>
                <w:color w:val="auto"/>
              </w:rPr>
            </w:pPr>
          </w:p>
        </w:tc>
        <w:tc>
          <w:tcPr>
            <w:tcW w:w="180" w:type="dxa"/>
            <w:vAlign w:val="bottom"/>
            <w:tcBorders>
              <w:bottom w:val="single" w:sz="8" w:color="auto"/>
            </w:tcBorders>
            <w:gridSpan w:val="3"/>
          </w:tcPr>
          <w:p>
            <w:pPr>
              <w:spacing w:after="0"/>
              <w:rPr>
                <w:sz w:val="17"/>
                <w:szCs w:val="17"/>
                <w:color w:val="auto"/>
              </w:rPr>
            </w:pPr>
          </w:p>
        </w:tc>
        <w:tc>
          <w:tcPr>
            <w:tcW w:w="124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240" w:type="dxa"/>
            <w:vAlign w:val="bottom"/>
            <w:tcBorders>
              <w:right w:val="single" w:sz="8" w:color="auto"/>
            </w:tcBorders>
            <w:gridSpan w:val="4"/>
          </w:tcPr>
          <w:p>
            <w:pPr>
              <w:spacing w:after="0"/>
              <w:rPr>
                <w:sz w:val="17"/>
                <w:szCs w:val="17"/>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gridSpan w:val="2"/>
          </w:tcPr>
          <w:p>
            <w:pPr>
              <w:jc w:val="right"/>
              <w:ind w:right="629"/>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ind w:left="440"/>
              <w:spacing w:after="0"/>
              <w:rPr>
                <w:sz w:val="20"/>
                <w:szCs w:val="20"/>
                <w:color w:val="auto"/>
              </w:rPr>
            </w:pPr>
            <w:r>
              <w:rPr>
                <w:rFonts w:ascii="Arial" w:cs="Arial" w:eastAsia="Arial" w:hAnsi="Arial"/>
                <w:sz w:val="13"/>
                <w:szCs w:val="13"/>
                <w:b w:val="1"/>
                <w:bCs w:val="1"/>
                <w:color w:val="auto"/>
              </w:rPr>
              <w:t>$/PSF</w:t>
            </w:r>
          </w:p>
        </w:tc>
        <w:tc>
          <w:tcPr>
            <w:tcW w:w="4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1460" w:type="dxa"/>
            <w:vAlign w:val="bottom"/>
            <w:tcBorders>
              <w:bottom w:val="single" w:sz="8" w:color="auto"/>
            </w:tcBorders>
            <w:gridSpan w:val="2"/>
          </w:tcPr>
          <w:p>
            <w:pPr>
              <w:jc w:val="right"/>
              <w:ind w:right="610"/>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80" w:type="dxa"/>
            <w:vAlign w:val="bottom"/>
            <w:tcBorders>
              <w:bottom w:val="single" w:sz="8" w:color="auto"/>
              <w:right w:val="single" w:sz="8" w:color="auto"/>
            </w:tcBorders>
            <w:gridSpan w:val="2"/>
          </w:tcPr>
          <w:p>
            <w:pPr>
              <w:jc w:val="right"/>
              <w:ind w:right="480"/>
              <w:spacing w:after="0"/>
              <w:rPr>
                <w:sz w:val="20"/>
                <w:szCs w:val="20"/>
                <w:color w:val="auto"/>
              </w:rPr>
            </w:pPr>
            <w:r>
              <w:rPr>
                <w:rFonts w:ascii="Arial" w:cs="Arial" w:eastAsia="Arial" w:hAnsi="Arial"/>
                <w:sz w:val="13"/>
                <w:szCs w:val="13"/>
                <w:b w:val="1"/>
                <w:bCs w:val="1"/>
                <w:color w:val="auto"/>
              </w:rPr>
              <w:t>$/PSF</w:t>
            </w:r>
          </w:p>
        </w:tc>
      </w:tr>
      <w:tr>
        <w:trPr>
          <w:trHeight w:val="201"/>
        </w:trPr>
        <w:tc>
          <w:tcPr>
            <w:tcW w:w="40" w:type="dxa"/>
            <w:vAlign w:val="bottom"/>
          </w:tcPr>
          <w:p>
            <w:pPr>
              <w:spacing w:after="0"/>
              <w:rPr>
                <w:sz w:val="17"/>
                <w:szCs w:val="17"/>
                <w:color w:val="auto"/>
              </w:rPr>
            </w:pPr>
          </w:p>
        </w:tc>
        <w:tc>
          <w:tcPr>
            <w:tcW w:w="1780" w:type="dxa"/>
            <w:vAlign w:val="bottom"/>
            <w:gridSpan w:val="7"/>
          </w:tcPr>
          <w:p>
            <w:pPr>
              <w:jc w:val="center"/>
              <w:ind w:right="400"/>
              <w:spacing w:after="0"/>
              <w:rPr>
                <w:sz w:val="20"/>
                <w:szCs w:val="20"/>
                <w:color w:val="auto"/>
              </w:rPr>
            </w:pPr>
            <w:r>
              <w:rPr>
                <w:rFonts w:ascii="Arial" w:cs="Arial" w:eastAsia="Arial" w:hAnsi="Arial"/>
                <w:sz w:val="14"/>
                <w:szCs w:val="14"/>
                <w:color w:val="auto"/>
              </w:rPr>
              <w:t>Q1 2026</w:t>
            </w:r>
          </w:p>
        </w:tc>
        <w:tc>
          <w:tcPr>
            <w:tcW w:w="148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60" w:type="dxa"/>
            <w:vAlign w:val="bottom"/>
            <w:gridSpan w:val="5"/>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gridSpan w:val="6"/>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16"/>
        </w:trPr>
        <w:tc>
          <w:tcPr>
            <w:tcW w:w="40" w:type="dxa"/>
            <w:vAlign w:val="bottom"/>
          </w:tcPr>
          <w:p>
            <w:pPr>
              <w:spacing w:after="0"/>
              <w:rPr>
                <w:sz w:val="18"/>
                <w:szCs w:val="18"/>
                <w:color w:val="auto"/>
              </w:rPr>
            </w:pPr>
          </w:p>
        </w:tc>
        <w:tc>
          <w:tcPr>
            <w:tcW w:w="1780" w:type="dxa"/>
            <w:vAlign w:val="bottom"/>
            <w:gridSpan w:val="7"/>
          </w:tcPr>
          <w:p>
            <w:pPr>
              <w:jc w:val="center"/>
              <w:ind w:right="400"/>
              <w:spacing w:after="0"/>
              <w:rPr>
                <w:sz w:val="20"/>
                <w:szCs w:val="20"/>
                <w:color w:val="auto"/>
              </w:rPr>
            </w:pPr>
            <w:r>
              <w:rPr>
                <w:rFonts w:ascii="Arial" w:cs="Arial" w:eastAsia="Arial" w:hAnsi="Arial"/>
                <w:sz w:val="14"/>
                <w:szCs w:val="14"/>
                <w:color w:val="auto"/>
              </w:rPr>
              <w:t>Q2 2026</w:t>
            </w:r>
          </w:p>
        </w:tc>
        <w:tc>
          <w:tcPr>
            <w:tcW w:w="148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5"/>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6"/>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16"/>
        </w:trPr>
        <w:tc>
          <w:tcPr>
            <w:tcW w:w="40" w:type="dxa"/>
            <w:vAlign w:val="bottom"/>
          </w:tcPr>
          <w:p>
            <w:pPr>
              <w:spacing w:after="0"/>
              <w:rPr>
                <w:sz w:val="18"/>
                <w:szCs w:val="18"/>
                <w:color w:val="auto"/>
              </w:rPr>
            </w:pPr>
          </w:p>
        </w:tc>
        <w:tc>
          <w:tcPr>
            <w:tcW w:w="1780" w:type="dxa"/>
            <w:vAlign w:val="bottom"/>
            <w:gridSpan w:val="7"/>
          </w:tcPr>
          <w:p>
            <w:pPr>
              <w:jc w:val="center"/>
              <w:ind w:right="400"/>
              <w:spacing w:after="0"/>
              <w:rPr>
                <w:sz w:val="20"/>
                <w:szCs w:val="20"/>
                <w:color w:val="auto"/>
              </w:rPr>
            </w:pPr>
            <w:r>
              <w:rPr>
                <w:rFonts w:ascii="Arial" w:cs="Arial" w:eastAsia="Arial" w:hAnsi="Arial"/>
                <w:sz w:val="14"/>
                <w:szCs w:val="14"/>
                <w:color w:val="auto"/>
              </w:rPr>
              <w:t>Q3 2026</w:t>
            </w:r>
          </w:p>
        </w:tc>
        <w:tc>
          <w:tcPr>
            <w:tcW w:w="1480" w:type="dxa"/>
            <w:vAlign w:val="bottom"/>
            <w:gridSpan w:val="5"/>
          </w:tcPr>
          <w:p>
            <w:pPr>
              <w:jc w:val="right"/>
              <w:ind w:right="300"/>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gridSpan w:val="5"/>
          </w:tcPr>
          <w:p>
            <w:pPr>
              <w:jc w:val="right"/>
              <w:ind w:right="280"/>
              <w:spacing w:after="0"/>
              <w:rPr>
                <w:sz w:val="20"/>
                <w:szCs w:val="20"/>
                <w:color w:val="auto"/>
              </w:rPr>
            </w:pPr>
            <w:r>
              <w:rPr>
                <w:rFonts w:ascii="Arial" w:cs="Arial" w:eastAsia="Arial" w:hAnsi="Arial"/>
                <w:sz w:val="14"/>
                <w:szCs w:val="14"/>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80" w:type="dxa"/>
            <w:vAlign w:val="bottom"/>
            <w:gridSpan w:val="6"/>
          </w:tcPr>
          <w:p>
            <w:pPr>
              <w:jc w:val="right"/>
              <w:ind w:right="2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220"/>
        </w:trPr>
        <w:tc>
          <w:tcPr>
            <w:tcW w:w="40" w:type="dxa"/>
            <w:vAlign w:val="bottom"/>
          </w:tcPr>
          <w:p>
            <w:pPr>
              <w:spacing w:after="0"/>
              <w:rPr>
                <w:sz w:val="19"/>
                <w:szCs w:val="19"/>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4"/>
                <w:szCs w:val="14"/>
                <w:color w:val="auto"/>
              </w:rPr>
              <w:t>Q4 2026</w:t>
            </w:r>
          </w:p>
        </w:tc>
        <w:tc>
          <w:tcPr>
            <w:tcW w:w="180" w:type="dxa"/>
            <w:vAlign w:val="bottom"/>
            <w:tcBorders>
              <w:bottom w:val="single" w:sz="8" w:color="auto"/>
            </w:tcBorders>
            <w:gridSpan w:val="3"/>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18,692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18,692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1,030,922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1,030,922</w:t>
            </w: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55.15</w:t>
            </w:r>
          </w:p>
        </w:tc>
        <w:tc>
          <w:tcPr>
            <w:tcW w:w="60" w:type="dxa"/>
            <w:vAlign w:val="bottom"/>
            <w:tcBorders>
              <w:bottom w:val="single" w:sz="8" w:color="auto"/>
            </w:tcBorders>
          </w:tcPr>
          <w:p>
            <w:pPr>
              <w:spacing w:after="0"/>
              <w:rPr>
                <w:sz w:val="19"/>
                <w:szCs w:val="19"/>
                <w:color w:val="auto"/>
              </w:rPr>
            </w:pPr>
          </w:p>
        </w:tc>
      </w:tr>
      <w:tr>
        <w:trPr>
          <w:trHeight w:val="214"/>
        </w:trPr>
        <w:tc>
          <w:tcPr>
            <w:tcW w:w="40" w:type="dxa"/>
            <w:vAlign w:val="bottom"/>
          </w:tcPr>
          <w:p>
            <w:pPr>
              <w:spacing w:after="0"/>
              <w:rPr>
                <w:sz w:val="18"/>
                <w:szCs w:val="18"/>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4"/>
                <w:szCs w:val="14"/>
                <w:color w:val="auto"/>
                <w:w w:val="99"/>
              </w:rPr>
              <w:t>Total 2026</w:t>
            </w:r>
          </w:p>
        </w:tc>
        <w:tc>
          <w:tcPr>
            <w:tcW w:w="180" w:type="dxa"/>
            <w:vAlign w:val="bottom"/>
            <w:tcBorders>
              <w:bottom w:val="single" w:sz="8" w:color="auto"/>
            </w:tcBorders>
            <w:gridSpan w:val="3"/>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18,692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1,030,922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55.15</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1,030,922</w:t>
            </w:r>
          </w:p>
        </w:tc>
        <w:tc>
          <w:tcPr>
            <w:tcW w:w="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55.15</w:t>
            </w:r>
          </w:p>
        </w:tc>
        <w:tc>
          <w:tcPr>
            <w:tcW w:w="60" w:type="dxa"/>
            <w:vAlign w:val="bottom"/>
            <w:tcBorders>
              <w:bottom w:val="single" w:sz="8" w:color="auto"/>
            </w:tcBorders>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Borders>
              <w:bottom w:val="single" w:sz="8" w:color="auto"/>
            </w:tcBorders>
            <w:gridSpan w:val="3"/>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377"/>
        </w:trPr>
        <w:tc>
          <w:tcPr>
            <w:tcW w:w="40" w:type="dxa"/>
            <w:vAlign w:val="bottom"/>
          </w:tcPr>
          <w:p>
            <w:pPr>
              <w:spacing w:after="0"/>
              <w:rPr>
                <w:sz w:val="24"/>
                <w:szCs w:val="24"/>
                <w:color w:val="auto"/>
              </w:rPr>
            </w:pPr>
          </w:p>
        </w:tc>
        <w:tc>
          <w:tcPr>
            <w:tcW w:w="1780" w:type="dxa"/>
            <w:vAlign w:val="bottom"/>
            <w:gridSpan w:val="7"/>
          </w:tcPr>
          <w:p>
            <w:pPr>
              <w:jc w:val="center"/>
              <w:ind w:right="400"/>
              <w:spacing w:after="0"/>
              <w:rPr>
                <w:sz w:val="20"/>
                <w:szCs w:val="20"/>
                <w:color w:val="auto"/>
              </w:rPr>
            </w:pPr>
            <w:r>
              <w:rPr>
                <w:rFonts w:ascii="Arial" w:cs="Arial" w:eastAsia="Arial" w:hAnsi="Arial"/>
                <w:sz w:val="14"/>
                <w:szCs w:val="14"/>
                <w:color w:val="auto"/>
              </w:rPr>
              <w:t>Q1 2027</w:t>
            </w:r>
          </w:p>
        </w:tc>
        <w:tc>
          <w:tcPr>
            <w:tcW w:w="1240" w:type="dxa"/>
            <w:vAlign w:val="bottom"/>
          </w:tcPr>
          <w:p>
            <w:pPr>
              <w:jc w:val="right"/>
              <w:spacing w:after="0"/>
              <w:rPr>
                <w:sz w:val="20"/>
                <w:szCs w:val="20"/>
                <w:color w:val="auto"/>
              </w:rPr>
            </w:pPr>
            <w:r>
              <w:rPr>
                <w:rFonts w:ascii="Arial" w:cs="Arial" w:eastAsia="Arial" w:hAnsi="Arial"/>
                <w:sz w:val="14"/>
                <w:szCs w:val="14"/>
                <w:color w:val="auto"/>
              </w:rPr>
              <w:t>20,787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20,787</w:t>
            </w:r>
          </w:p>
        </w:tc>
        <w:tc>
          <w:tcPr>
            <w:tcW w:w="40" w:type="dxa"/>
            <w:vAlign w:val="bottom"/>
          </w:tcPr>
          <w:p>
            <w:pPr>
              <w:spacing w:after="0"/>
              <w:rPr>
                <w:sz w:val="24"/>
                <w:szCs w:val="2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1,272,715</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61.23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1,272,715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61.23</w:t>
            </w:r>
          </w:p>
        </w:tc>
        <w:tc>
          <w:tcPr>
            <w:tcW w:w="6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1780" w:type="dxa"/>
            <w:vAlign w:val="bottom"/>
            <w:gridSpan w:val="7"/>
          </w:tcPr>
          <w:p>
            <w:pPr>
              <w:jc w:val="center"/>
              <w:ind w:right="400"/>
              <w:spacing w:after="0"/>
              <w:rPr>
                <w:sz w:val="20"/>
                <w:szCs w:val="20"/>
                <w:color w:val="auto"/>
              </w:rPr>
            </w:pPr>
            <w:r>
              <w:rPr>
                <w:rFonts w:ascii="Arial" w:cs="Arial" w:eastAsia="Arial" w:hAnsi="Arial"/>
                <w:sz w:val="14"/>
                <w:szCs w:val="14"/>
                <w:color w:val="auto"/>
              </w:rPr>
              <w:t>Q2 2027</w:t>
            </w:r>
          </w:p>
        </w:tc>
        <w:tc>
          <w:tcPr>
            <w:tcW w:w="1240" w:type="dxa"/>
            <w:vAlign w:val="bottom"/>
          </w:tcPr>
          <w:p>
            <w:pPr>
              <w:jc w:val="right"/>
              <w:spacing w:after="0"/>
              <w:rPr>
                <w:sz w:val="20"/>
                <w:szCs w:val="20"/>
                <w:color w:val="auto"/>
              </w:rPr>
            </w:pPr>
            <w:r>
              <w:rPr>
                <w:rFonts w:ascii="Arial" w:cs="Arial" w:eastAsia="Arial" w:hAnsi="Arial"/>
                <w:sz w:val="14"/>
                <w:szCs w:val="14"/>
                <w:color w:val="auto"/>
              </w:rPr>
              <w:t>26,943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26,943</w:t>
            </w:r>
          </w:p>
        </w:tc>
        <w:tc>
          <w:tcPr>
            <w:tcW w:w="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1,509,233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56.02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1,531,134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56.83</w:t>
            </w:r>
          </w:p>
        </w:tc>
        <w:tc>
          <w:tcPr>
            <w:tcW w:w="6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1780" w:type="dxa"/>
            <w:vAlign w:val="bottom"/>
            <w:gridSpan w:val="7"/>
          </w:tcPr>
          <w:p>
            <w:pPr>
              <w:jc w:val="center"/>
              <w:ind w:right="400"/>
              <w:spacing w:after="0"/>
              <w:rPr>
                <w:sz w:val="20"/>
                <w:szCs w:val="20"/>
                <w:color w:val="auto"/>
              </w:rPr>
            </w:pPr>
            <w:r>
              <w:rPr>
                <w:rFonts w:ascii="Arial" w:cs="Arial" w:eastAsia="Arial" w:hAnsi="Arial"/>
                <w:sz w:val="14"/>
                <w:szCs w:val="14"/>
                <w:color w:val="auto"/>
              </w:rPr>
              <w:t>Q3 2027</w:t>
            </w:r>
          </w:p>
        </w:tc>
        <w:tc>
          <w:tcPr>
            <w:tcW w:w="1240" w:type="dxa"/>
            <w:vAlign w:val="bottom"/>
          </w:tcPr>
          <w:p>
            <w:pPr>
              <w:jc w:val="right"/>
              <w:spacing w:after="0"/>
              <w:rPr>
                <w:sz w:val="20"/>
                <w:szCs w:val="20"/>
                <w:color w:val="auto"/>
              </w:rPr>
            </w:pPr>
            <w:r>
              <w:rPr>
                <w:rFonts w:ascii="Arial" w:cs="Arial" w:eastAsia="Arial" w:hAnsi="Arial"/>
                <w:sz w:val="14"/>
                <w:szCs w:val="14"/>
                <w:color w:val="auto"/>
              </w:rPr>
              <w:t>86,819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86,819</w:t>
            </w:r>
          </w:p>
        </w:tc>
        <w:tc>
          <w:tcPr>
            <w:tcW w:w="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5,346,128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61.58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5,425,950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62.50</w:t>
            </w:r>
          </w:p>
        </w:tc>
        <w:tc>
          <w:tcPr>
            <w:tcW w:w="60" w:type="dxa"/>
            <w:vAlign w:val="bottom"/>
          </w:tcPr>
          <w:p>
            <w:pPr>
              <w:spacing w:after="0"/>
              <w:rPr>
                <w:sz w:val="18"/>
                <w:szCs w:val="18"/>
                <w:color w:val="auto"/>
              </w:rPr>
            </w:pPr>
          </w:p>
        </w:tc>
      </w:tr>
      <w:tr>
        <w:trPr>
          <w:trHeight w:val="220"/>
        </w:trPr>
        <w:tc>
          <w:tcPr>
            <w:tcW w:w="40" w:type="dxa"/>
            <w:vAlign w:val="bottom"/>
          </w:tcPr>
          <w:p>
            <w:pPr>
              <w:spacing w:after="0"/>
              <w:rPr>
                <w:sz w:val="19"/>
                <w:szCs w:val="19"/>
                <w:color w:val="auto"/>
              </w:rPr>
            </w:pPr>
          </w:p>
        </w:tc>
        <w:tc>
          <w:tcPr>
            <w:tcW w:w="1600" w:type="dxa"/>
            <w:vAlign w:val="bottom"/>
            <w:gridSpan w:val="4"/>
          </w:tcPr>
          <w:p>
            <w:pPr>
              <w:jc w:val="center"/>
              <w:ind w:right="220"/>
              <w:spacing w:after="0"/>
              <w:rPr>
                <w:sz w:val="20"/>
                <w:szCs w:val="20"/>
                <w:color w:val="auto"/>
              </w:rPr>
            </w:pPr>
            <w:r>
              <w:rPr>
                <w:rFonts w:ascii="Arial" w:cs="Arial" w:eastAsia="Arial" w:hAnsi="Arial"/>
                <w:sz w:val="14"/>
                <w:szCs w:val="14"/>
                <w:color w:val="auto"/>
              </w:rPr>
              <w:t>Q4 2027</w:t>
            </w:r>
          </w:p>
        </w:tc>
        <w:tc>
          <w:tcPr>
            <w:tcW w:w="180" w:type="dxa"/>
            <w:vAlign w:val="bottom"/>
            <w:tcBorders>
              <w:bottom w:val="single" w:sz="8" w:color="auto"/>
            </w:tcBorders>
            <w:gridSpan w:val="3"/>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42,040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42,040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2,532,963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2,612,109</w:t>
            </w:r>
          </w:p>
        </w:tc>
        <w:tc>
          <w:tcPr>
            <w:tcW w:w="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62.13</w:t>
            </w:r>
          </w:p>
        </w:tc>
        <w:tc>
          <w:tcPr>
            <w:tcW w:w="60" w:type="dxa"/>
            <w:vAlign w:val="bottom"/>
            <w:tcBorders>
              <w:bottom w:val="single" w:sz="8" w:color="auto"/>
            </w:tcBorders>
          </w:tcPr>
          <w:p>
            <w:pPr>
              <w:spacing w:after="0"/>
              <w:rPr>
                <w:sz w:val="19"/>
                <w:szCs w:val="19"/>
                <w:color w:val="auto"/>
              </w:rPr>
            </w:pPr>
          </w:p>
        </w:tc>
      </w:tr>
      <w:tr>
        <w:trPr>
          <w:trHeight w:val="213"/>
        </w:trPr>
        <w:tc>
          <w:tcPr>
            <w:tcW w:w="40" w:type="dxa"/>
            <w:vAlign w:val="bottom"/>
          </w:tcPr>
          <w:p>
            <w:pPr>
              <w:spacing w:after="0"/>
              <w:rPr>
                <w:sz w:val="18"/>
                <w:szCs w:val="18"/>
                <w:color w:val="auto"/>
              </w:rPr>
            </w:pPr>
          </w:p>
        </w:tc>
        <w:tc>
          <w:tcPr>
            <w:tcW w:w="1780" w:type="dxa"/>
            <w:vAlign w:val="bottom"/>
            <w:gridSpan w:val="7"/>
          </w:tcPr>
          <w:p>
            <w:pPr>
              <w:jc w:val="center"/>
              <w:ind w:right="400"/>
              <w:spacing w:after="0"/>
              <w:rPr>
                <w:sz w:val="20"/>
                <w:szCs w:val="20"/>
                <w:color w:val="auto"/>
              </w:rPr>
            </w:pPr>
            <w:r>
              <w:rPr>
                <w:rFonts w:ascii="Arial" w:cs="Arial" w:eastAsia="Arial" w:hAnsi="Arial"/>
                <w:sz w:val="14"/>
                <w:szCs w:val="14"/>
                <w:color w:val="auto"/>
                <w:w w:val="99"/>
              </w:rPr>
              <w:t>Total 2027</w:t>
            </w:r>
          </w:p>
        </w:tc>
        <w:tc>
          <w:tcPr>
            <w:tcW w:w="1240" w:type="dxa"/>
            <w:vAlign w:val="bottom"/>
          </w:tcPr>
          <w:p>
            <w:pPr>
              <w:jc w:val="right"/>
              <w:spacing w:after="0"/>
              <w:rPr>
                <w:sz w:val="20"/>
                <w:szCs w:val="20"/>
                <w:color w:val="auto"/>
              </w:rPr>
            </w:pPr>
            <w:r>
              <w:rPr>
                <w:rFonts w:ascii="Arial" w:cs="Arial" w:eastAsia="Arial" w:hAnsi="Arial"/>
                <w:sz w:val="14"/>
                <w:szCs w:val="14"/>
                <w:color w:val="auto"/>
              </w:rPr>
              <w:t>176,589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176,589</w:t>
            </w:r>
          </w:p>
        </w:tc>
        <w:tc>
          <w:tcPr>
            <w:tcW w:w="4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color w:val="auto"/>
              </w:rPr>
              <w:t>10,661,040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4"/>
                <w:szCs w:val="14"/>
                <w:color w:val="auto"/>
              </w:rPr>
              <w:t>10,841,908</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61.40</w:t>
            </w:r>
          </w:p>
        </w:tc>
        <w:tc>
          <w:tcPr>
            <w:tcW w:w="60" w:type="dxa"/>
            <w:vAlign w:val="bottom"/>
          </w:tcPr>
          <w:p>
            <w:pPr>
              <w:spacing w:after="0"/>
              <w:rPr>
                <w:sz w:val="18"/>
                <w:szCs w:val="18"/>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36" w:lineRule="exact"/>
        <w:rPr>
          <w:sz w:val="20"/>
          <w:szCs w:val="20"/>
          <w:color w:val="auto"/>
        </w:rPr>
      </w:pPr>
    </w:p>
    <w:p>
      <w:pPr>
        <w:ind w:left="80" w:hanging="72"/>
        <w:spacing w:after="0"/>
        <w:tabs>
          <w:tab w:leader="none" w:pos="80" w:val="left"/>
        </w:tabs>
        <w:numPr>
          <w:ilvl w:val="0"/>
          <w:numId w:val="118"/>
        </w:numPr>
        <w:rPr>
          <w:rFonts w:ascii="Arial" w:cs="Arial" w:eastAsia="Arial" w:hAnsi="Arial"/>
          <w:sz w:val="9"/>
          <w:szCs w:val="9"/>
          <w:color w:val="auto"/>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52"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w:t>
      </w:r>
    </w:p>
    <w:p>
      <w:pPr>
        <w:spacing w:after="0" w:line="11" w:lineRule="exact"/>
        <w:rPr>
          <w:rFonts w:ascii="Arial" w:cs="Arial" w:eastAsia="Arial" w:hAnsi="Arial"/>
          <w:sz w:val="9"/>
          <w:szCs w:val="9"/>
          <w:color w:val="auto"/>
        </w:rPr>
      </w:pPr>
    </w:p>
    <w:p>
      <w:pPr>
        <w:ind w:left="80" w:right="200" w:hanging="81"/>
        <w:spacing w:after="0" w:line="279" w:lineRule="auto"/>
        <w:rPr>
          <w:rFonts w:ascii="Arial" w:cs="Arial" w:eastAsia="Arial" w:hAnsi="Arial"/>
          <w:sz w:val="9"/>
          <w:szCs w:val="9"/>
          <w:color w:val="auto"/>
        </w:rPr>
      </w:pPr>
      <w:r>
        <w:rPr>
          <w:rFonts w:ascii="Arial" w:cs="Arial" w:eastAsia="Arial" w:hAnsi="Arial"/>
          <w:sz w:val="9"/>
          <w:szCs w:val="9"/>
          <w:color w:val="auto"/>
        </w:rPr>
        <w:t xml:space="preserve">3 </w:t>
      </w: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w:t>
      </w:r>
      <w:r>
        <w:rPr>
          <w:rFonts w:ascii="Arial" w:cs="Arial" w:eastAsia="Arial" w:hAnsi="Arial"/>
          <w:sz w:val="9"/>
          <w:szCs w:val="9"/>
          <w:color w:val="auto"/>
        </w:rPr>
        <w:t xml:space="preserve"> </w:t>
      </w:r>
      <w:r>
        <w:rPr>
          <w:rFonts w:ascii="Arial" w:cs="Arial" w:eastAsia="Arial" w:hAnsi="Arial"/>
          <w:sz w:val="14"/>
          <w:szCs w:val="14"/>
          <w:color w:val="auto"/>
        </w:rPr>
        <w:t>dates. In those cases, the data is included in the year in which the replacement lease expires.</w:t>
      </w:r>
    </w:p>
    <w:p>
      <w:pPr>
        <w:spacing w:after="0"/>
        <w:rPr>
          <w:rFonts w:ascii="Arial" w:cs="Arial" w:eastAsia="Arial" w:hAnsi="Arial"/>
          <w:sz w:val="9"/>
          <w:szCs w:val="9"/>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Represents rentable square footage that is anticipated to become vacant in the noted period.</w:t>
      </w:r>
    </w:p>
    <w:p>
      <w:pPr>
        <w:sectPr>
          <w:pgSz w:w="11900" w:h="16838" w:orient="portrait"/>
          <w:cols w:equalWidth="0" w:num="1">
            <w:col w:w="11240"/>
          </w:cols>
          <w:pgMar w:left="320" w:top="279" w:right="339" w:bottom="862" w:gutter="0" w:footer="0" w:header="0"/>
        </w:sectPr>
      </w:pPr>
    </w:p>
    <w:p>
      <w:pPr>
        <w:spacing w:after="0" w:line="200" w:lineRule="exact"/>
        <w:rPr>
          <w:sz w:val="20"/>
          <w:szCs w:val="20"/>
          <w:color w:val="auto"/>
        </w:rPr>
      </w:pPr>
    </w:p>
    <w:p>
      <w:pPr>
        <w:spacing w:after="0" w:line="243"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50</w:t>
      </w:r>
    </w:p>
    <w:p>
      <w:pPr>
        <w:sectPr>
          <w:pgSz w:w="11900" w:h="16838" w:orient="portrait"/>
          <w:cols w:equalWidth="0" w:num="1">
            <w:col w:w="11240"/>
          </w:cols>
          <w:pgMar w:left="320" w:top="279" w:right="339" w:bottom="862" w:gutter="0" w:footer="0" w:header="0"/>
          <w:type w:val="continuous"/>
        </w:sectPr>
      </w:pPr>
    </w:p>
    <w:bookmarkStart w:id="58" w:name="page59"/>
    <w:bookmarkEnd w:id="58"/>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CBD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691769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17690" cy="1714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98"/>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2"/>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31,666</w:t>
            </w:r>
          </w:p>
        </w:tc>
        <w:tc>
          <w:tcPr>
            <w:tcW w:w="200" w:type="dxa"/>
            <w:vAlign w:val="bottom"/>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25,170</w:t>
            </w: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1,535,421</w:t>
            </w: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61.00</w:t>
            </w: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1,535,421</w:t>
            </w:r>
          </w:p>
        </w:tc>
        <w:tc>
          <w:tcPr>
            <w:tcW w:w="160" w:type="dxa"/>
            <w:vAlign w:val="bottom"/>
          </w:tcPr>
          <w:p>
            <w:pPr>
              <w:spacing w:after="0"/>
              <w:rPr>
                <w:sz w:val="17"/>
                <w:szCs w:val="17"/>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61.00</w:t>
            </w:r>
          </w:p>
        </w:tc>
      </w:tr>
      <w:tr>
        <w:trPr>
          <w:trHeight w:val="283"/>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24"/>
                <w:szCs w:val="24"/>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148,322</w:t>
            </w:r>
          </w:p>
        </w:tc>
        <w:tc>
          <w:tcPr>
            <w:tcW w:w="20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119,015</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10,791,496</w:t>
            </w:r>
          </w:p>
        </w:tc>
        <w:tc>
          <w:tcPr>
            <w:tcW w:w="18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90.67</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10,868,638</w:t>
            </w:r>
          </w:p>
        </w:tc>
        <w:tc>
          <w:tcPr>
            <w:tcW w:w="16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91.32</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593,432</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565,439</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68,072,627</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120.39</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70,861,832</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125.32</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765,366</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631,205</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58,308,421</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92.38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60,228,955</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95.42</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1,019,943</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968,089</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73,989,057</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76.43</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77,075,107</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79.62</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56,415</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47,792</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4,535,149</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94.89</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4,907,920</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102.69</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916,347</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910,152</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77,258,272</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84.89</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94,748,785</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104.10</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612,746</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550,620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48,893,894</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88.80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55,097,378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100.06</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1,266,595</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1,084,688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99,739,354</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91.95</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109,576,048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101.02</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774,303</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704,020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60,726,122</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86.26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76,089,428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108.08</w:t>
            </w:r>
          </w:p>
        </w:tc>
      </w:tr>
      <w:tr>
        <w:trPr>
          <w:trHeight w:val="216"/>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5,028,502</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3,866,968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385,657,195</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99.73</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472,693,766</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122.24</w:t>
            </w:r>
          </w:p>
        </w:tc>
      </w:tr>
      <w:tr>
        <w:trPr>
          <w:trHeight w:val="532"/>
        </w:trPr>
        <w:tc>
          <w:tcPr>
            <w:tcW w:w="1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Los Angeles</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0"/>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8"/>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2"/>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1,936</w:t>
            </w:r>
          </w:p>
        </w:tc>
        <w:tc>
          <w:tcPr>
            <w:tcW w:w="200" w:type="dxa"/>
            <w:vAlign w:val="bottom"/>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1,936</w:t>
            </w: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69,696</w:t>
            </w: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69,696</w:t>
            </w:r>
          </w:p>
        </w:tc>
        <w:tc>
          <w:tcPr>
            <w:tcW w:w="160" w:type="dxa"/>
            <w:vAlign w:val="bottom"/>
          </w:tcPr>
          <w:p>
            <w:pPr>
              <w:spacing w:after="0"/>
              <w:rPr>
                <w:sz w:val="17"/>
                <w:szCs w:val="17"/>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36.00</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206,803</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103,904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7,285,509</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70.12</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7,487,058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72.06</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270,593</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172,796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14,881,735</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86.12</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15,663,222</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90.65</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271,440</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189,789</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12,376,003</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65.21</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13,195,994</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69.53</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59,956</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59,956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4,414,989</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73.64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4,937,416</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82.35</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7,752</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7,752</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551,659</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71.16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631,775</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81.50</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267,810</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148,844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12,496,556</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83.96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14,781,562</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99.31</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186,894</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93,447</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8,185,957</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87.60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10,414,824</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111.45</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23,732</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13,736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491,132</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35.76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546,905</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39.82</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8,043</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8,043</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658,143</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81.83</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801,309</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99.63</w:t>
            </w:r>
          </w:p>
        </w:tc>
      </w:tr>
      <w:tr>
        <w:trPr>
          <w:trHeight w:val="216"/>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523,818</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523,818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34,220,770</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65.33</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44,810,503</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85.55</w:t>
            </w:r>
          </w:p>
        </w:tc>
      </w:tr>
      <w:tr>
        <w:trPr>
          <w:trHeight w:val="695"/>
        </w:trPr>
        <w:tc>
          <w:tcPr>
            <w:tcW w:w="1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New York</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0"/>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8"/>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Year</w:t>
            </w:r>
          </w:p>
        </w:tc>
        <w:tc>
          <w:tcPr>
            <w:tcW w:w="1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200" w:type="dxa"/>
            <w:vAlign w:val="bottom"/>
            <w:tcBorders>
              <w:right w:val="single" w:sz="8" w:color="auto"/>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80" w:type="dxa"/>
            <w:vAlign w:val="bottom"/>
          </w:tcPr>
          <w:p>
            <w:pPr>
              <w:spacing w:after="0"/>
              <w:rPr>
                <w:sz w:val="17"/>
                <w:szCs w:val="17"/>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620" w:type="dxa"/>
            <w:vAlign w:val="bottom"/>
            <w:tcBorders>
              <w:bottom w:val="single" w:sz="8" w:color="auto"/>
            </w:tcBorders>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1"/>
        </w:trPr>
        <w:tc>
          <w:tcPr>
            <w:tcW w:w="1360" w:type="dxa"/>
            <w:vAlign w:val="bottom"/>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84"/>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24"/>
                <w:szCs w:val="24"/>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109,941</w:t>
            </w:r>
          </w:p>
        </w:tc>
        <w:tc>
          <w:tcPr>
            <w:tcW w:w="20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73,779</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9,917,895</w:t>
            </w:r>
          </w:p>
        </w:tc>
        <w:tc>
          <w:tcPr>
            <w:tcW w:w="180" w:type="dxa"/>
            <w:vAlign w:val="bottom"/>
          </w:tcPr>
          <w:p>
            <w:pPr>
              <w:spacing w:after="0"/>
              <w:rPr>
                <w:sz w:val="24"/>
                <w:szCs w:val="24"/>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134.43</w:t>
            </w:r>
          </w:p>
        </w:tc>
        <w:tc>
          <w:tcPr>
            <w:tcW w:w="180" w:type="dxa"/>
            <w:vAlign w:val="bottom"/>
          </w:tcPr>
          <w:p>
            <w:pPr>
              <w:spacing w:after="0"/>
              <w:rPr>
                <w:sz w:val="24"/>
                <w:szCs w:val="24"/>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9,917,895</w:t>
            </w:r>
          </w:p>
        </w:tc>
        <w:tc>
          <w:tcPr>
            <w:tcW w:w="160" w:type="dxa"/>
            <w:vAlign w:val="bottom"/>
          </w:tcPr>
          <w:p>
            <w:pPr>
              <w:spacing w:after="0"/>
              <w:rPr>
                <w:sz w:val="24"/>
                <w:szCs w:val="24"/>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134.43</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133,651</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111,230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13,864,129</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124.64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14,116,755</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126.92</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818,812</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596,014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59,311,797</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99.51</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63,186,364</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106.01</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457,550</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393,040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44,518,489</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113.27</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44,802,741</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113.99</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446,993</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371,889</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45,888,010</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123.39</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47,113,580</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126.69</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320,458</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203,503</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19,459,160</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95.62</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20,750,481</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101.97</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505,000</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420,381</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52,770,908</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125.53</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58,298,785</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138.68</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1,232,257</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891,572</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111,767,776</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125.36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122,143,103</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137.00</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1,014,604</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612,152</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67,874,284</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110.88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74,967,641</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122.47</w:t>
            </w:r>
          </w:p>
        </w:tc>
      </w:tr>
      <w:tr>
        <w:trPr>
          <w:trHeight w:val="216"/>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4,592,429</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3,241,866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352,384,121</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108.70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393,958,988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121.52</w:t>
            </w:r>
          </w:p>
        </w:tc>
      </w:tr>
    </w:tbl>
    <w:p>
      <w:pPr>
        <w:spacing w:after="0" w:line="200" w:lineRule="exact"/>
        <w:rPr>
          <w:sz w:val="20"/>
          <w:szCs w:val="20"/>
          <w:color w:val="auto"/>
        </w:rPr>
      </w:pPr>
    </w:p>
    <w:p>
      <w:pPr>
        <w:sectPr>
          <w:pgSz w:w="11900" w:h="16838" w:orient="portrait"/>
          <w:cols w:equalWidth="0" w:num="1">
            <w:col w:w="11240"/>
          </w:cols>
          <w:pgMar w:left="320" w:top="279" w:right="339" w:bottom="1440" w:gutter="0" w:footer="0" w:header="0"/>
        </w:sectPr>
      </w:pPr>
    </w:p>
    <w:p>
      <w:pPr>
        <w:spacing w:after="0" w:line="366"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51</w:t>
      </w:r>
    </w:p>
    <w:p>
      <w:pPr>
        <w:sectPr>
          <w:pgSz w:w="11900" w:h="16838" w:orient="portrait"/>
          <w:cols w:equalWidth="0" w:num="1">
            <w:col w:w="11240"/>
          </w:cols>
          <w:pgMar w:left="320" w:top="279" w:right="339" w:bottom="1440" w:gutter="0" w:footer="0" w:header="0"/>
          <w:type w:val="continuous"/>
        </w:sectPr>
      </w:pPr>
    </w:p>
    <w:bookmarkStart w:id="59" w:name="page60"/>
    <w:bookmarkEnd w:id="59"/>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CBD properties (continued)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San 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690943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rPr>
              <w:t>BXP’s Share</w:t>
            </w: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98"/>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7"/>
          </w:tcPr>
          <w:p>
            <w:pPr>
              <w:jc w:val="center"/>
              <w:ind w:right="22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gridSpan w:val="2"/>
          </w:tcPr>
          <w:p>
            <w:pPr>
              <w:spacing w:after="0"/>
              <w:rPr>
                <w:sz w:val="16"/>
                <w:szCs w:val="16"/>
                <w:color w:val="auto"/>
              </w:rPr>
            </w:pPr>
          </w:p>
        </w:tc>
        <w:tc>
          <w:tcPr>
            <w:tcW w:w="310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540" w:type="dxa"/>
            <w:vAlign w:val="bottom"/>
            <w:gridSpan w:val="3"/>
          </w:tcPr>
          <w:p>
            <w:pPr>
              <w:ind w:left="540"/>
              <w:spacing w:after="0"/>
              <w:rPr>
                <w:sz w:val="20"/>
                <w:szCs w:val="20"/>
                <w:color w:val="auto"/>
              </w:rPr>
            </w:pPr>
            <w:r>
              <w:rPr>
                <w:rFonts w:ascii="Arial" w:cs="Arial" w:eastAsia="Arial" w:hAnsi="Arial"/>
                <w:sz w:val="13"/>
                <w:szCs w:val="13"/>
                <w:b w:val="1"/>
                <w:bCs w:val="1"/>
                <w:color w:val="auto"/>
              </w:rPr>
              <w:t>Year</w:t>
            </w:r>
          </w:p>
        </w:tc>
        <w:tc>
          <w:tcPr>
            <w:tcW w:w="1520" w:type="dxa"/>
            <w:vAlign w:val="bottom"/>
            <w:tcBorders>
              <w:right w:val="single" w:sz="8" w:color="auto"/>
            </w:tcBorders>
            <w:gridSpan w:val="3"/>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rPr>
              <w:t>$/PSF</w:t>
            </w:r>
          </w:p>
        </w:tc>
        <w:tc>
          <w:tcPr>
            <w:tcW w:w="160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right w:val="single" w:sz="8" w:color="auto"/>
            </w:tcBorders>
          </w:tcPr>
          <w:p>
            <w:pPr>
              <w:jc w:val="right"/>
              <w:ind w:right="431"/>
              <w:spacing w:after="0"/>
              <w:rPr>
                <w:sz w:val="20"/>
                <w:szCs w:val="20"/>
                <w:color w:val="auto"/>
              </w:rPr>
            </w:pPr>
            <w:r>
              <w:rPr>
                <w:rFonts w:ascii="Arial" w:cs="Arial" w:eastAsia="Arial" w:hAnsi="Arial"/>
                <w:sz w:val="13"/>
                <w:szCs w:val="13"/>
                <w:b w:val="1"/>
                <w:bCs w:val="1"/>
                <w:color w:val="auto"/>
              </w:rPr>
              <w:t>$/PSF</w:t>
            </w:r>
          </w:p>
        </w:tc>
      </w:tr>
      <w:tr>
        <w:trPr>
          <w:trHeight w:val="202"/>
        </w:trPr>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13,107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13,107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721,904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color w:val="auto"/>
              </w:rPr>
              <w:t>55.08</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721,904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Borders>
              <w:top w:val="single" w:sz="8" w:color="auto"/>
            </w:tcBorders>
            <w:gridSpan w:val="2"/>
          </w:tcPr>
          <w:p>
            <w:pPr>
              <w:jc w:val="right"/>
              <w:ind w:right="31"/>
              <w:spacing w:after="0"/>
              <w:rPr>
                <w:sz w:val="20"/>
                <w:szCs w:val="20"/>
                <w:color w:val="auto"/>
              </w:rPr>
            </w:pPr>
            <w:r>
              <w:rPr>
                <w:rFonts w:ascii="Arial" w:cs="Arial" w:eastAsia="Arial" w:hAnsi="Arial"/>
                <w:sz w:val="14"/>
                <w:szCs w:val="14"/>
                <w:color w:val="auto"/>
              </w:rPr>
              <w:t>55.08</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306,338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306,338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30,996,598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101.18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31,468,530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102.72</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350,516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350,516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40,748,193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116.25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41,930,575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119.63</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595,191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595,191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56,185,217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94.40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59,446,437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99.88</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306,061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306,061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29,594,215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96.69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32,504,412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106.20</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961,427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961,427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106,293,036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110.56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113,959,162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118.53</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456,101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456,101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39,453,153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86.50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45,795,629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100.41</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710,360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710,360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77,072,614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108.50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85,233,129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119.99</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161,732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161,732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14,939,700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92.37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17,770,531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109.88</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21,961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21,961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2,539,576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115.64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3,400,064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154.82</w:t>
            </w:r>
          </w:p>
        </w:tc>
      </w:tr>
      <w:tr>
        <w:trPr>
          <w:trHeight w:val="216"/>
        </w:trPr>
        <w:tc>
          <w:tcPr>
            <w:tcW w:w="1540" w:type="dxa"/>
            <w:vAlign w:val="bottom"/>
            <w:gridSpan w:val="3"/>
          </w:tcPr>
          <w:p>
            <w:pPr>
              <w:jc w:val="center"/>
              <w:ind w:right="20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722,982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722,982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72,845,023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100.76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96,680,588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1"/>
              <w:spacing w:after="0"/>
              <w:rPr>
                <w:sz w:val="20"/>
                <w:szCs w:val="20"/>
                <w:color w:val="auto"/>
              </w:rPr>
            </w:pPr>
            <w:r>
              <w:rPr>
                <w:rFonts w:ascii="Arial" w:cs="Arial" w:eastAsia="Arial" w:hAnsi="Arial"/>
                <w:sz w:val="14"/>
                <w:szCs w:val="14"/>
                <w:color w:val="auto"/>
              </w:rPr>
              <w:t>133.72</w:t>
            </w:r>
          </w:p>
        </w:tc>
      </w:tr>
      <w:tr>
        <w:trPr>
          <w:trHeight w:val="694"/>
        </w:trPr>
        <w:tc>
          <w:tcPr>
            <w:tcW w:w="15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Seattle</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
        </w:trPr>
        <w:tc>
          <w:tcPr>
            <w:tcW w:w="1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1"/>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8"/>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7"/>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10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Year</w:t>
            </w:r>
          </w:p>
        </w:tc>
        <w:tc>
          <w:tcPr>
            <w:tcW w:w="180" w:type="dxa"/>
            <w:vAlign w:val="bottom"/>
          </w:tcPr>
          <w:p>
            <w:pPr>
              <w:spacing w:after="0"/>
              <w:rPr>
                <w:sz w:val="17"/>
                <w:szCs w:val="17"/>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200" w:type="dxa"/>
            <w:vAlign w:val="bottom"/>
            <w:tcBorders>
              <w:right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80" w:type="dxa"/>
            <w:vAlign w:val="bottom"/>
          </w:tcPr>
          <w:p>
            <w:pPr>
              <w:spacing w:after="0"/>
              <w:rPr>
                <w:sz w:val="17"/>
                <w:szCs w:val="17"/>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$/PSF</w:t>
            </w:r>
          </w:p>
        </w:tc>
      </w:tr>
      <w:tr>
        <w:trPr>
          <w:trHeight w:val="201"/>
        </w:trPr>
        <w:tc>
          <w:tcPr>
            <w:tcW w:w="1340" w:type="dxa"/>
            <w:vAlign w:val="bottom"/>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20,894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15,051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670,057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44.52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670,470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44.55</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59,769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59,769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3,572,847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59.78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3,636,660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60.85</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495,288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193,269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9,909,438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51.27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10,278,266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53.18</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326,826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295,033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16,528,632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56.02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17,202,417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58.31</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35,431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34,998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2,037,162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58.21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2,199,685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62.85</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69,420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51,994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2,615,622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2,923,490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56.23</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118,280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104,931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7,130,402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67.95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7,896,861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75.26</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76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c>
          <w:tcPr>
            <w:tcW w:w="1320" w:type="dxa"/>
            <w:vAlign w:val="bottom"/>
          </w:tcPr>
          <w:p>
            <w:pPr>
              <w:jc w:val="right"/>
              <w:ind w:right="11"/>
              <w:spacing w:after="0"/>
              <w:rPr>
                <w:sz w:val="20"/>
                <w:szCs w:val="20"/>
                <w:color w:val="auto"/>
              </w:rPr>
            </w:pPr>
            <w:r>
              <w:rPr>
                <w:rFonts w:ascii="Arial" w:cs="Arial" w:eastAsia="Arial" w:hAnsi="Arial"/>
                <w:sz w:val="14"/>
                <w:szCs w:val="14"/>
                <w:color w:val="auto"/>
              </w:rPr>
              <w:t>—</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60,774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20,463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1,505,083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73.55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1,809,319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88.42</w:t>
            </w:r>
          </w:p>
        </w:tc>
      </w:tr>
      <w:tr>
        <w:trPr>
          <w:trHeight w:val="216"/>
        </w:trPr>
        <w:tc>
          <w:tcPr>
            <w:tcW w:w="1540" w:type="dxa"/>
            <w:vAlign w:val="bottom"/>
            <w:gridSpan w:val="3"/>
          </w:tcPr>
          <w:p>
            <w:pPr>
              <w:jc w:val="center"/>
              <w:ind w:right="16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131,625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131,625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8,485,654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64.47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10,906,593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82.86</w:t>
            </w:r>
          </w:p>
        </w:tc>
      </w:tr>
      <w:tr>
        <w:trPr>
          <w:trHeight w:val="573"/>
        </w:trPr>
        <w:tc>
          <w:tcPr>
            <w:tcW w:w="154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Washington, DC</w:t>
            </w: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9"/>
        </w:trPr>
        <w:tc>
          <w:tcPr>
            <w:tcW w:w="13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3"/>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1"/>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8"/>
        </w:trPr>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7"/>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100" w:type="dxa"/>
            <w:vAlign w:val="bottom"/>
            <w:tcBorders>
              <w:bottom w:val="single" w:sz="8" w:color="auto"/>
              <w:right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9"/>
              </w:rPr>
              <w:t>Year</w:t>
            </w:r>
          </w:p>
        </w:tc>
        <w:tc>
          <w:tcPr>
            <w:tcW w:w="180" w:type="dxa"/>
            <w:vAlign w:val="bottom"/>
          </w:tcPr>
          <w:p>
            <w:pPr>
              <w:spacing w:after="0"/>
              <w:rPr>
                <w:sz w:val="17"/>
                <w:szCs w:val="17"/>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200" w:type="dxa"/>
            <w:vAlign w:val="bottom"/>
            <w:tcBorders>
              <w:right w:val="single" w:sz="8" w:color="auto"/>
            </w:tcBorders>
          </w:tcPr>
          <w:p>
            <w:pPr>
              <w:spacing w:after="0"/>
              <w:rPr>
                <w:sz w:val="17"/>
                <w:szCs w:val="17"/>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80" w:type="dxa"/>
            <w:vAlign w:val="bottom"/>
          </w:tcPr>
          <w:p>
            <w:pPr>
              <w:spacing w:after="0"/>
              <w:rPr>
                <w:sz w:val="17"/>
                <w:szCs w:val="17"/>
                <w:color w:val="auto"/>
              </w:rPr>
            </w:pPr>
          </w:p>
        </w:tc>
        <w:tc>
          <w:tcPr>
            <w:tcW w:w="1600" w:type="dxa"/>
            <w:vAlign w:val="bottom"/>
            <w:tcBorders>
              <w:bottom w:val="single" w:sz="8" w:color="auto"/>
            </w:tcBorders>
          </w:tcPr>
          <w:p>
            <w:pPr>
              <w:jc w:val="right"/>
              <w:ind w:right="68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$/PSF</w:t>
            </w:r>
          </w:p>
        </w:tc>
        <w:tc>
          <w:tcPr>
            <w:tcW w:w="180" w:type="dxa"/>
            <w:vAlign w:val="bottom"/>
          </w:tcPr>
          <w:p>
            <w:pPr>
              <w:spacing w:after="0"/>
              <w:rPr>
                <w:sz w:val="17"/>
                <w:szCs w:val="17"/>
                <w:color w:val="auto"/>
              </w:rPr>
            </w:pPr>
          </w:p>
        </w:tc>
        <w:tc>
          <w:tcPr>
            <w:tcW w:w="1600" w:type="dxa"/>
            <w:vAlign w:val="bottom"/>
            <w:tcBorders>
              <w:bottom w:val="single" w:sz="8" w:color="auto"/>
            </w:tcBorders>
          </w:tcPr>
          <w:p>
            <w:pPr>
              <w:jc w:val="right"/>
              <w:ind w:right="669"/>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auto"/>
              <w:right w:val="single" w:sz="8" w:color="auto"/>
            </w:tcBorders>
          </w:tcPr>
          <w:p>
            <w:pPr>
              <w:jc w:val="right"/>
              <w:ind w:right="411"/>
              <w:spacing w:after="0"/>
              <w:rPr>
                <w:sz w:val="20"/>
                <w:szCs w:val="20"/>
                <w:color w:val="auto"/>
              </w:rPr>
            </w:pPr>
            <w:r>
              <w:rPr>
                <w:rFonts w:ascii="Arial" w:cs="Arial" w:eastAsia="Arial" w:hAnsi="Arial"/>
                <w:sz w:val="13"/>
                <w:szCs w:val="13"/>
                <w:b w:val="1"/>
                <w:bCs w:val="1"/>
                <w:color w:val="auto"/>
              </w:rPr>
              <w:t>$/PSF</w:t>
            </w:r>
          </w:p>
        </w:tc>
      </w:tr>
      <w:tr>
        <w:trPr>
          <w:trHeight w:val="202"/>
        </w:trPr>
        <w:tc>
          <w:tcPr>
            <w:tcW w:w="1340" w:type="dxa"/>
            <w:vAlign w:val="bottom"/>
          </w:tcPr>
          <w:p>
            <w:pPr>
              <w:jc w:val="center"/>
              <w:spacing w:after="0"/>
              <w:rPr>
                <w:sz w:val="20"/>
                <w:szCs w:val="20"/>
                <w:color w:val="auto"/>
              </w:rPr>
            </w:pPr>
            <w:r>
              <w:rPr>
                <w:rFonts w:ascii="Arial" w:cs="Arial" w:eastAsia="Arial" w:hAnsi="Arial"/>
                <w:sz w:val="14"/>
                <w:szCs w:val="14"/>
                <w:color w:val="auto"/>
              </w:rPr>
              <w:t>2026</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14,739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14,739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864,733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58.67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864,733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58.67</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2027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172,712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172,712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10,494,611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60.76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10,675,479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61.81</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174,871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173,530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10,562,845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60.87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11,065,303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63.77</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2029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200,341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200,341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12,209,118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60.94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12,900,940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64.39</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158,303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149,070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9,751,941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65.42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10,428,248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69.96</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273,682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266,936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15,829,295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59.30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17,529,371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65.67</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658,118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658,118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45,472,931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69.10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51,590,685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78.39</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1,010,735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1,010,735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60,321,962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59.68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70,492,964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69.74</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327,144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327,144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19,620,430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59.97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23,011,921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70.34</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605,449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602,328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29,567,078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49.09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35,826,766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59.48</w:t>
            </w:r>
          </w:p>
        </w:tc>
      </w:tr>
      <w:tr>
        <w:trPr>
          <w:trHeight w:val="216"/>
        </w:trPr>
        <w:tc>
          <w:tcPr>
            <w:tcW w:w="1540" w:type="dxa"/>
            <w:vAlign w:val="bottom"/>
            <w:gridSpan w:val="3"/>
          </w:tcPr>
          <w:p>
            <w:pPr>
              <w:jc w:val="center"/>
              <w:ind w:right="16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2,796,015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2,657,187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179,324,810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67.49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224,565,186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Arial" w:cs="Arial" w:eastAsia="Arial" w:hAnsi="Arial"/>
                <w:sz w:val="14"/>
                <w:szCs w:val="14"/>
                <w:color w:val="auto"/>
              </w:rPr>
              <w:t>84.51</w:t>
            </w:r>
          </w:p>
        </w:tc>
      </w:tr>
    </w:tbl>
    <w:p>
      <w:pPr>
        <w:spacing w:after="0" w:line="338"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119"/>
        </w:numPr>
        <w:rPr>
          <w:rFonts w:ascii="Arial" w:cs="Arial" w:eastAsia="Arial" w:hAnsi="Arial"/>
          <w:sz w:val="19"/>
          <w:szCs w:val="19"/>
          <w:color w:val="auto"/>
          <w:vertAlign w:val="superscript"/>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 and hotel.</w:t>
      </w:r>
    </w:p>
    <w:p>
      <w:pPr>
        <w:spacing w:after="0" w:line="1" w:lineRule="exact"/>
        <w:rPr>
          <w:sz w:val="20"/>
          <w:szCs w:val="20"/>
          <w:color w:val="auto"/>
        </w:rPr>
      </w:pPr>
    </w:p>
    <w:p>
      <w:pPr>
        <w:ind w:left="80" w:right="200" w:hanging="72"/>
        <w:spacing w:after="0" w:line="226" w:lineRule="auto"/>
        <w:tabs>
          <w:tab w:leader="none" w:pos="78" w:val="left"/>
        </w:tabs>
        <w:numPr>
          <w:ilvl w:val="0"/>
          <w:numId w:val="120"/>
        </w:numPr>
        <w:rPr>
          <w:rFonts w:ascii="Arial" w:cs="Arial" w:eastAsia="Arial" w:hAnsi="Arial"/>
          <w:sz w:val="18"/>
          <w:szCs w:val="18"/>
          <w:color w:val="auto"/>
          <w:vertAlign w:val="superscript"/>
        </w:rPr>
      </w:pPr>
      <w:r>
        <w:rPr>
          <w:rFonts w:ascii="Arial" w:cs="Arial" w:eastAsia="Arial" w:hAnsi="Arial"/>
          <w:sz w:val="14"/>
          <w:szCs w:val="14"/>
          <w:color w:val="auto"/>
        </w:rPr>
        <w:t>Does not include data for leases expiring in a particular year when leases for the same space have already been signed with replacement clients with future commencement dates. In those cases, the data is included in the year in which the replacement lease expires.</w:t>
      </w:r>
    </w:p>
    <w:p>
      <w:pPr>
        <w:ind w:left="80" w:hanging="72"/>
        <w:spacing w:after="0" w:line="237" w:lineRule="auto"/>
        <w:tabs>
          <w:tab w:leader="none" w:pos="80" w:val="left"/>
        </w:tabs>
        <w:numPr>
          <w:ilvl w:val="0"/>
          <w:numId w:val="121"/>
        </w:numPr>
        <w:rPr>
          <w:rFonts w:ascii="Arial" w:cs="Arial" w:eastAsia="Arial" w:hAnsi="Arial"/>
          <w:sz w:val="19"/>
          <w:szCs w:val="19"/>
          <w:color w:val="auto"/>
          <w:vertAlign w:val="superscript"/>
        </w:rPr>
      </w:pPr>
      <w:r>
        <w:rPr>
          <w:rFonts w:ascii="Arial" w:cs="Arial" w:eastAsia="Arial" w:hAnsi="Arial"/>
          <w:sz w:val="14"/>
          <w:szCs w:val="14"/>
          <w:color w:val="auto"/>
        </w:rPr>
        <w:t>Represents rentable square footage that is anticipated to become vacant in the noted period.</w:t>
      </w:r>
    </w:p>
    <w:p>
      <w:pPr>
        <w:sectPr>
          <w:pgSz w:w="11900" w:h="16838" w:orient="portrait"/>
          <w:cols w:equalWidth="0" w:num="1">
            <w:col w:w="11240"/>
          </w:cols>
          <w:pgMar w:left="320" w:top="279" w:right="339" w:bottom="8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52</w:t>
      </w:r>
    </w:p>
    <w:p>
      <w:pPr>
        <w:sectPr>
          <w:pgSz w:w="11900" w:h="16838" w:orient="portrait"/>
          <w:cols w:equalWidth="0" w:num="1">
            <w:col w:w="11240"/>
          </w:cols>
          <w:pgMar w:left="320" w:top="279" w:right="339" w:bottom="808" w:gutter="0" w:footer="0" w:header="0"/>
          <w:type w:val="continuous"/>
        </w:sectPr>
      </w:pPr>
    </w:p>
    <w:bookmarkStart w:id="60" w:name="page61"/>
    <w:bookmarkEnd w:id="60"/>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Suburban properties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Boston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48260</wp:posOffset>
            </wp:positionV>
            <wp:extent cx="691769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17690" cy="1714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98"/>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2"/>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84,384</w:t>
            </w:r>
          </w:p>
        </w:tc>
        <w:tc>
          <w:tcPr>
            <w:tcW w:w="200" w:type="dxa"/>
            <w:vAlign w:val="bottom"/>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84,384</w:t>
            </w: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6,803,694</w:t>
            </w: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80.63</w:t>
            </w: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6,803,694</w:t>
            </w:r>
          </w:p>
        </w:tc>
        <w:tc>
          <w:tcPr>
            <w:tcW w:w="160" w:type="dxa"/>
            <w:vAlign w:val="bottom"/>
          </w:tcPr>
          <w:p>
            <w:pPr>
              <w:spacing w:after="0"/>
              <w:rPr>
                <w:sz w:val="17"/>
                <w:szCs w:val="17"/>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80.63</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359,240</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298,900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19,011,261</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63.60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19,228,278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64.33</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286,143</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286,143</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16,798,011</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58.70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17,220,389</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60.18</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501,993</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501,993</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26,832,109</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53.45</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27,629,530</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55.04</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140,621</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140,621</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9,235,078</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65.67</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9,850,824</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70.05</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513,425</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513,425</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36,131,650</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70.37</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38,347,735</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74.69</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227,097</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227,097</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11,965,228</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52.69</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13,024,483</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57.35</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221,938</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221,938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15,699,579</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70.74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17,962,606</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80.94</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337,616</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337,616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25,381,066</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75.18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28,857,441</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85.47</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63,116</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63,116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4,833,442</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76.58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5,568,839</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88.23</w:t>
            </w:r>
          </w:p>
        </w:tc>
      </w:tr>
      <w:tr>
        <w:trPr>
          <w:trHeight w:val="216"/>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470,167</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470,167</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18,293,586</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38.91</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24,317,994</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51.72</w:t>
            </w:r>
          </w:p>
        </w:tc>
      </w:tr>
      <w:tr>
        <w:trPr>
          <w:trHeight w:val="640"/>
        </w:trPr>
        <w:tc>
          <w:tcPr>
            <w:tcW w:w="1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New York</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0"/>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8"/>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1"/>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10,943</w:t>
            </w:r>
          </w:p>
        </w:tc>
        <w:tc>
          <w:tcPr>
            <w:tcW w:w="200" w:type="dxa"/>
            <w:vAlign w:val="bottom"/>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10,943</w:t>
            </w: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373,944</w:t>
            </w: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34.17</w:t>
            </w: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331,059</w:t>
            </w:r>
          </w:p>
        </w:tc>
        <w:tc>
          <w:tcPr>
            <w:tcW w:w="160" w:type="dxa"/>
            <w:vAlign w:val="bottom"/>
          </w:tcPr>
          <w:p>
            <w:pPr>
              <w:spacing w:after="0"/>
              <w:rPr>
                <w:sz w:val="17"/>
                <w:szCs w:val="17"/>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30.25</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249,818</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249,818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9,430,958</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37.75</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9,435,646</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37.77</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103,014</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103,014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4,224,809</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41.01</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4,110,728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39.90</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204,467</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204,467</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7,451,533</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36.44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7,675,710</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37.54</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126,318</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126,318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5,211,780</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41.26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5,412,187</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42.85</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168,607</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168,607</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7,239,513</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42.94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7,322,830</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43.43</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96,424</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96,424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3,632,459</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37.67</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3,846,098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39.89</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77,914</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77,914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2,882,859</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37.00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3,126,317</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40.13</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40,369</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40,369</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1,617,534</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40.07</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1,691,595</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41.90</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161,556</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161,556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6,552,721</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40.56</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7,266,901</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44.98</w:t>
            </w:r>
          </w:p>
        </w:tc>
      </w:tr>
      <w:tr>
        <w:trPr>
          <w:trHeight w:val="216"/>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403,571</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403,571</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15,892,832</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39.38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17,605,434</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43.62</w:t>
            </w:r>
          </w:p>
        </w:tc>
      </w:tr>
      <w:tr>
        <w:trPr>
          <w:trHeight w:val="641"/>
        </w:trPr>
        <w:tc>
          <w:tcPr>
            <w:tcW w:w="1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San Francisco</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0"/>
        </w:trPr>
        <w:tc>
          <w:tcPr>
            <w:tcW w:w="13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gridSpan w:val="2"/>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r>
      <w:tr>
        <w:trPr>
          <w:trHeight w:val="200"/>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BXP’s Share</w:t>
            </w:r>
          </w:p>
        </w:tc>
        <w:tc>
          <w:tcPr>
            <w:tcW w:w="16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r>
      <w:tr>
        <w:trPr>
          <w:trHeight w:val="198"/>
        </w:trPr>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100" w:type="dxa"/>
            <w:vAlign w:val="bottom"/>
            <w:tcBorders>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8"/>
        </w:trPr>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Rentable Square</w:t>
            </w:r>
          </w:p>
        </w:tc>
        <w:tc>
          <w:tcPr>
            <w:tcW w:w="31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Expiring Leases</w:t>
            </w:r>
          </w:p>
        </w:tc>
        <w:tc>
          <w:tcPr>
            <w:tcW w:w="180" w:type="dxa"/>
            <w:vAlign w:val="bottom"/>
          </w:tcPr>
          <w:p>
            <w:pPr>
              <w:spacing w:after="0"/>
              <w:rPr>
                <w:sz w:val="16"/>
                <w:szCs w:val="16"/>
                <w:color w:val="auto"/>
              </w:rPr>
            </w:pPr>
          </w:p>
        </w:tc>
        <w:tc>
          <w:tcPr>
            <w:tcW w:w="3100" w:type="dxa"/>
            <w:vAlign w:val="bottom"/>
            <w:tcBorders>
              <w:bottom w:val="single" w:sz="8" w:color="auto"/>
              <w:right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Leases with future step-ups</w:t>
            </w:r>
          </w:p>
        </w:tc>
      </w:tr>
      <w:tr>
        <w:trPr>
          <w:trHeight w:val="197"/>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98"/>
              </w:rPr>
              <w:t>Footage</w:t>
            </w:r>
            <w:r>
              <w:rPr>
                <w:rFonts w:ascii="Arial" w:cs="Arial" w:eastAsia="Arial" w:hAnsi="Arial"/>
                <w:sz w:val="17"/>
                <w:szCs w:val="17"/>
                <w:b w:val="1"/>
                <w:bCs w:val="1"/>
                <w:color w:val="auto"/>
                <w:w w:val="98"/>
                <w:vertAlign w:val="superscript"/>
              </w:rPr>
              <w:t>4</w:t>
            </w: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$/PSF</w:t>
            </w:r>
          </w:p>
        </w:tc>
        <w:tc>
          <w:tcPr>
            <w:tcW w:w="1620" w:type="dxa"/>
            <w:vAlign w:val="bottom"/>
          </w:tcPr>
          <w:p>
            <w:pPr>
              <w:jc w:val="right"/>
              <w:ind w:right="70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1"/>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180" w:type="dxa"/>
            <w:vAlign w:val="bottom"/>
          </w:tcPr>
          <w:p>
            <w:pPr>
              <w:spacing w:after="0"/>
              <w:rPr>
                <w:sz w:val="17"/>
                <w:szCs w:val="17"/>
                <w:color w:val="auto"/>
              </w:rPr>
            </w:pPr>
          </w:p>
        </w:tc>
        <w:tc>
          <w:tcPr>
            <w:tcW w:w="13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4,200</w:t>
            </w:r>
          </w:p>
        </w:tc>
        <w:tc>
          <w:tcPr>
            <w:tcW w:w="200" w:type="dxa"/>
            <w:vAlign w:val="bottom"/>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4,200</w:t>
            </w: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236,340</w:t>
            </w: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56.27</w:t>
            </w:r>
          </w:p>
        </w:tc>
        <w:tc>
          <w:tcPr>
            <w:tcW w:w="180" w:type="dxa"/>
            <w:vAlign w:val="bottom"/>
          </w:tcPr>
          <w:p>
            <w:pPr>
              <w:spacing w:after="0"/>
              <w:rPr>
                <w:sz w:val="17"/>
                <w:szCs w:val="17"/>
                <w:color w:val="auto"/>
              </w:rPr>
            </w:pPr>
          </w:p>
        </w:tc>
        <w:tc>
          <w:tcPr>
            <w:tcW w:w="162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color w:val="auto"/>
              </w:rPr>
              <w:t>236,340</w:t>
            </w:r>
          </w:p>
        </w:tc>
        <w:tc>
          <w:tcPr>
            <w:tcW w:w="160" w:type="dxa"/>
            <w:vAlign w:val="bottom"/>
          </w:tcPr>
          <w:p>
            <w:pPr>
              <w:spacing w:after="0"/>
              <w:rPr>
                <w:sz w:val="17"/>
                <w:szCs w:val="17"/>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56.27</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2027</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20,344</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20,344</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1,430,638</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70.32</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1,430,638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70.32</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2028</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50,089</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50,089</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3,084,459</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61.58</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3,233,723</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64.56</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2029</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81,211</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81,211</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5,685,449</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70.01</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4,966,821</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61.16</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2030</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128,510</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128,510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8,340,572</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64.90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9,019,906</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70.19</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53,421</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53,421</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2,953,924</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55.30</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3,562,209</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66.68</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2032</w:t>
            </w:r>
          </w:p>
        </w:tc>
        <w:tc>
          <w:tcPr>
            <w:tcW w:w="180" w:type="dxa"/>
            <w:vAlign w:val="bottom"/>
          </w:tcPr>
          <w:p>
            <w:pPr>
              <w:spacing w:after="0"/>
              <w:rPr>
                <w:sz w:val="18"/>
                <w:szCs w:val="18"/>
                <w:color w:val="auto"/>
              </w:rPr>
            </w:pPr>
          </w:p>
        </w:tc>
        <w:tc>
          <w:tcPr>
            <w:tcW w:w="1320" w:type="dxa"/>
            <w:vAlign w:val="bottom"/>
          </w:tcPr>
          <w:p>
            <w:pPr>
              <w:jc w:val="right"/>
              <w:ind w:right="9"/>
              <w:spacing w:after="0"/>
              <w:rPr>
                <w:sz w:val="20"/>
                <w:szCs w:val="20"/>
                <w:color w:val="auto"/>
              </w:rPr>
            </w:pPr>
            <w:r>
              <w:rPr>
                <w:rFonts w:ascii="Arial" w:cs="Arial" w:eastAsia="Arial" w:hAnsi="Arial"/>
                <w:sz w:val="14"/>
                <w:szCs w:val="14"/>
                <w:color w:val="auto"/>
              </w:rPr>
              <w:t>69,207</w:t>
            </w:r>
          </w:p>
        </w:tc>
        <w:tc>
          <w:tcPr>
            <w:tcW w:w="20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69,207</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4,012,103</w:t>
            </w:r>
          </w:p>
        </w:tc>
        <w:tc>
          <w:tcPr>
            <w:tcW w:w="180" w:type="dxa"/>
            <w:vAlign w:val="bottom"/>
          </w:tcPr>
          <w:p>
            <w:pPr>
              <w:spacing w:after="0"/>
              <w:rPr>
                <w:sz w:val="18"/>
                <w:szCs w:val="18"/>
                <w:color w:val="auto"/>
              </w:rPr>
            </w:pPr>
          </w:p>
        </w:tc>
        <w:tc>
          <w:tcPr>
            <w:tcW w:w="1300" w:type="dxa"/>
            <w:vAlign w:val="bottom"/>
          </w:tcPr>
          <w:p>
            <w:pPr>
              <w:jc w:val="right"/>
              <w:ind w:right="9"/>
              <w:spacing w:after="0"/>
              <w:rPr>
                <w:sz w:val="20"/>
                <w:szCs w:val="20"/>
                <w:color w:val="auto"/>
              </w:rPr>
            </w:pPr>
            <w:r>
              <w:rPr>
                <w:rFonts w:ascii="Arial" w:cs="Arial" w:eastAsia="Arial" w:hAnsi="Arial"/>
                <w:sz w:val="14"/>
                <w:szCs w:val="14"/>
                <w:color w:val="auto"/>
              </w:rPr>
              <w:t>57.97</w:t>
            </w:r>
          </w:p>
        </w:tc>
        <w:tc>
          <w:tcPr>
            <w:tcW w:w="180" w:type="dxa"/>
            <w:vAlign w:val="bottom"/>
          </w:tcPr>
          <w:p>
            <w:pPr>
              <w:spacing w:after="0"/>
              <w:rPr>
                <w:sz w:val="18"/>
                <w:szCs w:val="18"/>
                <w:color w:val="auto"/>
              </w:rPr>
            </w:pPr>
          </w:p>
        </w:tc>
        <w:tc>
          <w:tcPr>
            <w:tcW w:w="1620" w:type="dxa"/>
            <w:vAlign w:val="bottom"/>
          </w:tcPr>
          <w:p>
            <w:pPr>
              <w:jc w:val="right"/>
              <w:ind w:right="9"/>
              <w:spacing w:after="0"/>
              <w:rPr>
                <w:sz w:val="20"/>
                <w:szCs w:val="20"/>
                <w:color w:val="auto"/>
              </w:rPr>
            </w:pPr>
            <w:r>
              <w:rPr>
                <w:rFonts w:ascii="Arial" w:cs="Arial" w:eastAsia="Arial" w:hAnsi="Arial"/>
                <w:sz w:val="14"/>
                <w:szCs w:val="14"/>
                <w:color w:val="auto"/>
              </w:rPr>
              <w:t>3,778,656</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54.60</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2033</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2034</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360" w:type="dxa"/>
            <w:vAlign w:val="bottom"/>
          </w:tcPr>
          <w:p>
            <w:pPr>
              <w:jc w:val="center"/>
              <w:spacing w:after="0"/>
              <w:rPr>
                <w:sz w:val="20"/>
                <w:szCs w:val="20"/>
                <w:color w:val="auto"/>
              </w:rPr>
            </w:pPr>
            <w:r>
              <w:rPr>
                <w:rFonts w:ascii="Arial" w:cs="Arial" w:eastAsia="Arial" w:hAnsi="Arial"/>
                <w:sz w:val="14"/>
                <w:szCs w:val="14"/>
                <w:color w:val="auto"/>
              </w:rPr>
              <w:t>2035</w:t>
            </w:r>
          </w:p>
        </w:tc>
        <w:tc>
          <w:tcPr>
            <w:tcW w:w="1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540" w:type="dxa"/>
            <w:vAlign w:val="bottom"/>
            <w:gridSpan w:val="2"/>
          </w:tcPr>
          <w:p>
            <w:pPr>
              <w:jc w:val="center"/>
              <w:ind w:right="160"/>
              <w:spacing w:after="0"/>
              <w:rPr>
                <w:sz w:val="20"/>
                <w:szCs w:val="20"/>
                <w:color w:val="auto"/>
              </w:rPr>
            </w:pPr>
            <w:r>
              <w:rPr>
                <w:rFonts w:ascii="Arial" w:cs="Arial" w:eastAsia="Arial" w:hAnsi="Arial"/>
                <w:sz w:val="14"/>
                <w:szCs w:val="14"/>
                <w:color w:val="auto"/>
              </w:rPr>
              <w:t>Thereafter</w:t>
            </w: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ectPr>
          <w:pgSz w:w="11900" w:h="16838" w:orient="portrait"/>
          <w:cols w:equalWidth="0" w:num="1">
            <w:col w:w="11240"/>
          </w:cols>
          <w:pgMar w:left="320" w:top="279" w:right="339" w:bottom="1440" w:gutter="0" w:footer="0" w:header="0"/>
        </w:sectPr>
      </w:pPr>
    </w:p>
    <w:p>
      <w:pPr>
        <w:spacing w:after="0" w:line="366"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53</w:t>
      </w:r>
    </w:p>
    <w:p>
      <w:pPr>
        <w:sectPr>
          <w:pgSz w:w="11900" w:h="16838" w:orient="portrait"/>
          <w:cols w:equalWidth="0" w:num="1">
            <w:col w:w="11240"/>
          </w:cols>
          <w:pgMar w:left="320" w:top="279" w:right="339" w:bottom="1440" w:gutter="0" w:footer="0" w:header="0"/>
          <w:type w:val="continuous"/>
        </w:sectPr>
      </w:pPr>
    </w:p>
    <w:bookmarkStart w:id="61" w:name="page62"/>
    <w:bookmarkEnd w:id="61"/>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-78740</wp:posOffset>
            </wp:positionV>
            <wp:extent cx="257175" cy="1631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57175" cy="163195"/>
                    </a:xfrm>
                    <a:prstGeom prst="rect">
                      <a:avLst/>
                    </a:prstGeom>
                    <a:noFill/>
                  </pic:spPr>
                </pic:pic>
              </a:graphicData>
            </a:graphic>
          </wp:anchor>
        </w:drawing>
      </w:r>
    </w:p>
    <w:p>
      <w:pPr>
        <w:spacing w:after="0" w:line="33"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 xml:space="preserve">Lease expirations - Suburban properties (continued) </w:t>
      </w:r>
      <w:r>
        <w:rPr>
          <w:rFonts w:ascii="Arial" w:cs="Arial" w:eastAsia="Arial" w:hAnsi="Arial"/>
          <w:sz w:val="18"/>
          <w:szCs w:val="18"/>
          <w:b w:val="1"/>
          <w:bCs w:val="1"/>
          <w:color w:val="00497F"/>
          <w:vertAlign w:val="superscript"/>
        </w:rPr>
        <w:t>1, 2, 3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as of September 30, 2026</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Washington, 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690943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09435" cy="1714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BXP’s Share</w:t>
            </w:r>
          </w:p>
        </w:tc>
        <w:tc>
          <w:tcPr>
            <w:tcW w:w="1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98"/>
        </w:trPr>
        <w:tc>
          <w:tcPr>
            <w:tcW w:w="1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gridSpan w:val="4"/>
          </w:tcPr>
          <w:p>
            <w:pPr>
              <w:ind w:left="80"/>
              <w:spacing w:after="0"/>
              <w:rPr>
                <w:sz w:val="20"/>
                <w:szCs w:val="20"/>
                <w:color w:val="auto"/>
              </w:rPr>
            </w:pPr>
            <w:r>
              <w:rPr>
                <w:rFonts w:ascii="Arial" w:cs="Arial" w:eastAsia="Arial" w:hAnsi="Arial"/>
                <w:sz w:val="13"/>
                <w:szCs w:val="13"/>
                <w:b w:val="1"/>
                <w:bCs w:val="1"/>
                <w:color w:val="auto"/>
              </w:rPr>
              <w:t>Current Annualized Rental Obligations Under</w:t>
            </w:r>
          </w:p>
        </w:tc>
        <w:tc>
          <w:tcPr>
            <w:tcW w:w="3080" w:type="dxa"/>
            <w:vAlign w:val="bottom"/>
            <w:tcBorders>
              <w:right w:val="single" w:sz="8" w:color="auto"/>
            </w:tcBorders>
            <w:gridSpan w:val="3"/>
          </w:tcPr>
          <w:p>
            <w:pPr>
              <w:jc w:val="right"/>
              <w:ind w:right="8"/>
              <w:spacing w:after="0"/>
              <w:rPr>
                <w:sz w:val="20"/>
                <w:szCs w:val="20"/>
                <w:color w:val="auto"/>
              </w:rPr>
            </w:pPr>
            <w:r>
              <w:rPr>
                <w:rFonts w:ascii="Arial" w:cs="Arial" w:eastAsia="Arial" w:hAnsi="Arial"/>
                <w:sz w:val="13"/>
                <w:szCs w:val="13"/>
                <w:b w:val="1"/>
                <w:bCs w:val="1"/>
                <w:color w:val="auto"/>
              </w:rPr>
              <w:t>Annualized Rental Obligations Under Expiring</w:t>
            </w:r>
          </w:p>
        </w:tc>
      </w:tr>
      <w:tr>
        <w:trPr>
          <w:trHeight w:val="186"/>
        </w:trPr>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Rentable Square</w:t>
            </w:r>
          </w:p>
        </w:tc>
        <w:tc>
          <w:tcPr>
            <w:tcW w:w="3080" w:type="dxa"/>
            <w:vAlign w:val="bottom"/>
            <w:tcBorders>
              <w:bottom w:val="single" w:sz="8" w:color="auto"/>
            </w:tcBorders>
            <w:gridSpan w:val="3"/>
          </w:tcPr>
          <w:p>
            <w:pPr>
              <w:jc w:val="right"/>
              <w:ind w:right="949"/>
              <w:spacing w:after="0"/>
              <w:rPr>
                <w:sz w:val="20"/>
                <w:szCs w:val="20"/>
                <w:color w:val="auto"/>
              </w:rPr>
            </w:pPr>
            <w:r>
              <w:rPr>
                <w:rFonts w:ascii="Arial" w:cs="Arial" w:eastAsia="Arial" w:hAnsi="Arial"/>
                <w:sz w:val="13"/>
                <w:szCs w:val="13"/>
                <w:b w:val="1"/>
                <w:bCs w:val="1"/>
                <w:color w:val="auto"/>
              </w:rPr>
              <w:t>Expiring Leases</w:t>
            </w:r>
          </w:p>
        </w:tc>
        <w:tc>
          <w:tcPr>
            <w:tcW w:w="200" w:type="dxa"/>
            <w:vAlign w:val="bottom"/>
          </w:tcPr>
          <w:p>
            <w:pPr>
              <w:spacing w:after="0"/>
              <w:rPr>
                <w:sz w:val="16"/>
                <w:szCs w:val="16"/>
                <w:color w:val="auto"/>
              </w:rPr>
            </w:pPr>
          </w:p>
        </w:tc>
        <w:tc>
          <w:tcPr>
            <w:tcW w:w="3080" w:type="dxa"/>
            <w:vAlign w:val="bottom"/>
            <w:tcBorders>
              <w:bottom w:val="single" w:sz="8" w:color="auto"/>
              <w:right w:val="single" w:sz="8" w:color="auto"/>
            </w:tcBorders>
            <w:gridSpan w:val="3"/>
          </w:tcPr>
          <w:p>
            <w:pPr>
              <w:jc w:val="right"/>
              <w:ind w:right="588"/>
              <w:spacing w:after="0"/>
              <w:rPr>
                <w:sz w:val="20"/>
                <w:szCs w:val="20"/>
                <w:color w:val="auto"/>
              </w:rPr>
            </w:pPr>
            <w:r>
              <w:rPr>
                <w:rFonts w:ascii="Arial" w:cs="Arial" w:eastAsia="Arial" w:hAnsi="Arial"/>
                <w:sz w:val="13"/>
                <w:szCs w:val="13"/>
                <w:b w:val="1"/>
                <w:bCs w:val="1"/>
                <w:color w:val="auto"/>
              </w:rPr>
              <w:t>Leases with future step-ups</w:t>
            </w:r>
          </w:p>
        </w:tc>
      </w:tr>
      <w:tr>
        <w:trPr>
          <w:trHeight w:val="199"/>
        </w:trPr>
        <w:tc>
          <w:tcPr>
            <w:tcW w:w="15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9"/>
              </w:rPr>
              <w:t>Year</w:t>
            </w:r>
          </w:p>
        </w:tc>
        <w:tc>
          <w:tcPr>
            <w:tcW w:w="15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4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Footage</w:t>
            </w:r>
            <w:r>
              <w:rPr>
                <w:rFonts w:ascii="Arial" w:cs="Arial" w:eastAsia="Arial" w:hAnsi="Arial"/>
                <w:sz w:val="17"/>
                <w:szCs w:val="17"/>
                <w:b w:val="1"/>
                <w:bCs w:val="1"/>
                <w:color w:val="auto"/>
                <w:vertAlign w:val="superscript"/>
              </w:rPr>
              <w:t>4</w:t>
            </w:r>
          </w:p>
        </w:tc>
        <w:tc>
          <w:tcPr>
            <w:tcW w:w="160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$/PSF</w:t>
            </w:r>
          </w:p>
        </w:tc>
        <w:tc>
          <w:tcPr>
            <w:tcW w:w="1600" w:type="dxa"/>
            <w:vAlign w:val="bottom"/>
          </w:tcPr>
          <w:p>
            <w:pPr>
              <w:jc w:val="right"/>
              <w:ind w:right="68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1320" w:type="dxa"/>
            <w:vAlign w:val="bottom"/>
            <w:tcBorders>
              <w:right w:val="single" w:sz="8" w:color="auto"/>
            </w:tcBorders>
          </w:tcPr>
          <w:p>
            <w:pPr>
              <w:jc w:val="right"/>
              <w:ind w:right="408"/>
              <w:spacing w:after="0"/>
              <w:rPr>
                <w:sz w:val="20"/>
                <w:szCs w:val="20"/>
                <w:color w:val="auto"/>
              </w:rPr>
            </w:pPr>
            <w:r>
              <w:rPr>
                <w:rFonts w:ascii="Arial" w:cs="Arial" w:eastAsia="Arial" w:hAnsi="Arial"/>
                <w:sz w:val="13"/>
                <w:szCs w:val="13"/>
                <w:b w:val="1"/>
                <w:bCs w:val="1"/>
                <w:color w:val="auto"/>
              </w:rPr>
              <w:t>$/PSF</w:t>
            </w:r>
          </w:p>
        </w:tc>
      </w:tr>
      <w:tr>
        <w:trPr>
          <w:trHeight w:val="202"/>
        </w:trPr>
        <w:tc>
          <w:tcPr>
            <w:tcW w:w="13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2026</w:t>
            </w:r>
          </w:p>
        </w:tc>
        <w:tc>
          <w:tcPr>
            <w:tcW w:w="20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3,953</w:t>
            </w:r>
          </w:p>
        </w:tc>
        <w:tc>
          <w:tcPr>
            <w:tcW w:w="22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3,953</w:t>
            </w:r>
          </w:p>
        </w:tc>
        <w:tc>
          <w:tcPr>
            <w:tcW w:w="20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166,189</w:t>
            </w:r>
          </w:p>
        </w:tc>
        <w:tc>
          <w:tcPr>
            <w:tcW w:w="18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42.04</w:t>
            </w:r>
          </w:p>
        </w:tc>
        <w:tc>
          <w:tcPr>
            <w:tcW w:w="20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166,189</w:t>
            </w:r>
          </w:p>
        </w:tc>
        <w:tc>
          <w:tcPr>
            <w:tcW w:w="160" w:type="dxa"/>
            <w:vAlign w:val="bottom"/>
          </w:tcPr>
          <w:p>
            <w:pPr>
              <w:spacing w:after="0"/>
              <w:rPr>
                <w:sz w:val="17"/>
                <w:szCs w:val="17"/>
                <w:color w:val="auto"/>
              </w:rPr>
            </w:pPr>
          </w:p>
        </w:tc>
        <w:tc>
          <w:tcPr>
            <w:tcW w:w="13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42.04</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2027</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3,877</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3,877</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166,429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42.93</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166,429</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42.93</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2028</w:t>
            </w:r>
          </w:p>
        </w:tc>
        <w:tc>
          <w:tcPr>
            <w:tcW w:w="2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2029</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11,010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11,010</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392,268</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35.63</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422,454</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38.37</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2030</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24,052</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24,052</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933,320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38.80</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1,010,092</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42.00</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2031</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16,800</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16,800</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610,977</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36.37</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681,213</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40.55</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2032</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1,973</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1,973</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68,562</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34.75</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77,578</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39.32</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2033</w:t>
            </w:r>
          </w:p>
        </w:tc>
        <w:tc>
          <w:tcPr>
            <w:tcW w:w="2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2034</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8,462</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8,462</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339,604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40.13</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403,223</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47.65</w:t>
            </w:r>
          </w:p>
        </w:tc>
      </w:tr>
      <w:tr>
        <w:trPr>
          <w:trHeight w:val="216"/>
        </w:trPr>
        <w:tc>
          <w:tcPr>
            <w:tcW w:w="1340" w:type="dxa"/>
            <w:vAlign w:val="bottom"/>
          </w:tcPr>
          <w:p>
            <w:pPr>
              <w:jc w:val="center"/>
              <w:spacing w:after="0"/>
              <w:rPr>
                <w:sz w:val="20"/>
                <w:szCs w:val="20"/>
                <w:color w:val="auto"/>
              </w:rPr>
            </w:pPr>
            <w:r>
              <w:rPr>
                <w:rFonts w:ascii="Arial" w:cs="Arial" w:eastAsia="Arial" w:hAnsi="Arial"/>
                <w:sz w:val="14"/>
                <w:szCs w:val="14"/>
                <w:color w:val="auto"/>
              </w:rPr>
              <w:t>2035</w:t>
            </w:r>
          </w:p>
        </w:tc>
        <w:tc>
          <w:tcPr>
            <w:tcW w:w="2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16"/>
        </w:trPr>
        <w:tc>
          <w:tcPr>
            <w:tcW w:w="1540" w:type="dxa"/>
            <w:vAlign w:val="bottom"/>
            <w:gridSpan w:val="2"/>
          </w:tcPr>
          <w:p>
            <w:pPr>
              <w:jc w:val="center"/>
              <w:ind w:right="200"/>
              <w:spacing w:after="0"/>
              <w:rPr>
                <w:sz w:val="20"/>
                <w:szCs w:val="20"/>
                <w:color w:val="auto"/>
              </w:rPr>
            </w:pPr>
            <w:r>
              <w:rPr>
                <w:rFonts w:ascii="Arial" w:cs="Arial" w:eastAsia="Arial" w:hAnsi="Arial"/>
                <w:sz w:val="14"/>
                <w:szCs w:val="14"/>
                <w:color w:val="auto"/>
              </w:rPr>
              <w:t>Thereafter</w:t>
            </w:r>
          </w:p>
        </w:tc>
        <w:tc>
          <w:tcPr>
            <w:tcW w:w="1300" w:type="dxa"/>
            <w:vAlign w:val="bottom"/>
          </w:tcPr>
          <w:p>
            <w:pPr>
              <w:jc w:val="right"/>
              <w:spacing w:after="0"/>
              <w:rPr>
                <w:sz w:val="20"/>
                <w:szCs w:val="20"/>
                <w:color w:val="auto"/>
              </w:rPr>
            </w:pPr>
            <w:r>
              <w:rPr>
                <w:rFonts w:ascii="Arial" w:cs="Arial" w:eastAsia="Arial" w:hAnsi="Arial"/>
                <w:sz w:val="14"/>
                <w:szCs w:val="14"/>
                <w:color w:val="auto"/>
              </w:rPr>
              <w:t>12,849</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12,849</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456,140</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35.50</w:t>
            </w:r>
          </w:p>
        </w:tc>
        <w:tc>
          <w:tcPr>
            <w:tcW w:w="2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501,111</w:t>
            </w:r>
          </w:p>
        </w:tc>
        <w:tc>
          <w:tcPr>
            <w:tcW w:w="16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39.00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122"/>
        </w:numPr>
        <w:rPr>
          <w:rFonts w:ascii="Arial" w:cs="Arial" w:eastAsia="Arial" w:hAnsi="Arial"/>
          <w:sz w:val="19"/>
          <w:szCs w:val="19"/>
          <w:color w:val="auto"/>
          <w:vertAlign w:val="superscript"/>
        </w:rPr>
      </w:pPr>
      <w:r>
        <w:rPr>
          <w:rFonts w:ascii="Arial" w:cs="Arial" w:eastAsia="Arial" w:hAnsi="Arial"/>
          <w:sz w:val="14"/>
          <w:szCs w:val="14"/>
          <w:color w:val="auto"/>
        </w:rPr>
        <w:t>For the Company’s definitions and related disclosures, see the Definitions section of this Supplemental package starting on page 56.</w:t>
      </w:r>
    </w:p>
    <w:p>
      <w:pPr>
        <w:spacing w:after="0" w:line="39" w:lineRule="exact"/>
        <w:rPr>
          <w:rFonts w:ascii="Arial" w:cs="Arial" w:eastAsia="Arial" w:hAnsi="Arial"/>
          <w:sz w:val="19"/>
          <w:szCs w:val="19"/>
          <w:color w:val="auto"/>
          <w:vertAlign w:val="superscript"/>
        </w:rPr>
      </w:pPr>
    </w:p>
    <w:p>
      <w:pPr>
        <w:spacing w:after="0" w:line="234"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partially placed in-service leased space. Does not include residential units and hotel.</w:t>
      </w:r>
    </w:p>
    <w:p>
      <w:pPr>
        <w:ind w:left="80" w:right="200" w:hanging="81"/>
        <w:spacing w:after="0" w:line="229"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Does not include data for leases expiring in a particular year when leases for the same space have already been signed with replacement clients with future commencement dates. In those cases, the data is included in the year in which the replacement lease expires.</w:t>
      </w:r>
    </w:p>
    <w:p>
      <w:pPr>
        <w:spacing w:after="0" w:line="12"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4 </w:t>
      </w:r>
      <w:r>
        <w:rPr>
          <w:rFonts w:ascii="Arial" w:cs="Arial" w:eastAsia="Arial" w:hAnsi="Arial"/>
          <w:sz w:val="14"/>
          <w:szCs w:val="14"/>
          <w:color w:val="auto"/>
        </w:rPr>
        <w:t>Represents rentable square footage that is anticipated to become vacant in the noted period.</w:t>
      </w:r>
    </w:p>
    <w:p>
      <w:pPr>
        <w:sectPr>
          <w:pgSz w:w="11900" w:h="16838" w:orient="portrait"/>
          <w:cols w:equalWidth="0" w:num="1">
            <w:col w:w="11240"/>
          </w:cols>
          <w:pgMar w:left="320" w:top="279"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240"/>
          </w:cols>
          <w:pgMar w:left="320" w:top="279" w:right="339" w:bottom="0" w:gutter="0" w:footer="0" w:header="0"/>
          <w:type w:val="continuous"/>
        </w:sectPr>
      </w:pPr>
    </w:p>
    <w:bookmarkStart w:id="62" w:name="page63"/>
    <w:bookmarkEnd w:id="62"/>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Research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With the exception of Green Street Advisors, an independent research firm, the equity analysts listed below are those analysts that, according to Thomson Reuters Corporation, have published research material on the Company and are listed as covering the Company. Please note that any opinions, estimates or forecasts regarding the Company’s performance made by the analysts listed below do not represent the opinions, estimates or forecasts of the Company or its management. The Company does not by its reference below imply its endorsement of or concurrence with any information, conclusions or recommendations made by any of such analysts.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Equity Research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65493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49390" cy="1714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60" w:type="dxa"/>
            <w:vAlign w:val="bottom"/>
          </w:tcPr>
          <w:p>
            <w:pPr>
              <w:ind w:left="20"/>
              <w:spacing w:after="0"/>
              <w:rPr>
                <w:sz w:val="20"/>
                <w:szCs w:val="20"/>
                <w:color w:val="auto"/>
              </w:rPr>
            </w:pPr>
            <w:r>
              <w:rPr>
                <w:rFonts w:ascii="Arial" w:cs="Arial" w:eastAsia="Arial" w:hAnsi="Arial"/>
                <w:sz w:val="14"/>
                <w:szCs w:val="14"/>
                <w:color w:val="auto"/>
              </w:rPr>
              <w:t>Bank of America Merrill Lynch</w:t>
            </w:r>
          </w:p>
        </w:tc>
        <w:tc>
          <w:tcPr>
            <w:tcW w:w="3760" w:type="dxa"/>
            <w:vAlign w:val="bottom"/>
          </w:tcPr>
          <w:p>
            <w:pPr>
              <w:ind w:left="640"/>
              <w:spacing w:after="0"/>
              <w:rPr>
                <w:sz w:val="20"/>
                <w:szCs w:val="20"/>
                <w:color w:val="auto"/>
              </w:rPr>
            </w:pPr>
            <w:r>
              <w:rPr>
                <w:rFonts w:ascii="Arial" w:cs="Arial" w:eastAsia="Arial" w:hAnsi="Arial"/>
                <w:sz w:val="14"/>
                <w:szCs w:val="14"/>
                <w:color w:val="auto"/>
              </w:rPr>
              <w:t>Jeffrey Spector / Jana Galan</w:t>
            </w:r>
          </w:p>
        </w:tc>
        <w:tc>
          <w:tcPr>
            <w:tcW w:w="4000" w:type="dxa"/>
            <w:vAlign w:val="bottom"/>
          </w:tcPr>
          <w:p>
            <w:pPr>
              <w:ind w:left="1180"/>
              <w:spacing w:after="0"/>
              <w:rPr>
                <w:sz w:val="20"/>
                <w:szCs w:val="20"/>
                <w:color w:val="auto"/>
              </w:rPr>
            </w:pPr>
            <w:r>
              <w:rPr>
                <w:rFonts w:ascii="Arial" w:cs="Arial" w:eastAsia="Arial" w:hAnsi="Arial"/>
                <w:sz w:val="14"/>
                <w:szCs w:val="14"/>
                <w:color w:val="auto"/>
              </w:rPr>
              <w:t>646.855.1363 / 646.855.5042</w:t>
            </w:r>
          </w:p>
        </w:tc>
        <w:tc>
          <w:tcPr>
            <w:tcW w:w="40" w:type="dxa"/>
            <w:vAlign w:val="bottom"/>
          </w:tcPr>
          <w:p>
            <w:pPr>
              <w:spacing w:after="0"/>
              <w:rPr>
                <w:sz w:val="16"/>
                <w:szCs w:val="16"/>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Barclays</w:t>
            </w:r>
          </w:p>
        </w:tc>
        <w:tc>
          <w:tcPr>
            <w:tcW w:w="3760" w:type="dxa"/>
            <w:vAlign w:val="bottom"/>
          </w:tcPr>
          <w:p>
            <w:pPr>
              <w:ind w:left="640"/>
              <w:spacing w:after="0"/>
              <w:rPr>
                <w:sz w:val="20"/>
                <w:szCs w:val="20"/>
                <w:color w:val="auto"/>
              </w:rPr>
            </w:pPr>
            <w:r>
              <w:rPr>
                <w:rFonts w:ascii="Arial" w:cs="Arial" w:eastAsia="Arial" w:hAnsi="Arial"/>
                <w:sz w:val="14"/>
                <w:szCs w:val="14"/>
                <w:color w:val="auto"/>
              </w:rPr>
              <w:t>Brendan Lynch</w:t>
            </w:r>
          </w:p>
        </w:tc>
        <w:tc>
          <w:tcPr>
            <w:tcW w:w="4000" w:type="dxa"/>
            <w:vAlign w:val="bottom"/>
          </w:tcPr>
          <w:p>
            <w:pPr>
              <w:ind w:left="1180"/>
              <w:spacing w:after="0"/>
              <w:rPr>
                <w:sz w:val="20"/>
                <w:szCs w:val="20"/>
                <w:color w:val="auto"/>
              </w:rPr>
            </w:pPr>
            <w:r>
              <w:rPr>
                <w:rFonts w:ascii="Arial" w:cs="Arial" w:eastAsia="Arial" w:hAnsi="Arial"/>
                <w:sz w:val="14"/>
                <w:szCs w:val="14"/>
                <w:color w:val="auto"/>
              </w:rPr>
              <w:t>212.526.9428</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BMO Capital</w:t>
            </w:r>
          </w:p>
        </w:tc>
        <w:tc>
          <w:tcPr>
            <w:tcW w:w="3760" w:type="dxa"/>
            <w:vAlign w:val="bottom"/>
          </w:tcPr>
          <w:p>
            <w:pPr>
              <w:ind w:left="640"/>
              <w:spacing w:after="0"/>
              <w:rPr>
                <w:sz w:val="20"/>
                <w:szCs w:val="20"/>
                <w:color w:val="auto"/>
              </w:rPr>
            </w:pPr>
            <w:r>
              <w:rPr>
                <w:rFonts w:ascii="Arial" w:cs="Arial" w:eastAsia="Arial" w:hAnsi="Arial"/>
                <w:sz w:val="14"/>
                <w:szCs w:val="14"/>
                <w:color w:val="auto"/>
              </w:rPr>
              <w:t>John Kim</w:t>
            </w:r>
          </w:p>
        </w:tc>
        <w:tc>
          <w:tcPr>
            <w:tcW w:w="4000" w:type="dxa"/>
            <w:vAlign w:val="bottom"/>
          </w:tcPr>
          <w:p>
            <w:pPr>
              <w:ind w:left="1180"/>
              <w:spacing w:after="0"/>
              <w:rPr>
                <w:sz w:val="20"/>
                <w:szCs w:val="20"/>
                <w:color w:val="auto"/>
              </w:rPr>
            </w:pPr>
            <w:r>
              <w:rPr>
                <w:rFonts w:ascii="Arial" w:cs="Arial" w:eastAsia="Arial" w:hAnsi="Arial"/>
                <w:sz w:val="14"/>
                <w:szCs w:val="14"/>
                <w:color w:val="auto"/>
              </w:rPr>
              <w:t>212.885.4115</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BTIG</w:t>
            </w:r>
          </w:p>
        </w:tc>
        <w:tc>
          <w:tcPr>
            <w:tcW w:w="3760" w:type="dxa"/>
            <w:vAlign w:val="bottom"/>
          </w:tcPr>
          <w:p>
            <w:pPr>
              <w:ind w:left="640"/>
              <w:spacing w:after="0"/>
              <w:rPr>
                <w:sz w:val="20"/>
                <w:szCs w:val="20"/>
                <w:color w:val="auto"/>
              </w:rPr>
            </w:pPr>
            <w:r>
              <w:rPr>
                <w:rFonts w:ascii="Arial" w:cs="Arial" w:eastAsia="Arial" w:hAnsi="Arial"/>
                <w:sz w:val="14"/>
                <w:szCs w:val="14"/>
                <w:color w:val="auto"/>
              </w:rPr>
              <w:t>Tom Catherwood</w:t>
            </w:r>
          </w:p>
        </w:tc>
        <w:tc>
          <w:tcPr>
            <w:tcW w:w="4000" w:type="dxa"/>
            <w:vAlign w:val="bottom"/>
          </w:tcPr>
          <w:p>
            <w:pPr>
              <w:ind w:left="1180"/>
              <w:spacing w:after="0"/>
              <w:rPr>
                <w:sz w:val="20"/>
                <w:szCs w:val="20"/>
                <w:color w:val="auto"/>
              </w:rPr>
            </w:pPr>
            <w:r>
              <w:rPr>
                <w:rFonts w:ascii="Arial" w:cs="Arial" w:eastAsia="Arial" w:hAnsi="Arial"/>
                <w:sz w:val="14"/>
                <w:szCs w:val="14"/>
                <w:color w:val="auto"/>
              </w:rPr>
              <w:t>212.738.6140</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Cantor</w:t>
            </w:r>
          </w:p>
        </w:tc>
        <w:tc>
          <w:tcPr>
            <w:tcW w:w="3760" w:type="dxa"/>
            <w:vAlign w:val="bottom"/>
          </w:tcPr>
          <w:p>
            <w:pPr>
              <w:ind w:left="640"/>
              <w:spacing w:after="0"/>
              <w:rPr>
                <w:sz w:val="20"/>
                <w:szCs w:val="20"/>
                <w:color w:val="auto"/>
              </w:rPr>
            </w:pPr>
            <w:r>
              <w:rPr>
                <w:rFonts w:ascii="Arial" w:cs="Arial" w:eastAsia="Arial" w:hAnsi="Arial"/>
                <w:sz w:val="14"/>
                <w:szCs w:val="14"/>
                <w:color w:val="auto"/>
              </w:rPr>
              <w:t>Richard Anderson</w:t>
            </w:r>
          </w:p>
        </w:tc>
        <w:tc>
          <w:tcPr>
            <w:tcW w:w="4000" w:type="dxa"/>
            <w:vAlign w:val="bottom"/>
          </w:tcPr>
          <w:p>
            <w:pPr>
              <w:ind w:left="1180"/>
              <w:spacing w:after="0"/>
              <w:rPr>
                <w:sz w:val="20"/>
                <w:szCs w:val="20"/>
                <w:color w:val="auto"/>
              </w:rPr>
            </w:pPr>
            <w:r>
              <w:rPr>
                <w:rFonts w:ascii="Arial" w:cs="Arial" w:eastAsia="Arial" w:hAnsi="Arial"/>
                <w:sz w:val="14"/>
                <w:szCs w:val="14"/>
                <w:color w:val="auto"/>
              </w:rPr>
              <w:t>929.441.6927</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Citi</w:t>
            </w:r>
          </w:p>
        </w:tc>
        <w:tc>
          <w:tcPr>
            <w:tcW w:w="3760" w:type="dxa"/>
            <w:vAlign w:val="bottom"/>
          </w:tcPr>
          <w:p>
            <w:pPr>
              <w:ind w:left="640"/>
              <w:spacing w:after="0"/>
              <w:rPr>
                <w:sz w:val="20"/>
                <w:szCs w:val="20"/>
                <w:color w:val="auto"/>
              </w:rPr>
            </w:pPr>
            <w:r>
              <w:rPr>
                <w:rFonts w:ascii="Arial" w:cs="Arial" w:eastAsia="Arial" w:hAnsi="Arial"/>
                <w:sz w:val="14"/>
                <w:szCs w:val="14"/>
                <w:color w:val="auto"/>
              </w:rPr>
              <w:t>Nicholas Joseph / Seth Bergey</w:t>
            </w:r>
          </w:p>
        </w:tc>
        <w:tc>
          <w:tcPr>
            <w:tcW w:w="4000" w:type="dxa"/>
            <w:vAlign w:val="bottom"/>
          </w:tcPr>
          <w:p>
            <w:pPr>
              <w:ind w:left="1180"/>
              <w:spacing w:after="0"/>
              <w:rPr>
                <w:sz w:val="20"/>
                <w:szCs w:val="20"/>
                <w:color w:val="auto"/>
              </w:rPr>
            </w:pPr>
            <w:r>
              <w:rPr>
                <w:rFonts w:ascii="Arial" w:cs="Arial" w:eastAsia="Arial" w:hAnsi="Arial"/>
                <w:sz w:val="14"/>
                <w:szCs w:val="14"/>
                <w:color w:val="auto"/>
              </w:rPr>
              <w:t>212.816.1909 / 212.816.2066</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Deutsche Bank</w:t>
            </w:r>
          </w:p>
        </w:tc>
        <w:tc>
          <w:tcPr>
            <w:tcW w:w="3760" w:type="dxa"/>
            <w:vAlign w:val="bottom"/>
          </w:tcPr>
          <w:p>
            <w:pPr>
              <w:ind w:left="640"/>
              <w:spacing w:after="0"/>
              <w:rPr>
                <w:sz w:val="20"/>
                <w:szCs w:val="20"/>
                <w:color w:val="auto"/>
              </w:rPr>
            </w:pPr>
            <w:r>
              <w:rPr>
                <w:rFonts w:ascii="Arial" w:cs="Arial" w:eastAsia="Arial" w:hAnsi="Arial"/>
                <w:sz w:val="14"/>
                <w:szCs w:val="14"/>
                <w:color w:val="auto"/>
              </w:rPr>
              <w:t>Omotayo Okusanya</w:t>
            </w:r>
          </w:p>
        </w:tc>
        <w:tc>
          <w:tcPr>
            <w:tcW w:w="4000" w:type="dxa"/>
            <w:vAlign w:val="bottom"/>
          </w:tcPr>
          <w:p>
            <w:pPr>
              <w:ind w:left="1180"/>
              <w:spacing w:after="0"/>
              <w:rPr>
                <w:sz w:val="20"/>
                <w:szCs w:val="20"/>
                <w:color w:val="auto"/>
              </w:rPr>
            </w:pPr>
            <w:r>
              <w:rPr>
                <w:rFonts w:ascii="Arial" w:cs="Arial" w:eastAsia="Arial" w:hAnsi="Arial"/>
                <w:sz w:val="14"/>
                <w:szCs w:val="14"/>
                <w:color w:val="auto"/>
              </w:rPr>
              <w:t>212.250.9284</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Evercore ISI</w:t>
            </w:r>
          </w:p>
        </w:tc>
        <w:tc>
          <w:tcPr>
            <w:tcW w:w="3760" w:type="dxa"/>
            <w:vAlign w:val="bottom"/>
          </w:tcPr>
          <w:p>
            <w:pPr>
              <w:ind w:left="640"/>
              <w:spacing w:after="0"/>
              <w:rPr>
                <w:sz w:val="20"/>
                <w:szCs w:val="20"/>
                <w:color w:val="auto"/>
              </w:rPr>
            </w:pPr>
            <w:r>
              <w:rPr>
                <w:rFonts w:ascii="Arial" w:cs="Arial" w:eastAsia="Arial" w:hAnsi="Arial"/>
                <w:sz w:val="14"/>
                <w:szCs w:val="14"/>
                <w:color w:val="auto"/>
              </w:rPr>
              <w:t>Steve Sakwa</w:t>
            </w:r>
          </w:p>
        </w:tc>
        <w:tc>
          <w:tcPr>
            <w:tcW w:w="4000" w:type="dxa"/>
            <w:vAlign w:val="bottom"/>
          </w:tcPr>
          <w:p>
            <w:pPr>
              <w:ind w:left="1180"/>
              <w:spacing w:after="0"/>
              <w:rPr>
                <w:sz w:val="20"/>
                <w:szCs w:val="20"/>
                <w:color w:val="auto"/>
              </w:rPr>
            </w:pPr>
            <w:r>
              <w:rPr>
                <w:rFonts w:ascii="Arial" w:cs="Arial" w:eastAsia="Arial" w:hAnsi="Arial"/>
                <w:sz w:val="14"/>
                <w:szCs w:val="14"/>
                <w:color w:val="auto"/>
              </w:rPr>
              <w:t>212.446.9462</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Goldman Sachs</w:t>
            </w:r>
          </w:p>
        </w:tc>
        <w:tc>
          <w:tcPr>
            <w:tcW w:w="3760" w:type="dxa"/>
            <w:vAlign w:val="bottom"/>
          </w:tcPr>
          <w:p>
            <w:pPr>
              <w:ind w:left="640"/>
              <w:spacing w:after="0"/>
              <w:rPr>
                <w:sz w:val="20"/>
                <w:szCs w:val="20"/>
                <w:color w:val="auto"/>
              </w:rPr>
            </w:pPr>
            <w:r>
              <w:rPr>
                <w:rFonts w:ascii="Arial" w:cs="Arial" w:eastAsia="Arial" w:hAnsi="Arial"/>
                <w:sz w:val="14"/>
                <w:szCs w:val="14"/>
                <w:color w:val="auto"/>
              </w:rPr>
              <w:t>Caitlin Burrows</w:t>
            </w:r>
          </w:p>
        </w:tc>
        <w:tc>
          <w:tcPr>
            <w:tcW w:w="4000" w:type="dxa"/>
            <w:vAlign w:val="bottom"/>
          </w:tcPr>
          <w:p>
            <w:pPr>
              <w:ind w:left="1180"/>
              <w:spacing w:after="0"/>
              <w:rPr>
                <w:sz w:val="20"/>
                <w:szCs w:val="20"/>
                <w:color w:val="auto"/>
              </w:rPr>
            </w:pPr>
            <w:r>
              <w:rPr>
                <w:rFonts w:ascii="Arial" w:cs="Arial" w:eastAsia="Arial" w:hAnsi="Arial"/>
                <w:sz w:val="14"/>
                <w:szCs w:val="14"/>
                <w:color w:val="auto"/>
              </w:rPr>
              <w:t>212.902.4736</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Green Street Advisors</w:t>
            </w:r>
          </w:p>
        </w:tc>
        <w:tc>
          <w:tcPr>
            <w:tcW w:w="3760" w:type="dxa"/>
            <w:vAlign w:val="bottom"/>
          </w:tcPr>
          <w:p>
            <w:pPr>
              <w:ind w:left="640"/>
              <w:spacing w:after="0"/>
              <w:rPr>
                <w:sz w:val="20"/>
                <w:szCs w:val="20"/>
                <w:color w:val="auto"/>
              </w:rPr>
            </w:pPr>
            <w:r>
              <w:rPr>
                <w:rFonts w:ascii="Arial" w:cs="Arial" w:eastAsia="Arial" w:hAnsi="Arial"/>
                <w:sz w:val="14"/>
                <w:szCs w:val="14"/>
                <w:color w:val="auto"/>
              </w:rPr>
              <w:t>Dylan Burzinski</w:t>
            </w:r>
          </w:p>
        </w:tc>
        <w:tc>
          <w:tcPr>
            <w:tcW w:w="4000" w:type="dxa"/>
            <w:vAlign w:val="bottom"/>
          </w:tcPr>
          <w:p>
            <w:pPr>
              <w:ind w:left="1180"/>
              <w:spacing w:after="0"/>
              <w:rPr>
                <w:sz w:val="20"/>
                <w:szCs w:val="20"/>
                <w:color w:val="auto"/>
              </w:rPr>
            </w:pPr>
            <w:r>
              <w:rPr>
                <w:rFonts w:ascii="Arial" w:cs="Arial" w:eastAsia="Arial" w:hAnsi="Arial"/>
                <w:sz w:val="14"/>
                <w:szCs w:val="14"/>
                <w:color w:val="auto"/>
              </w:rPr>
              <w:t>949.640.8780</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Jefferies</w:t>
            </w:r>
          </w:p>
        </w:tc>
        <w:tc>
          <w:tcPr>
            <w:tcW w:w="3760" w:type="dxa"/>
            <w:vAlign w:val="bottom"/>
          </w:tcPr>
          <w:p>
            <w:pPr>
              <w:ind w:left="640"/>
              <w:spacing w:after="0"/>
              <w:rPr>
                <w:sz w:val="20"/>
                <w:szCs w:val="20"/>
                <w:color w:val="auto"/>
              </w:rPr>
            </w:pPr>
            <w:r>
              <w:rPr>
                <w:rFonts w:ascii="Arial" w:cs="Arial" w:eastAsia="Arial" w:hAnsi="Arial"/>
                <w:sz w:val="14"/>
                <w:szCs w:val="14"/>
                <w:color w:val="auto"/>
              </w:rPr>
              <w:t>Joe Dickstein</w:t>
            </w:r>
          </w:p>
        </w:tc>
        <w:tc>
          <w:tcPr>
            <w:tcW w:w="4000" w:type="dxa"/>
            <w:vAlign w:val="bottom"/>
          </w:tcPr>
          <w:p>
            <w:pPr>
              <w:ind w:left="1180"/>
              <w:spacing w:after="0"/>
              <w:rPr>
                <w:sz w:val="20"/>
                <w:szCs w:val="20"/>
                <w:color w:val="auto"/>
              </w:rPr>
            </w:pPr>
            <w:r>
              <w:rPr>
                <w:rFonts w:ascii="Arial" w:cs="Arial" w:eastAsia="Arial" w:hAnsi="Arial"/>
                <w:sz w:val="14"/>
                <w:szCs w:val="14"/>
                <w:color w:val="auto"/>
              </w:rPr>
              <w:t>212.778.8771</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J.P. Morgan Securities</w:t>
            </w:r>
          </w:p>
        </w:tc>
        <w:tc>
          <w:tcPr>
            <w:tcW w:w="3760" w:type="dxa"/>
            <w:vAlign w:val="bottom"/>
          </w:tcPr>
          <w:p>
            <w:pPr>
              <w:ind w:left="640"/>
              <w:spacing w:after="0"/>
              <w:rPr>
                <w:sz w:val="20"/>
                <w:szCs w:val="20"/>
                <w:color w:val="auto"/>
              </w:rPr>
            </w:pPr>
            <w:r>
              <w:rPr>
                <w:rFonts w:ascii="Arial" w:cs="Arial" w:eastAsia="Arial" w:hAnsi="Arial"/>
                <w:sz w:val="14"/>
                <w:szCs w:val="14"/>
                <w:color w:val="auto"/>
              </w:rPr>
              <w:t>Anthony Paolone</w:t>
            </w:r>
          </w:p>
        </w:tc>
        <w:tc>
          <w:tcPr>
            <w:tcW w:w="4000" w:type="dxa"/>
            <w:vAlign w:val="bottom"/>
          </w:tcPr>
          <w:p>
            <w:pPr>
              <w:ind w:left="1180"/>
              <w:spacing w:after="0"/>
              <w:rPr>
                <w:sz w:val="20"/>
                <w:szCs w:val="20"/>
                <w:color w:val="auto"/>
              </w:rPr>
            </w:pPr>
            <w:r>
              <w:rPr>
                <w:rFonts w:ascii="Arial" w:cs="Arial" w:eastAsia="Arial" w:hAnsi="Arial"/>
                <w:sz w:val="14"/>
                <w:szCs w:val="14"/>
                <w:color w:val="auto"/>
              </w:rPr>
              <w:t>212.622.6682</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Keybanc Capital Market</w:t>
            </w:r>
          </w:p>
        </w:tc>
        <w:tc>
          <w:tcPr>
            <w:tcW w:w="3760" w:type="dxa"/>
            <w:vAlign w:val="bottom"/>
          </w:tcPr>
          <w:p>
            <w:pPr>
              <w:ind w:left="640"/>
              <w:spacing w:after="0"/>
              <w:rPr>
                <w:sz w:val="20"/>
                <w:szCs w:val="20"/>
                <w:color w:val="auto"/>
              </w:rPr>
            </w:pPr>
            <w:r>
              <w:rPr>
                <w:rFonts w:ascii="Arial" w:cs="Arial" w:eastAsia="Arial" w:hAnsi="Arial"/>
                <w:sz w:val="14"/>
                <w:szCs w:val="14"/>
                <w:color w:val="auto"/>
              </w:rPr>
              <w:t>Todd Thomas / Upal Rana</w:t>
            </w:r>
          </w:p>
        </w:tc>
        <w:tc>
          <w:tcPr>
            <w:tcW w:w="4000" w:type="dxa"/>
            <w:vAlign w:val="bottom"/>
          </w:tcPr>
          <w:p>
            <w:pPr>
              <w:ind w:left="1180"/>
              <w:spacing w:after="0"/>
              <w:rPr>
                <w:sz w:val="20"/>
                <w:szCs w:val="20"/>
                <w:color w:val="auto"/>
              </w:rPr>
            </w:pPr>
            <w:r>
              <w:rPr>
                <w:rFonts w:ascii="Arial" w:cs="Arial" w:eastAsia="Arial" w:hAnsi="Arial"/>
                <w:sz w:val="14"/>
                <w:szCs w:val="14"/>
                <w:color w:val="auto"/>
              </w:rPr>
              <w:t>917.368.2286 / 917.368.2316</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Ladenburg Thalmann</w:t>
            </w:r>
          </w:p>
        </w:tc>
        <w:tc>
          <w:tcPr>
            <w:tcW w:w="3760" w:type="dxa"/>
            <w:vAlign w:val="bottom"/>
          </w:tcPr>
          <w:p>
            <w:pPr>
              <w:ind w:left="640"/>
              <w:spacing w:after="0"/>
              <w:rPr>
                <w:sz w:val="20"/>
                <w:szCs w:val="20"/>
                <w:color w:val="auto"/>
              </w:rPr>
            </w:pPr>
            <w:r>
              <w:rPr>
                <w:rFonts w:ascii="Arial" w:cs="Arial" w:eastAsia="Arial" w:hAnsi="Arial"/>
                <w:sz w:val="14"/>
                <w:szCs w:val="14"/>
                <w:color w:val="auto"/>
              </w:rPr>
              <w:t>Floris van Dijkum</w:t>
            </w:r>
          </w:p>
        </w:tc>
        <w:tc>
          <w:tcPr>
            <w:tcW w:w="4000" w:type="dxa"/>
            <w:vAlign w:val="bottom"/>
          </w:tcPr>
          <w:p>
            <w:pPr>
              <w:ind w:left="1180"/>
              <w:spacing w:after="0"/>
              <w:rPr>
                <w:sz w:val="20"/>
                <w:szCs w:val="20"/>
                <w:color w:val="auto"/>
              </w:rPr>
            </w:pPr>
            <w:r>
              <w:rPr>
                <w:rFonts w:ascii="Arial" w:cs="Arial" w:eastAsia="Arial" w:hAnsi="Arial"/>
                <w:sz w:val="14"/>
                <w:szCs w:val="14"/>
                <w:color w:val="auto"/>
              </w:rPr>
              <w:t>212.409.2075</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Mizuho Securities</w:t>
            </w:r>
          </w:p>
        </w:tc>
        <w:tc>
          <w:tcPr>
            <w:tcW w:w="3760" w:type="dxa"/>
            <w:vAlign w:val="bottom"/>
          </w:tcPr>
          <w:p>
            <w:pPr>
              <w:ind w:left="640"/>
              <w:spacing w:after="0"/>
              <w:rPr>
                <w:sz w:val="20"/>
                <w:szCs w:val="20"/>
                <w:color w:val="auto"/>
              </w:rPr>
            </w:pPr>
            <w:r>
              <w:rPr>
                <w:rFonts w:ascii="Arial" w:cs="Arial" w:eastAsia="Arial" w:hAnsi="Arial"/>
                <w:sz w:val="14"/>
                <w:szCs w:val="14"/>
                <w:color w:val="auto"/>
              </w:rPr>
              <w:t>Vikram Malhotra</w:t>
            </w:r>
          </w:p>
        </w:tc>
        <w:tc>
          <w:tcPr>
            <w:tcW w:w="4000" w:type="dxa"/>
            <w:vAlign w:val="bottom"/>
          </w:tcPr>
          <w:p>
            <w:pPr>
              <w:ind w:left="1180"/>
              <w:spacing w:after="0"/>
              <w:rPr>
                <w:sz w:val="20"/>
                <w:szCs w:val="20"/>
                <w:color w:val="auto"/>
              </w:rPr>
            </w:pPr>
            <w:r>
              <w:rPr>
                <w:rFonts w:ascii="Arial" w:cs="Arial" w:eastAsia="Arial" w:hAnsi="Arial"/>
                <w:sz w:val="14"/>
                <w:szCs w:val="14"/>
                <w:color w:val="auto"/>
              </w:rPr>
              <w:t>212.209.9300</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Morgan Stanley</w:t>
            </w:r>
          </w:p>
        </w:tc>
        <w:tc>
          <w:tcPr>
            <w:tcW w:w="3760" w:type="dxa"/>
            <w:vAlign w:val="bottom"/>
          </w:tcPr>
          <w:p>
            <w:pPr>
              <w:ind w:left="640"/>
              <w:spacing w:after="0"/>
              <w:rPr>
                <w:sz w:val="20"/>
                <w:szCs w:val="20"/>
                <w:color w:val="auto"/>
              </w:rPr>
            </w:pPr>
            <w:r>
              <w:rPr>
                <w:rFonts w:ascii="Arial" w:cs="Arial" w:eastAsia="Arial" w:hAnsi="Arial"/>
                <w:sz w:val="14"/>
                <w:szCs w:val="14"/>
                <w:color w:val="auto"/>
              </w:rPr>
              <w:t>Ronald Kamdem</w:t>
            </w:r>
          </w:p>
        </w:tc>
        <w:tc>
          <w:tcPr>
            <w:tcW w:w="4000" w:type="dxa"/>
            <w:vAlign w:val="bottom"/>
          </w:tcPr>
          <w:p>
            <w:pPr>
              <w:ind w:left="1180"/>
              <w:spacing w:after="0"/>
              <w:rPr>
                <w:sz w:val="20"/>
                <w:szCs w:val="20"/>
                <w:color w:val="auto"/>
              </w:rPr>
            </w:pPr>
            <w:r>
              <w:rPr>
                <w:rFonts w:ascii="Arial" w:cs="Arial" w:eastAsia="Arial" w:hAnsi="Arial"/>
                <w:sz w:val="14"/>
                <w:szCs w:val="14"/>
                <w:color w:val="auto"/>
              </w:rPr>
              <w:t>212.296.8319</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Piper Sandler Companies</w:t>
            </w:r>
          </w:p>
        </w:tc>
        <w:tc>
          <w:tcPr>
            <w:tcW w:w="3760" w:type="dxa"/>
            <w:vAlign w:val="bottom"/>
          </w:tcPr>
          <w:p>
            <w:pPr>
              <w:ind w:left="640"/>
              <w:spacing w:after="0"/>
              <w:rPr>
                <w:sz w:val="20"/>
                <w:szCs w:val="20"/>
                <w:color w:val="auto"/>
              </w:rPr>
            </w:pPr>
            <w:r>
              <w:rPr>
                <w:rFonts w:ascii="Arial" w:cs="Arial" w:eastAsia="Arial" w:hAnsi="Arial"/>
                <w:sz w:val="14"/>
                <w:szCs w:val="14"/>
                <w:color w:val="auto"/>
              </w:rPr>
              <w:t>Alexander Goldfarb</w:t>
            </w:r>
          </w:p>
        </w:tc>
        <w:tc>
          <w:tcPr>
            <w:tcW w:w="4000" w:type="dxa"/>
            <w:vAlign w:val="bottom"/>
          </w:tcPr>
          <w:p>
            <w:pPr>
              <w:ind w:left="1180"/>
              <w:spacing w:after="0"/>
              <w:rPr>
                <w:sz w:val="20"/>
                <w:szCs w:val="20"/>
                <w:color w:val="auto"/>
              </w:rPr>
            </w:pPr>
            <w:r>
              <w:rPr>
                <w:rFonts w:ascii="Arial" w:cs="Arial" w:eastAsia="Arial" w:hAnsi="Arial"/>
                <w:sz w:val="14"/>
                <w:szCs w:val="14"/>
                <w:color w:val="auto"/>
              </w:rPr>
              <w:t>212.466.7937</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Scotiabank GBM</w:t>
            </w:r>
          </w:p>
        </w:tc>
        <w:tc>
          <w:tcPr>
            <w:tcW w:w="3760" w:type="dxa"/>
            <w:vAlign w:val="bottom"/>
          </w:tcPr>
          <w:p>
            <w:pPr>
              <w:ind w:left="640"/>
              <w:spacing w:after="0"/>
              <w:rPr>
                <w:sz w:val="20"/>
                <w:szCs w:val="20"/>
                <w:color w:val="auto"/>
              </w:rPr>
            </w:pPr>
            <w:r>
              <w:rPr>
                <w:rFonts w:ascii="Arial" w:cs="Arial" w:eastAsia="Arial" w:hAnsi="Arial"/>
                <w:sz w:val="14"/>
                <w:szCs w:val="14"/>
                <w:color w:val="auto"/>
              </w:rPr>
              <w:t>Nicholas Yulico</w:t>
            </w:r>
          </w:p>
        </w:tc>
        <w:tc>
          <w:tcPr>
            <w:tcW w:w="4000" w:type="dxa"/>
            <w:vAlign w:val="bottom"/>
          </w:tcPr>
          <w:p>
            <w:pPr>
              <w:ind w:left="1180"/>
              <w:spacing w:after="0"/>
              <w:rPr>
                <w:sz w:val="20"/>
                <w:szCs w:val="20"/>
                <w:color w:val="auto"/>
              </w:rPr>
            </w:pPr>
            <w:r>
              <w:rPr>
                <w:rFonts w:ascii="Arial" w:cs="Arial" w:eastAsia="Arial" w:hAnsi="Arial"/>
                <w:sz w:val="14"/>
                <w:szCs w:val="14"/>
                <w:color w:val="auto"/>
              </w:rPr>
              <w:t>212.225.6904</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Truist Securities</w:t>
            </w:r>
          </w:p>
        </w:tc>
        <w:tc>
          <w:tcPr>
            <w:tcW w:w="3760" w:type="dxa"/>
            <w:vAlign w:val="bottom"/>
          </w:tcPr>
          <w:p>
            <w:pPr>
              <w:ind w:left="640"/>
              <w:spacing w:after="0"/>
              <w:rPr>
                <w:sz w:val="20"/>
                <w:szCs w:val="20"/>
                <w:color w:val="auto"/>
              </w:rPr>
            </w:pPr>
            <w:r>
              <w:rPr>
                <w:rFonts w:ascii="Arial" w:cs="Arial" w:eastAsia="Arial" w:hAnsi="Arial"/>
                <w:sz w:val="14"/>
                <w:szCs w:val="14"/>
                <w:color w:val="auto"/>
              </w:rPr>
              <w:t>Michael Lewis</w:t>
            </w:r>
          </w:p>
        </w:tc>
        <w:tc>
          <w:tcPr>
            <w:tcW w:w="4000" w:type="dxa"/>
            <w:vAlign w:val="bottom"/>
          </w:tcPr>
          <w:p>
            <w:pPr>
              <w:ind w:left="1180"/>
              <w:spacing w:after="0"/>
              <w:rPr>
                <w:sz w:val="20"/>
                <w:szCs w:val="20"/>
                <w:color w:val="auto"/>
              </w:rPr>
            </w:pPr>
            <w:r>
              <w:rPr>
                <w:rFonts w:ascii="Arial" w:cs="Arial" w:eastAsia="Arial" w:hAnsi="Arial"/>
                <w:sz w:val="14"/>
                <w:szCs w:val="14"/>
                <w:color w:val="auto"/>
              </w:rPr>
              <w:t>212.319.5659</w:t>
            </w:r>
          </w:p>
        </w:tc>
        <w:tc>
          <w:tcPr>
            <w:tcW w:w="40" w:type="dxa"/>
            <w:vAlign w:val="bottom"/>
          </w:tcPr>
          <w:p>
            <w:pPr>
              <w:spacing w:after="0"/>
              <w:rPr>
                <w:sz w:val="18"/>
                <w:szCs w:val="18"/>
                <w:color w:val="auto"/>
              </w:rPr>
            </w:pPr>
          </w:p>
        </w:tc>
      </w:tr>
      <w:tr>
        <w:trPr>
          <w:trHeight w:val="229"/>
        </w:trPr>
        <w:tc>
          <w:tcPr>
            <w:tcW w:w="2560" w:type="dxa"/>
            <w:vAlign w:val="bottom"/>
          </w:tcPr>
          <w:p>
            <w:pPr>
              <w:ind w:left="20"/>
              <w:spacing w:after="0"/>
              <w:rPr>
                <w:sz w:val="20"/>
                <w:szCs w:val="20"/>
                <w:color w:val="auto"/>
              </w:rPr>
            </w:pPr>
            <w:r>
              <w:rPr>
                <w:rFonts w:ascii="Arial" w:cs="Arial" w:eastAsia="Arial" w:hAnsi="Arial"/>
                <w:sz w:val="14"/>
                <w:szCs w:val="14"/>
                <w:color w:val="auto"/>
              </w:rPr>
              <w:t>UBS US Equity Research</w:t>
            </w:r>
          </w:p>
        </w:tc>
        <w:tc>
          <w:tcPr>
            <w:tcW w:w="3760" w:type="dxa"/>
            <w:vAlign w:val="bottom"/>
          </w:tcPr>
          <w:p>
            <w:pPr>
              <w:ind w:left="640"/>
              <w:spacing w:after="0"/>
              <w:rPr>
                <w:sz w:val="20"/>
                <w:szCs w:val="20"/>
                <w:color w:val="auto"/>
              </w:rPr>
            </w:pPr>
            <w:r>
              <w:rPr>
                <w:rFonts w:ascii="Arial" w:cs="Arial" w:eastAsia="Arial" w:hAnsi="Arial"/>
                <w:sz w:val="14"/>
                <w:szCs w:val="14"/>
                <w:color w:val="auto"/>
              </w:rPr>
              <w:t>Michael Goldsmith</w:t>
            </w:r>
          </w:p>
        </w:tc>
        <w:tc>
          <w:tcPr>
            <w:tcW w:w="4000" w:type="dxa"/>
            <w:vAlign w:val="bottom"/>
          </w:tcPr>
          <w:p>
            <w:pPr>
              <w:ind w:left="1180"/>
              <w:spacing w:after="0"/>
              <w:rPr>
                <w:sz w:val="20"/>
                <w:szCs w:val="20"/>
                <w:color w:val="auto"/>
              </w:rPr>
            </w:pPr>
            <w:r>
              <w:rPr>
                <w:rFonts w:ascii="Arial" w:cs="Arial" w:eastAsia="Arial" w:hAnsi="Arial"/>
                <w:sz w:val="14"/>
                <w:szCs w:val="14"/>
                <w:color w:val="auto"/>
              </w:rPr>
              <w:t>212.713.2951</w:t>
            </w:r>
          </w:p>
        </w:tc>
        <w:tc>
          <w:tcPr>
            <w:tcW w:w="40" w:type="dxa"/>
            <w:vAlign w:val="bottom"/>
          </w:tcPr>
          <w:p>
            <w:pPr>
              <w:spacing w:after="0"/>
              <w:rPr>
                <w:sz w:val="19"/>
                <w:szCs w:val="19"/>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Wells Fargo Securities</w:t>
            </w:r>
          </w:p>
        </w:tc>
        <w:tc>
          <w:tcPr>
            <w:tcW w:w="3760" w:type="dxa"/>
            <w:vAlign w:val="bottom"/>
          </w:tcPr>
          <w:p>
            <w:pPr>
              <w:ind w:left="640"/>
              <w:spacing w:after="0"/>
              <w:rPr>
                <w:sz w:val="20"/>
                <w:szCs w:val="20"/>
                <w:color w:val="auto"/>
              </w:rPr>
            </w:pPr>
            <w:r>
              <w:rPr>
                <w:rFonts w:ascii="Arial" w:cs="Arial" w:eastAsia="Arial" w:hAnsi="Arial"/>
                <w:sz w:val="14"/>
                <w:szCs w:val="14"/>
                <w:color w:val="auto"/>
              </w:rPr>
              <w:t>Blaine Heck</w:t>
            </w:r>
          </w:p>
        </w:tc>
        <w:tc>
          <w:tcPr>
            <w:tcW w:w="4000" w:type="dxa"/>
            <w:vAlign w:val="bottom"/>
          </w:tcPr>
          <w:p>
            <w:pPr>
              <w:ind w:left="1180"/>
              <w:spacing w:after="0"/>
              <w:rPr>
                <w:sz w:val="20"/>
                <w:szCs w:val="20"/>
                <w:color w:val="auto"/>
              </w:rPr>
            </w:pPr>
            <w:r>
              <w:rPr>
                <w:rFonts w:ascii="Arial" w:cs="Arial" w:eastAsia="Arial" w:hAnsi="Arial"/>
                <w:sz w:val="14"/>
                <w:szCs w:val="14"/>
                <w:color w:val="auto"/>
              </w:rPr>
              <w:t>410.662.2556</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Wolfe Research</w:t>
            </w:r>
          </w:p>
        </w:tc>
        <w:tc>
          <w:tcPr>
            <w:tcW w:w="3760" w:type="dxa"/>
            <w:vAlign w:val="bottom"/>
          </w:tcPr>
          <w:p>
            <w:pPr>
              <w:ind w:left="640"/>
              <w:spacing w:after="0"/>
              <w:rPr>
                <w:sz w:val="20"/>
                <w:szCs w:val="20"/>
                <w:color w:val="auto"/>
              </w:rPr>
            </w:pPr>
            <w:r>
              <w:rPr>
                <w:rFonts w:ascii="Arial" w:cs="Arial" w:eastAsia="Arial" w:hAnsi="Arial"/>
                <w:sz w:val="14"/>
                <w:szCs w:val="14"/>
                <w:color w:val="auto"/>
              </w:rPr>
              <w:t>Ally Yaseen</w:t>
            </w:r>
          </w:p>
        </w:tc>
        <w:tc>
          <w:tcPr>
            <w:tcW w:w="4000" w:type="dxa"/>
            <w:vAlign w:val="bottom"/>
          </w:tcPr>
          <w:p>
            <w:pPr>
              <w:ind w:left="1180"/>
              <w:spacing w:after="0"/>
              <w:rPr>
                <w:sz w:val="20"/>
                <w:szCs w:val="20"/>
                <w:color w:val="auto"/>
              </w:rPr>
            </w:pPr>
            <w:r>
              <w:rPr>
                <w:rFonts w:ascii="Arial" w:cs="Arial" w:eastAsia="Arial" w:hAnsi="Arial"/>
                <w:sz w:val="14"/>
                <w:szCs w:val="14"/>
                <w:color w:val="auto"/>
              </w:rPr>
              <w:t>646.582.9253</w:t>
            </w:r>
          </w:p>
        </w:tc>
        <w:tc>
          <w:tcPr>
            <w:tcW w:w="40" w:type="dxa"/>
            <w:vAlign w:val="bottom"/>
          </w:tcPr>
          <w:p>
            <w:pPr>
              <w:spacing w:after="0"/>
              <w:rPr>
                <w:sz w:val="18"/>
                <w:szCs w:val="18"/>
                <w:color w:val="auto"/>
              </w:rPr>
            </w:pPr>
          </w:p>
        </w:tc>
      </w:tr>
      <w:tr>
        <w:trPr>
          <w:trHeight w:val="353"/>
        </w:trPr>
        <w:tc>
          <w:tcPr>
            <w:tcW w:w="2560" w:type="dxa"/>
            <w:vAlign w:val="bottom"/>
            <w:tcBorders>
              <w:bottom w:val="single" w:sz="8" w:color="828282"/>
            </w:tcBorders>
          </w:tcPr>
          <w:p>
            <w:pPr>
              <w:ind w:left="20"/>
              <w:spacing w:after="0"/>
              <w:rPr>
                <w:sz w:val="20"/>
                <w:szCs w:val="20"/>
                <w:color w:val="auto"/>
              </w:rPr>
            </w:pPr>
            <w:r>
              <w:rPr>
                <w:rFonts w:ascii="Arial" w:cs="Arial" w:eastAsia="Arial" w:hAnsi="Arial"/>
                <w:sz w:val="14"/>
                <w:szCs w:val="14"/>
                <w:b w:val="1"/>
                <w:bCs w:val="1"/>
                <w:color w:val="auto"/>
              </w:rPr>
              <w:t>Debt Research Coverage</w:t>
            </w:r>
          </w:p>
        </w:tc>
        <w:tc>
          <w:tcPr>
            <w:tcW w:w="3760" w:type="dxa"/>
            <w:vAlign w:val="bottom"/>
            <w:tcBorders>
              <w:bottom w:val="single" w:sz="8" w:color="828282"/>
            </w:tcBorders>
          </w:tcPr>
          <w:p>
            <w:pPr>
              <w:spacing w:after="0"/>
              <w:rPr>
                <w:sz w:val="24"/>
                <w:szCs w:val="24"/>
                <w:color w:val="auto"/>
              </w:rPr>
            </w:pPr>
          </w:p>
        </w:tc>
        <w:tc>
          <w:tcPr>
            <w:tcW w:w="4000" w:type="dxa"/>
            <w:vAlign w:val="bottom"/>
            <w:tcBorders>
              <w:bottom w:val="single" w:sz="8" w:color="828282"/>
            </w:tcBorders>
          </w:tcPr>
          <w:p>
            <w:pPr>
              <w:spacing w:after="0"/>
              <w:rPr>
                <w:sz w:val="24"/>
                <w:szCs w:val="24"/>
                <w:color w:val="auto"/>
              </w:rPr>
            </w:pPr>
          </w:p>
        </w:tc>
        <w:tc>
          <w:tcPr>
            <w:tcW w:w="40" w:type="dxa"/>
            <w:vAlign w:val="bottom"/>
            <w:tcBorders>
              <w:bottom w:val="single" w:sz="8" w:color="828282"/>
            </w:tcBorders>
          </w:tcPr>
          <w:p>
            <w:pPr>
              <w:spacing w:after="0"/>
              <w:rPr>
                <w:sz w:val="24"/>
                <w:szCs w:val="24"/>
                <w:color w:val="auto"/>
              </w:rPr>
            </w:pPr>
          </w:p>
        </w:tc>
      </w:tr>
      <w:tr>
        <w:trPr>
          <w:trHeight w:val="208"/>
        </w:trPr>
        <w:tc>
          <w:tcPr>
            <w:tcW w:w="2560" w:type="dxa"/>
            <w:vAlign w:val="bottom"/>
          </w:tcPr>
          <w:p>
            <w:pPr>
              <w:ind w:left="20"/>
              <w:spacing w:after="0"/>
              <w:rPr>
                <w:sz w:val="20"/>
                <w:szCs w:val="20"/>
                <w:color w:val="auto"/>
              </w:rPr>
            </w:pPr>
            <w:r>
              <w:rPr>
                <w:rFonts w:ascii="Arial" w:cs="Arial" w:eastAsia="Arial" w:hAnsi="Arial"/>
                <w:sz w:val="14"/>
                <w:szCs w:val="14"/>
                <w:color w:val="auto"/>
              </w:rPr>
              <w:t>Barclays</w:t>
            </w:r>
          </w:p>
        </w:tc>
        <w:tc>
          <w:tcPr>
            <w:tcW w:w="3760" w:type="dxa"/>
            <w:vAlign w:val="bottom"/>
          </w:tcPr>
          <w:p>
            <w:pPr>
              <w:ind w:left="660"/>
              <w:spacing w:after="0"/>
              <w:rPr>
                <w:sz w:val="20"/>
                <w:szCs w:val="20"/>
                <w:color w:val="auto"/>
              </w:rPr>
            </w:pPr>
            <w:r>
              <w:rPr>
                <w:rFonts w:ascii="Arial" w:cs="Arial" w:eastAsia="Arial" w:hAnsi="Arial"/>
                <w:sz w:val="14"/>
                <w:szCs w:val="14"/>
                <w:color w:val="auto"/>
              </w:rPr>
              <w:t>Srinjoy Banerjee</w:t>
            </w:r>
          </w:p>
        </w:tc>
        <w:tc>
          <w:tcPr>
            <w:tcW w:w="4000" w:type="dxa"/>
            <w:vAlign w:val="bottom"/>
          </w:tcPr>
          <w:p>
            <w:pPr>
              <w:ind w:left="1220"/>
              <w:spacing w:after="0"/>
              <w:rPr>
                <w:sz w:val="20"/>
                <w:szCs w:val="20"/>
                <w:color w:val="auto"/>
              </w:rPr>
            </w:pPr>
            <w:r>
              <w:rPr>
                <w:rFonts w:ascii="Arial" w:cs="Arial" w:eastAsia="Arial" w:hAnsi="Arial"/>
                <w:sz w:val="14"/>
                <w:szCs w:val="14"/>
                <w:color w:val="auto"/>
              </w:rPr>
              <w:t>212.526.3521</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J.P. Morgan Securities</w:t>
            </w:r>
          </w:p>
        </w:tc>
        <w:tc>
          <w:tcPr>
            <w:tcW w:w="3760" w:type="dxa"/>
            <w:vAlign w:val="bottom"/>
          </w:tcPr>
          <w:p>
            <w:pPr>
              <w:ind w:left="660"/>
              <w:spacing w:after="0"/>
              <w:rPr>
                <w:sz w:val="20"/>
                <w:szCs w:val="20"/>
                <w:color w:val="auto"/>
              </w:rPr>
            </w:pPr>
            <w:r>
              <w:rPr>
                <w:rFonts w:ascii="Arial" w:cs="Arial" w:eastAsia="Arial" w:hAnsi="Arial"/>
                <w:sz w:val="14"/>
                <w:szCs w:val="14"/>
                <w:color w:val="auto"/>
              </w:rPr>
              <w:t>Mark Streeter</w:t>
            </w:r>
          </w:p>
        </w:tc>
        <w:tc>
          <w:tcPr>
            <w:tcW w:w="4000" w:type="dxa"/>
            <w:vAlign w:val="bottom"/>
          </w:tcPr>
          <w:p>
            <w:pPr>
              <w:ind w:left="1220"/>
              <w:spacing w:after="0"/>
              <w:rPr>
                <w:sz w:val="20"/>
                <w:szCs w:val="20"/>
                <w:color w:val="auto"/>
              </w:rPr>
            </w:pPr>
            <w:r>
              <w:rPr>
                <w:rFonts w:ascii="Arial" w:cs="Arial" w:eastAsia="Arial" w:hAnsi="Arial"/>
                <w:sz w:val="14"/>
                <w:szCs w:val="14"/>
                <w:color w:val="auto"/>
              </w:rPr>
              <w:t>212.834.5086</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US Bank</w:t>
            </w:r>
          </w:p>
        </w:tc>
        <w:tc>
          <w:tcPr>
            <w:tcW w:w="3760" w:type="dxa"/>
            <w:vAlign w:val="bottom"/>
          </w:tcPr>
          <w:p>
            <w:pPr>
              <w:ind w:left="660"/>
              <w:spacing w:after="0"/>
              <w:rPr>
                <w:sz w:val="20"/>
                <w:szCs w:val="20"/>
                <w:color w:val="auto"/>
              </w:rPr>
            </w:pPr>
            <w:r>
              <w:rPr>
                <w:rFonts w:ascii="Arial" w:cs="Arial" w:eastAsia="Arial" w:hAnsi="Arial"/>
                <w:sz w:val="14"/>
                <w:szCs w:val="14"/>
                <w:color w:val="auto"/>
              </w:rPr>
              <w:t>Bill Stafford</w:t>
            </w:r>
          </w:p>
        </w:tc>
        <w:tc>
          <w:tcPr>
            <w:tcW w:w="4000" w:type="dxa"/>
            <w:vAlign w:val="bottom"/>
          </w:tcPr>
          <w:p>
            <w:pPr>
              <w:ind w:left="1220"/>
              <w:spacing w:after="0"/>
              <w:rPr>
                <w:sz w:val="20"/>
                <w:szCs w:val="20"/>
                <w:color w:val="auto"/>
              </w:rPr>
            </w:pPr>
            <w:r>
              <w:rPr>
                <w:rFonts w:ascii="Arial" w:cs="Arial" w:eastAsia="Arial" w:hAnsi="Arial"/>
                <w:sz w:val="14"/>
                <w:szCs w:val="14"/>
                <w:color w:val="auto"/>
              </w:rPr>
              <w:t>877.558.2605</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Wells Fargo</w:t>
            </w:r>
          </w:p>
        </w:tc>
        <w:tc>
          <w:tcPr>
            <w:tcW w:w="3760" w:type="dxa"/>
            <w:vAlign w:val="bottom"/>
          </w:tcPr>
          <w:p>
            <w:pPr>
              <w:ind w:left="660"/>
              <w:spacing w:after="0"/>
              <w:rPr>
                <w:sz w:val="20"/>
                <w:szCs w:val="20"/>
                <w:color w:val="auto"/>
              </w:rPr>
            </w:pPr>
            <w:r>
              <w:rPr>
                <w:rFonts w:ascii="Arial" w:cs="Arial" w:eastAsia="Arial" w:hAnsi="Arial"/>
                <w:sz w:val="14"/>
                <w:szCs w:val="14"/>
                <w:color w:val="auto"/>
              </w:rPr>
              <w:t>Kevin McClure</w:t>
            </w:r>
          </w:p>
        </w:tc>
        <w:tc>
          <w:tcPr>
            <w:tcW w:w="4000" w:type="dxa"/>
            <w:vAlign w:val="bottom"/>
          </w:tcPr>
          <w:p>
            <w:pPr>
              <w:ind w:left="1220"/>
              <w:spacing w:after="0"/>
              <w:rPr>
                <w:sz w:val="20"/>
                <w:szCs w:val="20"/>
                <w:color w:val="auto"/>
              </w:rPr>
            </w:pPr>
            <w:r>
              <w:rPr>
                <w:rFonts w:ascii="Arial" w:cs="Arial" w:eastAsia="Arial" w:hAnsi="Arial"/>
                <w:sz w:val="14"/>
                <w:szCs w:val="14"/>
                <w:color w:val="auto"/>
              </w:rPr>
              <w:t>704.410.1100</w:t>
            </w:r>
          </w:p>
        </w:tc>
        <w:tc>
          <w:tcPr>
            <w:tcW w:w="40" w:type="dxa"/>
            <w:vAlign w:val="bottom"/>
          </w:tcPr>
          <w:p>
            <w:pPr>
              <w:spacing w:after="0"/>
              <w:rPr>
                <w:sz w:val="18"/>
                <w:szCs w:val="18"/>
                <w:color w:val="auto"/>
              </w:rPr>
            </w:pPr>
          </w:p>
        </w:tc>
      </w:tr>
      <w:tr>
        <w:trPr>
          <w:trHeight w:val="339"/>
        </w:trPr>
        <w:tc>
          <w:tcPr>
            <w:tcW w:w="2560" w:type="dxa"/>
            <w:vAlign w:val="bottom"/>
            <w:tcBorders>
              <w:bottom w:val="single" w:sz="8" w:color="828282"/>
            </w:tcBorders>
          </w:tcPr>
          <w:p>
            <w:pPr>
              <w:ind w:left="20"/>
              <w:spacing w:after="0"/>
              <w:rPr>
                <w:sz w:val="20"/>
                <w:szCs w:val="20"/>
                <w:color w:val="auto"/>
              </w:rPr>
            </w:pPr>
            <w:r>
              <w:rPr>
                <w:rFonts w:ascii="Arial" w:cs="Arial" w:eastAsia="Arial" w:hAnsi="Arial"/>
                <w:sz w:val="14"/>
                <w:szCs w:val="14"/>
                <w:b w:val="1"/>
                <w:bCs w:val="1"/>
                <w:color w:val="auto"/>
              </w:rPr>
              <w:t>Rating Agencies</w:t>
            </w:r>
          </w:p>
        </w:tc>
        <w:tc>
          <w:tcPr>
            <w:tcW w:w="3760" w:type="dxa"/>
            <w:vAlign w:val="bottom"/>
            <w:tcBorders>
              <w:bottom w:val="single" w:sz="8" w:color="828282"/>
            </w:tcBorders>
          </w:tcPr>
          <w:p>
            <w:pPr>
              <w:spacing w:after="0"/>
              <w:rPr>
                <w:sz w:val="24"/>
                <w:szCs w:val="24"/>
                <w:color w:val="auto"/>
              </w:rPr>
            </w:pPr>
          </w:p>
        </w:tc>
        <w:tc>
          <w:tcPr>
            <w:tcW w:w="4000" w:type="dxa"/>
            <w:vAlign w:val="bottom"/>
            <w:tcBorders>
              <w:bottom w:val="single" w:sz="8" w:color="828282"/>
            </w:tcBorders>
          </w:tcPr>
          <w:p>
            <w:pPr>
              <w:spacing w:after="0"/>
              <w:rPr>
                <w:sz w:val="24"/>
                <w:szCs w:val="24"/>
                <w:color w:val="auto"/>
              </w:rPr>
            </w:pPr>
          </w:p>
        </w:tc>
        <w:tc>
          <w:tcPr>
            <w:tcW w:w="40" w:type="dxa"/>
            <w:vAlign w:val="bottom"/>
          </w:tcPr>
          <w:p>
            <w:pPr>
              <w:spacing w:after="0"/>
              <w:rPr>
                <w:sz w:val="24"/>
                <w:szCs w:val="24"/>
                <w:color w:val="auto"/>
              </w:rPr>
            </w:pPr>
          </w:p>
        </w:tc>
      </w:tr>
      <w:tr>
        <w:trPr>
          <w:trHeight w:val="208"/>
        </w:trPr>
        <w:tc>
          <w:tcPr>
            <w:tcW w:w="2560" w:type="dxa"/>
            <w:vAlign w:val="bottom"/>
          </w:tcPr>
          <w:p>
            <w:pPr>
              <w:ind w:left="20"/>
              <w:spacing w:after="0"/>
              <w:rPr>
                <w:sz w:val="20"/>
                <w:szCs w:val="20"/>
                <w:color w:val="auto"/>
              </w:rPr>
            </w:pPr>
            <w:r>
              <w:rPr>
                <w:rFonts w:ascii="Arial" w:cs="Arial" w:eastAsia="Arial" w:hAnsi="Arial"/>
                <w:sz w:val="14"/>
                <w:szCs w:val="14"/>
                <w:color w:val="auto"/>
              </w:rPr>
              <w:t>Moody’s Investors Service</w:t>
            </w:r>
          </w:p>
        </w:tc>
        <w:tc>
          <w:tcPr>
            <w:tcW w:w="3760" w:type="dxa"/>
            <w:vAlign w:val="bottom"/>
          </w:tcPr>
          <w:p>
            <w:pPr>
              <w:ind w:left="640"/>
              <w:spacing w:after="0"/>
              <w:rPr>
                <w:sz w:val="20"/>
                <w:szCs w:val="20"/>
                <w:color w:val="auto"/>
              </w:rPr>
            </w:pPr>
            <w:r>
              <w:rPr>
                <w:rFonts w:ascii="Arial" w:cs="Arial" w:eastAsia="Arial" w:hAnsi="Arial"/>
                <w:sz w:val="14"/>
                <w:szCs w:val="14"/>
                <w:color w:val="auto"/>
              </w:rPr>
              <w:t>Dilara Sukhov</w:t>
            </w:r>
          </w:p>
        </w:tc>
        <w:tc>
          <w:tcPr>
            <w:tcW w:w="4000" w:type="dxa"/>
            <w:vAlign w:val="bottom"/>
          </w:tcPr>
          <w:p>
            <w:pPr>
              <w:ind w:left="1180"/>
              <w:spacing w:after="0"/>
              <w:rPr>
                <w:sz w:val="20"/>
                <w:szCs w:val="20"/>
                <w:color w:val="auto"/>
              </w:rPr>
            </w:pPr>
            <w:r>
              <w:rPr>
                <w:rFonts w:ascii="Arial" w:cs="Arial" w:eastAsia="Arial" w:hAnsi="Arial"/>
                <w:sz w:val="14"/>
                <w:szCs w:val="14"/>
                <w:color w:val="auto"/>
              </w:rPr>
              <w:t>212.553.1438</w:t>
            </w:r>
          </w:p>
        </w:tc>
        <w:tc>
          <w:tcPr>
            <w:tcW w:w="40" w:type="dxa"/>
            <w:vAlign w:val="bottom"/>
          </w:tcPr>
          <w:p>
            <w:pPr>
              <w:spacing w:after="0"/>
              <w:rPr>
                <w:sz w:val="18"/>
                <w:szCs w:val="18"/>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4"/>
                <w:szCs w:val="14"/>
                <w:color w:val="auto"/>
              </w:rPr>
              <w:t>Standard &amp; Poor’s</w:t>
            </w:r>
          </w:p>
        </w:tc>
        <w:tc>
          <w:tcPr>
            <w:tcW w:w="3760" w:type="dxa"/>
            <w:vAlign w:val="bottom"/>
          </w:tcPr>
          <w:p>
            <w:pPr>
              <w:ind w:left="640"/>
              <w:spacing w:after="0"/>
              <w:rPr>
                <w:sz w:val="20"/>
                <w:szCs w:val="20"/>
                <w:color w:val="auto"/>
              </w:rPr>
            </w:pPr>
            <w:r>
              <w:rPr>
                <w:rFonts w:ascii="Arial" w:cs="Arial" w:eastAsia="Arial" w:hAnsi="Arial"/>
                <w:sz w:val="14"/>
                <w:szCs w:val="14"/>
                <w:color w:val="auto"/>
              </w:rPr>
              <w:t>Michael Souers</w:t>
            </w:r>
          </w:p>
        </w:tc>
        <w:tc>
          <w:tcPr>
            <w:tcW w:w="4000" w:type="dxa"/>
            <w:vAlign w:val="bottom"/>
          </w:tcPr>
          <w:p>
            <w:pPr>
              <w:ind w:left="1180"/>
              <w:spacing w:after="0"/>
              <w:rPr>
                <w:sz w:val="20"/>
                <w:szCs w:val="20"/>
                <w:color w:val="auto"/>
              </w:rPr>
            </w:pPr>
            <w:r>
              <w:rPr>
                <w:rFonts w:ascii="Arial" w:cs="Arial" w:eastAsia="Arial" w:hAnsi="Arial"/>
                <w:sz w:val="14"/>
                <w:szCs w:val="14"/>
                <w:color w:val="auto"/>
              </w:rPr>
              <w:t>212.438.2508</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240"/>
          </w:cols>
          <w:pgMar w:left="320" w:top="279" w:right="339" w:bottom="1440" w:gutter="0" w:footer="0" w:header="0"/>
        </w:sectPr>
      </w:pPr>
    </w:p>
    <w:bookmarkStart w:id="63" w:name="page64"/>
    <w:bookmarkEnd w:id="63"/>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40"/>
        <w:spacing w:after="0" w:line="269" w:lineRule="auto"/>
        <w:rPr>
          <w:sz w:val="20"/>
          <w:szCs w:val="20"/>
          <w:color w:val="auto"/>
        </w:rPr>
      </w:pPr>
      <w:r>
        <w:rPr>
          <w:rFonts w:ascii="Arial" w:cs="Arial" w:eastAsia="Arial" w:hAnsi="Arial"/>
          <w:sz w:val="14"/>
          <w:szCs w:val="14"/>
          <w:color w:val="auto"/>
        </w:rPr>
        <w:t>This section contains definitions of certain non-GAAP financial measures and other terms that the Company uses in this Supplemental report and, if applicable, the reasons why management believes these non-GAAP financial measures provide useful information to investors about the Company’s financial condition and results of operations and the other purposes for which management uses the measures. Additional detail can be found in the Company’s most recent annual report on Form 10-K and quarterly report on Form 10-Q, as well as other documents the Company files or furnishes to the SEC from time to time.</w:t>
      </w:r>
    </w:p>
    <w:p>
      <w:pPr>
        <w:spacing w:after="0" w:line="115"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The Company presents “</w:t>
      </w:r>
      <w:r>
        <w:rPr>
          <w:rFonts w:ascii="Arial" w:cs="Arial" w:eastAsia="Arial" w:hAnsi="Arial"/>
          <w:sz w:val="14"/>
          <w:szCs w:val="14"/>
          <w:b w:val="1"/>
          <w:bCs w:val="1"/>
          <w:color w:val="auto"/>
        </w:rPr>
        <w:t>BXP’s Share</w:t>
      </w:r>
      <w:r>
        <w:rPr>
          <w:rFonts w:ascii="Arial" w:cs="Arial" w:eastAsia="Arial" w:hAnsi="Arial"/>
          <w:sz w:val="14"/>
          <w:szCs w:val="14"/>
          <w:color w:val="auto"/>
        </w:rPr>
        <w:t>” of certain non-GAAP financial measures that are calculated as the consolidated amount calculated in accordance with GAAP, plus the Company’s share of the amount from the Company’s unconsolidated joint ventures (calculated based upon the Company’s percentage ownership interest and, in some cases, after priority allocations), minus the Company’s partners’ share of the amount from the Company’s consolidated joint ventures (calculated based upon the partners’ percentage ownership interests and, in some cases, after income allocation to private REIT shareholders and their share of fees due to the Company). Management believes that presenting “BXP’s Share” of these measures provides useful information to investors regarding the Company’s financial condition and/or results of operations because the Company has several significant joint ventures and, in some cases, the Company exercises significant influence over, but does not control, the joint venture, in which case GAAP requires that the Company account for the joint venture entity using the equity method of accounting and the Company does not consolidate it for financial reporting purposes. In other cases, GAAP requires that the Company consolidate the venture even though the Company’s partner(s) owns a significant percentage interest. As a result, management believes that presenting BXP’s Share of various financial measures in this manner can help investors better understand the Company’s financial condition and/or results of operations after taking into account its true economic interest in these joint ventures. The Company cautions investors that the ownership percentages used in calculating “BXP’s Share” of these measures may not completely and accurately depict all of the legal and economic implications of holding an interest in a consolidated or unconsolidated joint venture. For example, in addition to partners’ interests in profits and capital, venture agreements vary in the allocation of rights regarding decision making (both routine and major decisions), distributions, transferability of interests, financings and guarantees, liquidations and other matters. As a result, presentations of “BXP’s Share” of a financial measure should not be considered a substitute for, and should only be considered together with and as a supplement to, the Company’s financial information presented in accordance with GAAP. Unless noted otherwise, reconciliations of “BXP’s Share” of these financial measures can be found in the Reconciliations section of this Supplemental package starting on page 60.</w:t>
      </w:r>
    </w:p>
    <w:p>
      <w:pPr>
        <w:spacing w:after="0" w:line="286" w:lineRule="exact"/>
        <w:rPr>
          <w:sz w:val="20"/>
          <w:szCs w:val="20"/>
          <w:color w:val="auto"/>
        </w:rPr>
      </w:pPr>
    </w:p>
    <w:p>
      <w:pPr>
        <w:ind w:right="220"/>
        <w:spacing w:after="0" w:line="283" w:lineRule="auto"/>
        <w:rPr>
          <w:sz w:val="20"/>
          <w:szCs w:val="20"/>
          <w:color w:val="auto"/>
        </w:rPr>
      </w:pPr>
      <w:r>
        <w:rPr>
          <w:rFonts w:ascii="Arial" w:cs="Arial" w:eastAsia="Arial" w:hAnsi="Arial"/>
          <w:sz w:val="14"/>
          <w:szCs w:val="14"/>
          <w:color w:val="auto"/>
        </w:rPr>
        <w:t>The Company may also present "BXP's Share" of certain operating metrics, such as occupancy and leased percentages based upon square footage. Amounts are calculated based on our consolidated portfolio square feet, plus our share of the square feet from the unconsolidated joint venture properties (calculated based on our ownership percentage), minus our partners’ share of square feet from our consolidated joint venture properties (calculated based upon the partners’ percentage ownership interests).</w:t>
      </w:r>
    </w:p>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Annualized Rental Obligations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Annualized Rental Obligations is defined as monthly Rental Obligations, as of the last day of the reporting period, multiplied by twelve (12).</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Economic Occupancy</w:t>
      </w:r>
    </w:p>
    <w:p>
      <w:pPr>
        <w:spacing w:after="0" w:line="29" w:lineRule="exact"/>
        <w:rPr>
          <w:sz w:val="20"/>
          <w:szCs w:val="20"/>
          <w:color w:val="auto"/>
        </w:rPr>
      </w:pPr>
    </w:p>
    <w:p>
      <w:pPr>
        <w:ind w:right="360"/>
        <w:spacing w:after="0" w:line="262" w:lineRule="auto"/>
        <w:rPr>
          <w:sz w:val="20"/>
          <w:szCs w:val="20"/>
          <w:color w:val="auto"/>
        </w:rPr>
      </w:pPr>
      <w:r>
        <w:rPr>
          <w:rFonts w:ascii="Arial" w:cs="Arial" w:eastAsia="Arial" w:hAnsi="Arial"/>
          <w:sz w:val="14"/>
          <w:szCs w:val="14"/>
          <w:color w:val="auto"/>
        </w:rPr>
        <w:t>Average Economic Occupancy is defined as (1) total possible revenue less vacancy loss divided by (2) total possible revenue, expressed as a percentage. Total possible revenue is determined by valuing average occupied units at contract rates and average vacant units at Market Rents. Vacancy loss is determined by valuing vacant units at current Market Rents. By measuring vacant units at their Market Rents, Average Economic Occupancy takes into account the fact that units of different sizes and locations within a residential property have different economic impacts on a residential property’s total possible gross revenue.</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Monthly Rental Rates</w:t>
      </w:r>
    </w:p>
    <w:p>
      <w:pPr>
        <w:spacing w:after="0" w:line="29" w:lineRule="exact"/>
        <w:rPr>
          <w:sz w:val="20"/>
          <w:szCs w:val="20"/>
          <w:color w:val="auto"/>
        </w:rPr>
      </w:pPr>
    </w:p>
    <w:p>
      <w:pPr>
        <w:ind w:right="120"/>
        <w:spacing w:after="0" w:line="284" w:lineRule="auto"/>
        <w:rPr>
          <w:sz w:val="20"/>
          <w:szCs w:val="20"/>
          <w:color w:val="auto"/>
        </w:rPr>
      </w:pPr>
      <w:r>
        <w:rPr>
          <w:rFonts w:ascii="Arial" w:cs="Arial" w:eastAsia="Arial" w:hAnsi="Arial"/>
          <w:sz w:val="14"/>
          <w:szCs w:val="14"/>
          <w:color w:val="auto"/>
        </w:rPr>
        <w:t>Average Monthly Rental Rates are calculated by the Company as the average of the quotients obtained by dividing (A) rental revenue as determined in accordance with GAAP by (B) the number of occupied units for each month within the applicable fiscal period.</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Average Physical Occupancy</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Average Physical Occupancy is defined as (1) the average number of occupied units divided by (2) the total number of units, expressed as a percentage.</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to Market Capitalization Ratio</w:t>
      </w:r>
    </w:p>
    <w:p>
      <w:pPr>
        <w:spacing w:after="0" w:line="2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b w:val="1"/>
          <w:bCs w:val="1"/>
          <w:color w:val="auto"/>
        </w:rPr>
        <w:t xml:space="preserve">Consolidated Debt to Consolidated Market Capitalization Ratio </w:t>
      </w:r>
      <w:r>
        <w:rPr>
          <w:rFonts w:ascii="Arial" w:cs="Arial" w:eastAsia="Arial" w:hAnsi="Arial"/>
          <w:sz w:val="14"/>
          <w:szCs w:val="14"/>
          <w:color w:val="auto"/>
        </w:rPr>
        <w:t>is a measure of leverage commonly used by analysts in the REIT sector that equals the quotient of (A) the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Company’s Consolidated Debt divided by (B) the Company’s Consolidated Market Capitalization, presented as a percentage. </w:t>
      </w:r>
      <w:r>
        <w:rPr>
          <w:rFonts w:ascii="Arial" w:cs="Arial" w:eastAsia="Arial" w:hAnsi="Arial"/>
          <w:sz w:val="14"/>
          <w:szCs w:val="14"/>
          <w:b w:val="1"/>
          <w:bCs w:val="1"/>
          <w:color w:val="auto"/>
        </w:rPr>
        <w:t>Consolidated Market Capitalization</w:t>
      </w:r>
      <w:r>
        <w:rPr>
          <w:rFonts w:ascii="Arial" w:cs="Arial" w:eastAsia="Arial" w:hAnsi="Arial"/>
          <w:sz w:val="14"/>
          <w:szCs w:val="14"/>
          <w:color w:val="auto"/>
        </w:rPr>
        <w:t xml:space="preserve"> is the sum of (x) the Company’s Consolidated Debt plus (y) the market value of the Company’s outstanding equity securities calculated using the closing price per share of common stock of the Company, as reported by the New York Stock Exchange, multiplied by the sum of (1) outstanding shares of common stock of the Company, (2) outstanding common units of limited partnership interest in Boston Properties Limited Partnership (excluding common units held by the Company), (3) common units issuable upon conversion of all outstanding LTIP Units, assuming all conditions have been met for the conversion of the LTIP Units, (4) common units issuable upon conversion of 2012 OPP Units that were issued in the form of LTIP Units, and (5) common units issuable upon conversion of 2013-2023 MYLTIP Units that were issued in the form of LTIP Units. The calculation of Consolidated Market Capitalization does not include LTIP Units issued in the form of MYLTIP Awards or Outperformance Awards unless and until certain performance thresholds are achieved and they are earned. Because their three-year performance periods have not yet ended, 2024, 2025 and 2026 MYLTIP Units and 2025 Outperformance Units are not included.</w:t>
      </w:r>
    </w:p>
    <w:p>
      <w:pPr>
        <w:spacing w:after="0" w:line="285" w:lineRule="exact"/>
        <w:rPr>
          <w:sz w:val="20"/>
          <w:szCs w:val="20"/>
          <w:color w:val="auto"/>
        </w:rPr>
      </w:pPr>
    </w:p>
    <w:p>
      <w:pPr>
        <w:ind w:right="40"/>
        <w:spacing w:after="0" w:line="264" w:lineRule="auto"/>
        <w:rPr>
          <w:sz w:val="20"/>
          <w:szCs w:val="20"/>
          <w:color w:val="auto"/>
        </w:rPr>
      </w:pPr>
      <w:r>
        <w:rPr>
          <w:rFonts w:ascii="Arial" w:cs="Arial" w:eastAsia="Arial" w:hAnsi="Arial"/>
          <w:sz w:val="14"/>
          <w:szCs w:val="14"/>
          <w:color w:val="auto"/>
        </w:rPr>
        <w:t xml:space="preserve">The Company also presents </w:t>
      </w:r>
      <w:r>
        <w:rPr>
          <w:rFonts w:ascii="Arial" w:cs="Arial" w:eastAsia="Arial" w:hAnsi="Arial"/>
          <w:sz w:val="14"/>
          <w:szCs w:val="14"/>
          <w:b w:val="1"/>
          <w:bCs w:val="1"/>
          <w:color w:val="auto"/>
        </w:rPr>
        <w:t>BXP’s Share of Market Capitalization</w:t>
      </w:r>
      <w:r>
        <w:rPr>
          <w:rFonts w:ascii="Arial" w:cs="Arial" w:eastAsia="Arial" w:hAnsi="Arial"/>
          <w:sz w:val="14"/>
          <w:szCs w:val="14"/>
          <w:color w:val="auto"/>
        </w:rPr>
        <w:t>, which is calculated in a similar manner, except that BXP’s Share of Debt is utilized instead of the Company’s Consolidated Debt in both the numerator and the denominator. The Company presents these ratios because its degree of leverage could affect its ability to obtain additional financing for working capital, capital expenditures, acquisitions, development or other general corporate purposes and because different investors and lenders consider one or both of these ratios. Investors should understand that these ratios are, in part, a function of the market price of the common stock of the Company, and as such will fluctuate with changes in such price and do not necessarily reflect the Company’s capacity to incur additional debt to finance its activities or its ability to manage its existing debt obligations. However, for a company like BXP, Inc., whose assets are primarily income-producing real estate, these ratios may provide investors with an alternate indication of leverage, so long as they are evaluated along with the ratio of indebtedness to other measures of asset value used by financial analysts and other financial ratios, as well as the various components of the Company’s outstanding indebtedness.</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240"/>
          </w:cols>
          <w:pgMar w:left="320" w:top="279" w:right="339" w:bottom="1440" w:gutter="0" w:footer="0" w:header="0"/>
        </w:sectPr>
      </w:pPr>
    </w:p>
    <w:bookmarkStart w:id="64" w:name="page65"/>
    <w:bookmarkEnd w:id="64"/>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Definitions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Before Interest, Taxes, Depreciation and Amortization for Real Estate (EBITDA</w:t>
      </w:r>
      <w:r>
        <w:rPr>
          <w:rFonts w:ascii="Arial" w:cs="Arial" w:eastAsia="Arial" w:hAnsi="Arial"/>
          <w:sz w:val="14"/>
          <w:szCs w:val="14"/>
          <w:b w:val="1"/>
          <w:bCs w:val="1"/>
          <w:i w:val="1"/>
          <w:iCs w:val="1"/>
          <w:color w:val="auto"/>
        </w:rPr>
        <w:t>re</w:t>
      </w:r>
      <w:r>
        <w:rPr>
          <w:rFonts w:ascii="Arial" w:cs="Arial" w:eastAsia="Arial" w:hAnsi="Arial"/>
          <w:sz w:val="14"/>
          <w:szCs w:val="14"/>
          <w:b w:val="1"/>
          <w:bCs w:val="1"/>
          <w:color w:val="auto"/>
        </w:rPr>
        <w:t>)</w:t>
      </w:r>
    </w:p>
    <w:p>
      <w:pPr>
        <w:spacing w:after="0" w:line="2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Pursuant to the definition of Earnings Before Interest, Taxes, Depreciation and Amortization for Real Estate adopted by the Board of Governors of the National Association of Real Estate Investment Trusts (“Nareit”), the Company calculates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as net income (loss) attributable to BXP, Inc, the most directly comparable GAAP financial measure, plus net (income) loss attributable to noncontrolling interests, interest expense, losses (gains) from early extinguishments of debt, depreciation and amortization expense, impairment losses and adjustments to reflect the Company’s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from unconsolidated joint ventures less gains (losses) on sales of real estate and sales-type leases.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is a non-GAAP financial measure. The Company uses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internally as a performance measure and believes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provides useful information to investors regarding its financial condition and results of operations at the corporate level because, when compared across periods,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reflects the impact on operations from trends in occupancy rates, rental rates, operating costs, general and administrative expenses and acquisition and development activities on an unleveraged basis, providing perspective not immediately apparent from net income (loss) attributable to BXP, Inc.</w:t>
      </w:r>
    </w:p>
    <w:p>
      <w:pPr>
        <w:spacing w:after="0" w:line="122" w:lineRule="exact"/>
        <w:rPr>
          <w:sz w:val="20"/>
          <w:szCs w:val="20"/>
          <w:color w:val="auto"/>
        </w:rPr>
      </w:pPr>
    </w:p>
    <w:p>
      <w:pPr>
        <w:ind w:right="40"/>
        <w:spacing w:after="0" w:line="261" w:lineRule="auto"/>
        <w:rPr>
          <w:sz w:val="20"/>
          <w:szCs w:val="20"/>
          <w:color w:val="auto"/>
        </w:rPr>
      </w:pPr>
      <w:r>
        <w:rPr>
          <w:rFonts w:ascii="Arial" w:cs="Arial" w:eastAsia="Arial" w:hAnsi="Arial"/>
          <w:sz w:val="14"/>
          <w:szCs w:val="14"/>
          <w:color w:val="auto"/>
        </w:rPr>
        <w:t xml:space="preserve">In some cases the Company also presents (A) </w:t>
      </w:r>
      <w:r>
        <w:rPr>
          <w:rFonts w:ascii="Arial" w:cs="Arial" w:eastAsia="Arial" w:hAnsi="Arial"/>
          <w:sz w:val="14"/>
          <w:szCs w:val="14"/>
          <w:b w:val="1"/>
          <w:bCs w:val="1"/>
          <w:color w:val="auto"/>
        </w:rPr>
        <w:t>BXP’s Share of EBITDA</w:t>
      </w:r>
      <w:r>
        <w:rPr>
          <w:rFonts w:ascii="Arial" w:cs="Arial" w:eastAsia="Arial" w:hAnsi="Arial"/>
          <w:sz w:val="14"/>
          <w:szCs w:val="14"/>
          <w:b w:val="1"/>
          <w:bCs w:val="1"/>
          <w:i w:val="1"/>
          <w:iCs w:val="1"/>
          <w:color w:val="auto"/>
        </w:rPr>
        <w:t>re</w:t>
      </w:r>
      <w:r>
        <w:rPr>
          <w:rFonts w:ascii="Arial" w:cs="Arial" w:eastAsia="Arial" w:hAnsi="Arial"/>
          <w:sz w:val="14"/>
          <w:szCs w:val="14"/>
          <w:color w:val="auto"/>
        </w:rPr>
        <w:t xml:space="preserve"> </w:t>
      </w:r>
      <w:r>
        <w:rPr>
          <w:rFonts w:ascii="Arial" w:cs="Arial" w:eastAsia="Arial" w:hAnsi="Arial"/>
          <w:sz w:val="14"/>
          <w:szCs w:val="14"/>
          <w:b w:val="1"/>
          <w:bCs w:val="1"/>
          <w:color w:val="auto"/>
        </w:rPr>
        <w:t>– cash</w:t>
      </w:r>
      <w:r>
        <w:rPr>
          <w:rFonts w:ascii="Arial" w:cs="Arial" w:eastAsia="Arial" w:hAnsi="Arial"/>
          <w:sz w:val="14"/>
          <w:szCs w:val="14"/>
          <w:color w:val="auto"/>
        </w:rPr>
        <w:t>, which is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after eliminating the effects of straight-line rent (excluding the impact related to deferred revenue related to improvements to long-lived assets paid for by a client), fair value lease revenue, amortization and accretion of sales type lease receivable, non-cash termination income adjustment (fair value lease amounts) and non-cash gains (losses) from early extinguishment of debt and adding straight-line ground rent expense (excluding prepaid ground rent expense), stock-based compensation expense and lease transaction costs that qualify as rent inducements, and (B) </w:t>
      </w:r>
      <w:r>
        <w:rPr>
          <w:rFonts w:ascii="Arial" w:cs="Arial" w:eastAsia="Arial" w:hAnsi="Arial"/>
          <w:sz w:val="14"/>
          <w:szCs w:val="14"/>
          <w:b w:val="1"/>
          <w:bCs w:val="1"/>
          <w:color w:val="auto"/>
        </w:rPr>
        <w:t>Annualized</w:t>
      </w:r>
      <w:r>
        <w:rPr>
          <w:rFonts w:ascii="Arial" w:cs="Arial" w:eastAsia="Arial" w:hAnsi="Arial"/>
          <w:sz w:val="14"/>
          <w:szCs w:val="14"/>
          <w:color w:val="auto"/>
        </w:rPr>
        <w:t xml:space="preserve"> </w:t>
      </w:r>
      <w:r>
        <w:rPr>
          <w:rFonts w:ascii="Arial" w:cs="Arial" w:eastAsia="Arial" w:hAnsi="Arial"/>
          <w:sz w:val="14"/>
          <w:szCs w:val="14"/>
          <w:b w:val="1"/>
          <w:bCs w:val="1"/>
          <w:color w:val="auto"/>
        </w:rPr>
        <w:t>EBITDA</w:t>
      </w:r>
      <w:r>
        <w:rPr>
          <w:rFonts w:ascii="Arial" w:cs="Arial" w:eastAsia="Arial" w:hAnsi="Arial"/>
          <w:sz w:val="14"/>
          <w:szCs w:val="14"/>
          <w:b w:val="1"/>
          <w:bCs w:val="1"/>
          <w:i w:val="1"/>
          <w:iCs w:val="1"/>
          <w:color w:val="auto"/>
        </w:rPr>
        <w:t>re</w:t>
      </w:r>
      <w:r>
        <w:rPr>
          <w:rFonts w:ascii="Arial" w:cs="Arial" w:eastAsia="Arial" w:hAnsi="Arial"/>
          <w:sz w:val="14"/>
          <w:szCs w:val="14"/>
          <w:color w:val="auto"/>
        </w:rPr>
        <w:t>, which is EBITDA</w:t>
      </w:r>
      <w:r>
        <w:rPr>
          <w:rFonts w:ascii="Arial" w:cs="Arial" w:eastAsia="Arial" w:hAnsi="Arial"/>
          <w:sz w:val="14"/>
          <w:szCs w:val="14"/>
          <w:i w:val="1"/>
          <w:iCs w:val="1"/>
          <w:color w:val="auto"/>
        </w:rPr>
        <w:t>re</w:t>
      </w:r>
      <w:r>
        <w:rPr>
          <w:rFonts w:ascii="Arial" w:cs="Arial" w:eastAsia="Arial" w:hAnsi="Arial"/>
          <w:sz w:val="14"/>
          <w:szCs w:val="14"/>
          <w:b w:val="1"/>
          <w:bCs w:val="1"/>
          <w:color w:val="auto"/>
        </w:rPr>
        <w:t xml:space="preserve"> </w:t>
      </w:r>
      <w:r>
        <w:rPr>
          <w:rFonts w:ascii="Arial" w:cs="Arial" w:eastAsia="Arial" w:hAnsi="Arial"/>
          <w:sz w:val="14"/>
          <w:szCs w:val="14"/>
          <w:color w:val="auto"/>
        </w:rPr>
        <w:t>for the applicable fiscal quarter ended multiplied by four (4). Presenting BXP’s Share of EBITDA</w:t>
      </w:r>
      <w:r>
        <w:rPr>
          <w:rFonts w:ascii="Arial" w:cs="Arial" w:eastAsia="Arial" w:hAnsi="Arial"/>
          <w:sz w:val="14"/>
          <w:szCs w:val="14"/>
          <w:i w:val="1"/>
          <w:iCs w:val="1"/>
          <w:color w:val="auto"/>
        </w:rPr>
        <w:t>re</w:t>
      </w:r>
      <w:r>
        <w:rPr>
          <w:rFonts w:ascii="Arial" w:cs="Arial" w:eastAsia="Arial" w:hAnsi="Arial"/>
          <w:sz w:val="14"/>
          <w:szCs w:val="14"/>
          <w:b w:val="1"/>
          <w:bCs w:val="1"/>
          <w:color w:val="auto"/>
        </w:rPr>
        <w:t xml:space="preserve"> </w:t>
      </w:r>
      <w:r>
        <w:rPr>
          <w:rFonts w:ascii="Arial" w:cs="Arial" w:eastAsia="Arial" w:hAnsi="Arial"/>
          <w:sz w:val="14"/>
          <w:szCs w:val="14"/>
          <w:color w:val="auto"/>
        </w:rPr>
        <w:t>– cash allows investors to compare EBITDA</w:t>
      </w:r>
      <w:r>
        <w:rPr>
          <w:rFonts w:ascii="Arial" w:cs="Arial" w:eastAsia="Arial" w:hAnsi="Arial"/>
          <w:sz w:val="14"/>
          <w:szCs w:val="14"/>
          <w:i w:val="1"/>
          <w:iCs w:val="1"/>
          <w:color w:val="auto"/>
        </w:rPr>
        <w:t>re</w:t>
      </w:r>
      <w:r>
        <w:rPr>
          <w:rFonts w:ascii="Arial" w:cs="Arial" w:eastAsia="Arial" w:hAnsi="Arial"/>
          <w:sz w:val="14"/>
          <w:szCs w:val="14"/>
          <w:b w:val="1"/>
          <w:bCs w:val="1"/>
          <w:color w:val="auto"/>
        </w:rPr>
        <w:t xml:space="preserve"> </w:t>
      </w:r>
      <w:r>
        <w:rPr>
          <w:rFonts w:ascii="Arial" w:cs="Arial" w:eastAsia="Arial" w:hAnsi="Arial"/>
          <w:sz w:val="14"/>
          <w:szCs w:val="14"/>
          <w:color w:val="auto"/>
        </w:rPr>
        <w:t>across periods without taking into account the effect of certain non-cash rental revenues, ground rent expense and stock based compensation expense. Similar to depreciation and amortization, because of historical cost accounting, fair value lease revenue may distort operating performance measures at the property level. Additionally, presenting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excluding the impact of straight-line rent provides investors with an alternative view of operating performance at the property level that more closely reflects rental revenue generated at the property level without regard to future contractual increases in rental rates. In addition, the Company’s management believes that the presentation of Annualized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provides useful information to investors regarding the Company’s results of operations because it enables investors to more easily compare quarterly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to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from full fiscal years.</w:t>
      </w:r>
    </w:p>
    <w:p>
      <w:pPr>
        <w:spacing w:after="0" w:line="113" w:lineRule="exact"/>
        <w:rPr>
          <w:sz w:val="20"/>
          <w:szCs w:val="20"/>
          <w:color w:val="auto"/>
        </w:rPr>
      </w:pPr>
    </w:p>
    <w:p>
      <w:pPr>
        <w:spacing w:after="0" w:line="267" w:lineRule="auto"/>
        <w:rPr>
          <w:sz w:val="20"/>
          <w:szCs w:val="20"/>
          <w:color w:val="auto"/>
        </w:rPr>
      </w:pPr>
      <w:r>
        <w:rPr>
          <w:rFonts w:ascii="Arial" w:cs="Arial" w:eastAsia="Arial" w:hAnsi="Arial"/>
          <w:sz w:val="14"/>
          <w:szCs w:val="14"/>
          <w:color w:val="auto"/>
        </w:rPr>
        <w:t>The Company’s computation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may not be comparable to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reported by other REITs or real estate companies that do not define the term in accordance with the current Nareit definition or that interpret the current Nareit definition differently. The Company believes that in order to facilitate a clear understanding of its operating results,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should be examined in conjunction with net income (loss) attributable to BXP, Inc. as presented in the Company’s consolidated financial statements.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should not be considered a substitute to net income (loss) attributable to BXP, Inc. in accordance with GAAP or any other GAAP financial measures and should only be considered together with and as a supplement to the Company’s financial information prepared in accordance with GAAP.</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Fixed Charge Coverage Ratio</w:t>
      </w:r>
    </w:p>
    <w:p>
      <w:pPr>
        <w:spacing w:after="0" w:line="29"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 xml:space="preserve">Fixed Charge Coverage Ratio equals </w:t>
      </w:r>
      <w:r>
        <w:rPr>
          <w:rFonts w:ascii="Arial" w:cs="Arial" w:eastAsia="Arial" w:hAnsi="Arial"/>
          <w:sz w:val="14"/>
          <w:szCs w:val="14"/>
          <w:b w:val="1"/>
          <w:bCs w:val="1"/>
          <w:color w:val="auto"/>
        </w:rPr>
        <w:t>BXP’s Share of EBITDA</w:t>
      </w:r>
      <w:r>
        <w:rPr>
          <w:rFonts w:ascii="Arial" w:cs="Arial" w:eastAsia="Arial" w:hAnsi="Arial"/>
          <w:sz w:val="14"/>
          <w:szCs w:val="14"/>
          <w:b w:val="1"/>
          <w:bCs w:val="1"/>
          <w:i w:val="1"/>
          <w:iCs w:val="1"/>
          <w:color w:val="auto"/>
        </w:rPr>
        <w:t>re</w:t>
      </w:r>
      <w:r>
        <w:rPr>
          <w:rFonts w:ascii="Arial" w:cs="Arial" w:eastAsia="Arial" w:hAnsi="Arial"/>
          <w:sz w:val="14"/>
          <w:szCs w:val="14"/>
          <w:color w:val="auto"/>
        </w:rPr>
        <w:t xml:space="preserve"> </w:t>
      </w:r>
      <w:r>
        <w:rPr>
          <w:rFonts w:ascii="Arial" w:cs="Arial" w:eastAsia="Arial" w:hAnsi="Arial"/>
          <w:sz w:val="14"/>
          <w:szCs w:val="14"/>
          <w:b w:val="1"/>
          <w:bCs w:val="1"/>
          <w:color w:val="auto"/>
        </w:rPr>
        <w:t>– cash</w:t>
      </w:r>
      <w:r>
        <w:rPr>
          <w:rFonts w:ascii="Arial" w:cs="Arial" w:eastAsia="Arial" w:hAnsi="Arial"/>
          <w:sz w:val="14"/>
          <w:szCs w:val="14"/>
          <w:color w:val="auto"/>
        </w:rPr>
        <w:t xml:space="preserve"> divided by </w:t>
      </w:r>
      <w:r>
        <w:rPr>
          <w:rFonts w:ascii="Arial" w:cs="Arial" w:eastAsia="Arial" w:hAnsi="Arial"/>
          <w:sz w:val="14"/>
          <w:szCs w:val="14"/>
          <w:b w:val="1"/>
          <w:bCs w:val="1"/>
          <w:color w:val="auto"/>
        </w:rPr>
        <w:t>Total Fixed Charges</w:t>
      </w:r>
      <w:r>
        <w:rPr>
          <w:rFonts w:ascii="Arial" w:cs="Arial" w:eastAsia="Arial" w:hAnsi="Arial"/>
          <w:sz w:val="14"/>
          <w:szCs w:val="14"/>
          <w:color w:val="auto"/>
        </w:rPr>
        <w:t>.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 cash is a non-GAAP financial measure equal to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after eliminating the effects of straight-line rent (excluding the impact related to deferred revenue related to improvements to long-lived assets paid for by a client), fair value lease revenue, amortization and accretion related to sales type lease receivable, non-cash termination income adjustment (fair value lease amounts) and non-cash gains (losses) from early extinguishment of debt and adding straight-line ground rent expense, stock-based compensation expense and lease transaction costs that qualify as rent inducements. </w:t>
      </w:r>
      <w:r>
        <w:rPr>
          <w:rFonts w:ascii="Arial" w:cs="Arial" w:eastAsia="Arial" w:hAnsi="Arial"/>
          <w:sz w:val="14"/>
          <w:szCs w:val="14"/>
          <w:b w:val="1"/>
          <w:bCs w:val="1"/>
          <w:color w:val="auto"/>
        </w:rPr>
        <w:t>Total Fixed Charges</w:t>
      </w:r>
      <w:r>
        <w:rPr>
          <w:rFonts w:ascii="Arial" w:cs="Arial" w:eastAsia="Arial" w:hAnsi="Arial"/>
          <w:sz w:val="14"/>
          <w:szCs w:val="14"/>
          <w:color w:val="auto"/>
        </w:rPr>
        <w:t xml:space="preserve"> is also a non-GAAP financial measure equal to the sum of BXP’s Share of interest expense, capitalized interest, maintenance capital expenditures, hotel improvements, equipment upgrades and replacements and preferred dividends/distributions less hedge amortization and amortization of financing costs. The Company believes that the presentation of its Fixed Charge Coverage Ratio provides investors with useful information about the Company’s financial performance as it relates to overall financial flexibility and balance sheet management. Furthermore, the Company believes that the Fixed Charge Coverage Ratio is frequently used by analysts, rating agencies and other interested parties in the evaluation of the Company’s performance as a REIT and, as a result, by presenting the Fixed Charge Coverage Ratio the Company assists these parties in their evaluations. The Company’s calculation of its Fixed Charge Coverage Ratio may not be comparable to the ratios reported by other REITs or real estate companies that define the term differently and should only be considered together with and as a supplement to the Company’s financial information prepared in accordance with GAAP. For clarification purposes, this ratio does not include gains (losses) from early extinguishments of debt.</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Funds Available for Distribution (FAD) and FAD Payout Ratio</w:t>
      </w:r>
    </w:p>
    <w:p>
      <w:pPr>
        <w:spacing w:after="0" w:line="15"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In addition to FFO, which is defined on the following page, the Company presents Funds Available for Distribution to common shareholders and common unitholders (FAD), which is a non-GAAP financial measure that is calculated by (1) adding to FFO lease transaction costs that qualify as rent inducements, non-real estate depreciation and amortization, non-cash losses (gains) from early extinguishments of debt, stock-based compensation expense, partners’ share of consolidated and unconsolidated joint venture 2nd generation tenant improvement and leasing commissions (included in the period in which the lease commences) and unearned portion of capitalized fees, (2) eliminating the effects of straight-line rent, straight-line ground rent expense adjustment (excluding prepaid ground rent expense), hedge amortization, fair value interest adjustment, fair value lease revenue and amortization and accretion related to sales type lease receivable, and (3) subtracting maintenance capital expenditures, hotel improvements, equipment upgrades and replacements, 2nd generation tenant improvement and leasing commissions (included in the period in which the lease commences), non-cash termination income adjustment (fair value lease amounts) and impairments of non-depreciable real estate. The Company believes that the presentation of FAD provides useful information to investors regarding the Company’s results of operations because FAD provides supplemental information regarding the Company’s operating performance that would not otherwise be available and may be useful to investors in assessing the Company’s operating performance. Additionally, although the Company does not consider FAD to be a liquidity measure, as it does not make adjustments to reflect changes in working capital or the actual timing of the payment of income or expense items that are accrued in the period, the Company believes that FAD may provide investors with useful supplemental information regarding the Company’s ability to generate cash from its operating performance and the impact of the Company’s operating performance on its ability to make distributions to its shareholders. Furthermore, the Company believes that FAD is frequently used by analysts, investors and other interested parties in the evaluation of its performance as a REIT and, as a result, by presenting FAD the Company is assisting these parties in their evaluation. FAD should not be considered as a substitute for net income (loss) attributable to BXP, Inc.’s co determined in accordance with GAAP or any other GAAP financial measures and should only be considered together with and as a supplement to the Company’s financial information prepared in accordance with GAAP.</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FAD Payout Ratio </w:t>
      </w:r>
      <w:r>
        <w:rPr>
          <w:rFonts w:ascii="Arial" w:cs="Arial" w:eastAsia="Arial" w:hAnsi="Arial"/>
          <w:sz w:val="14"/>
          <w:szCs w:val="14"/>
          <w:color w:val="auto"/>
        </w:rPr>
        <w:t>is defined as distributions to common shareholders and unitholders (excluding any special distributions) divided by FAD.</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ectPr>
          <w:pgSz w:w="11900" w:h="16838" w:orient="portrait"/>
          <w:cols w:equalWidth="0" w:num="1">
            <w:col w:w="11240"/>
          </w:cols>
          <w:pgMar w:left="320" w:top="279" w:right="339" w:bottom="1440" w:gutter="0" w:footer="0" w:header="0"/>
        </w:sectPr>
      </w:pPr>
    </w:p>
    <w:bookmarkStart w:id="65" w:name="page66"/>
    <w:bookmarkEnd w:id="65"/>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Definitions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Funds from Operations (FFO)</w:t>
      </w:r>
    </w:p>
    <w:p>
      <w:pPr>
        <w:spacing w:after="0" w:line="2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Pursuant to the revised definition of Funds from Operations adopted by the Board of Governors of Nareit, the Company calculates Funds from Operations, or “FFO,” by adjusting net income attributable to BXP, Inc. (computed in accordance with GAAP) for gains (or losses) from sales of properties or a change in control, impairment losses on depreciable real estate consolidated on the Company’s balance sheet, impairment losses on its investments in unconsolidated joint ventures driven by a measurable decrease in the fair value of depreciable real estate held by the unconsolidated joint ventures and real estate-related depreciation and amortization. FFO is a non-GAAP financial measure, but the Company believes the presentation of FFO, combined with the presentation of required GAAP financial measures, has improved the understanding of operating results of REITs among the investing public and has helped make comparisons of REIT operating results more meaningful. Management generally considers FFO and FFO per share to be useful measures for understanding and comparing the Company’s operating results because, by excluding gains and losses related to sales or a change in control of previously depreciated operating real estate assets, impairment losses and real estate asset depreciation and amortization (which can differ across owners of similar assets in similar condition based on historical cost accounting and useful life estimates), FFO and FFO per share can help investors compare the operating performance of a company’s real estate across reporting periods and to the operating performance of other companies.</w:t>
      </w:r>
    </w:p>
    <w:p>
      <w:pPr>
        <w:spacing w:after="0" w:line="112" w:lineRule="exact"/>
        <w:rPr>
          <w:sz w:val="20"/>
          <w:szCs w:val="20"/>
          <w:color w:val="auto"/>
        </w:rPr>
      </w:pPr>
    </w:p>
    <w:p>
      <w:pPr>
        <w:ind w:right="40"/>
        <w:spacing w:after="0" w:line="272" w:lineRule="auto"/>
        <w:rPr>
          <w:sz w:val="20"/>
          <w:szCs w:val="20"/>
          <w:color w:val="auto"/>
        </w:rPr>
      </w:pPr>
      <w:r>
        <w:rPr>
          <w:rFonts w:ascii="Arial" w:cs="Arial" w:eastAsia="Arial" w:hAnsi="Arial"/>
          <w:sz w:val="14"/>
          <w:szCs w:val="14"/>
          <w:color w:val="auto"/>
        </w:rPr>
        <w:t>The Company’s computation of FFO may not be comparable to FFO reported by other REITs or real estate companies that do not define the term in accordance with the current Nareit definition or that interpret the current Nareit definition differently. In order to facilitate a clear understanding of the Company’s operating results, FFO should be examined in conjunction with net income attributable to BXP, Inc. as presented in the Company’s consolidated financial statements. FFO should not be considered as a substitute for net income attributable to BXP, Inc. (determined in accordance with GAAP) or any other GAAP financial measures and should only be considered together with and as a supplement to the Company’s financial information prepared in accordance with GAAP.</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In-Service Properties</w:t>
      </w:r>
    </w:p>
    <w:p>
      <w:pPr>
        <w:spacing w:after="0" w:line="2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Company treats a property as being “in-service” upon the earlier of (1) lease-up and completion of tenant improvements or (2) one year after cessation of major construction activity as determined under GAAP. The determination as to when an entire property should be treated as “in-service” involves a degree of judgment and is made by management based on the relevant facts and circumstances of the particular property. For portfolio operating and occupancy statistics, the Company specifies a single date for treating a property as “in-service,” which is generally later than the date the property is partially placed in-service under GAAP. Under GAAP, a property may be placed in-service in stages as construction is completed and the property is held available for occupancy. In addition, under GAAP, when a portion of a property has been substantially completed and either occupied or held available for occupancy, the Company ceases capitalizing costs on that portion, even though it may not treat the property as being “in-service,” and continues to capitalize only those costs associated with the portion still under construction. In-service properties include properties held by the Company’s unconsolidated joint ventures. A property will no longer be considered “in-service” when the occupied percentage is below 50% and the Company anticipates a future development/redevelopment of the property.</w:t>
      </w: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Coverage Ratio</w:t>
      </w:r>
    </w:p>
    <w:p>
      <w:pPr>
        <w:spacing w:after="0" w:line="29"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 xml:space="preserve">Interest Coverage Ratio, calculated including and excluding capitalized interest, is a non-GAAP financial measure equal to </w:t>
      </w:r>
      <w:r>
        <w:rPr>
          <w:rFonts w:ascii="Arial" w:cs="Arial" w:eastAsia="Arial" w:hAnsi="Arial"/>
          <w:sz w:val="14"/>
          <w:szCs w:val="14"/>
          <w:b w:val="1"/>
          <w:bCs w:val="1"/>
          <w:color w:val="auto"/>
        </w:rPr>
        <w:t>BXP’s Share of EBITDA</w:t>
      </w:r>
      <w:r>
        <w:rPr>
          <w:rFonts w:ascii="Arial" w:cs="Arial" w:eastAsia="Arial" w:hAnsi="Arial"/>
          <w:sz w:val="14"/>
          <w:szCs w:val="14"/>
          <w:b w:val="1"/>
          <w:bCs w:val="1"/>
          <w:i w:val="1"/>
          <w:iCs w:val="1"/>
          <w:color w:val="auto"/>
        </w:rPr>
        <w:t>re</w:t>
      </w:r>
      <w:r>
        <w:rPr>
          <w:rFonts w:ascii="Arial" w:cs="Arial" w:eastAsia="Arial" w:hAnsi="Arial"/>
          <w:sz w:val="14"/>
          <w:szCs w:val="14"/>
          <w:color w:val="auto"/>
        </w:rPr>
        <w:t xml:space="preserve"> </w:t>
      </w:r>
      <w:r>
        <w:rPr>
          <w:rFonts w:ascii="Arial" w:cs="Arial" w:eastAsia="Arial" w:hAnsi="Arial"/>
          <w:sz w:val="14"/>
          <w:szCs w:val="14"/>
          <w:b w:val="1"/>
          <w:bCs w:val="1"/>
          <w:color w:val="auto"/>
        </w:rPr>
        <w:t>– cash</w:t>
      </w:r>
      <w:r>
        <w:rPr>
          <w:rFonts w:ascii="Arial" w:cs="Arial" w:eastAsia="Arial" w:hAnsi="Arial"/>
          <w:sz w:val="14"/>
          <w:szCs w:val="14"/>
          <w:color w:val="auto"/>
        </w:rPr>
        <w:t xml:space="preserve"> divided by Adjusted interest expense.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 cash is a non-GAAP financial measure equal to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after eliminating the effects of straight-line rent (excluding the impact related to deferred revenue related to improvements to long-lived assets paid for by a client), fair value lease revenue, amortization and accretion related to sales type lease receivable, non-cash termination income adjustment (fair value lease amounts) and non-cash gains (losses) from early extinguishment of debt and adding straight-line ground rent expense (excluding prepaid ground rent expense), stock-based compensation expense and lease transaction costs that qualify as rent inducements. Adjusted interest expense excluding capitalized interest is equal to BXP’s Share of interest expense less (1) BXP’s Share of hedge amortization, (2) BXP’s Share of fair value interest adjustment and (3) BXP’s Share of amortization of financing costs. Adjusted interest expense including capitalized interest is calculated in the same manner but adds back BXP’s Share of capitalized interest. The Company believes that the presentation of its Interest Coverage Ratio provides useful information about the Company’s financial condition because it provides investors additional information on the Company’s ability to meet its debt obligations and incur additional indebtedness. In addition, by analyzing interest coverage ratios over a period of time, trends may emerge that provide investors a better sense of whether a company’s financial condition is improving or declining. The ratios may also be used to compare the financial condition of different companies, which can help when making an investment decision. The Company presents its Interest Coverage Ratio in two ways - including capitalized interest and excluding capitalized interest. GAAP requires the capitalization of interest expense during development. Therefore, for a company like BXP, Inc. that is an active developer of real estate, presenting the Interest Coverage Ratio (excluding capitalized interest) provides an alternative measure of financial condition that may be more indicative of the Company’s ability to meet its interest expense obligations and therefore its overall financial condition. For clarification purposes, this ratio does not include gains (losses) from early extinguishments of debt.</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Rents</w:t>
      </w:r>
    </w:p>
    <w:p>
      <w:pPr>
        <w:spacing w:after="0" w:line="29" w:lineRule="exact"/>
        <w:rPr>
          <w:sz w:val="20"/>
          <w:szCs w:val="20"/>
          <w:color w:val="auto"/>
        </w:rPr>
      </w:pPr>
    </w:p>
    <w:p>
      <w:pPr>
        <w:jc w:val="both"/>
        <w:ind w:right="340"/>
        <w:spacing w:after="0" w:line="262" w:lineRule="auto"/>
        <w:rPr>
          <w:sz w:val="20"/>
          <w:szCs w:val="20"/>
          <w:color w:val="auto"/>
        </w:rPr>
      </w:pPr>
      <w:r>
        <w:rPr>
          <w:rFonts w:ascii="Arial" w:cs="Arial" w:eastAsia="Arial" w:hAnsi="Arial"/>
          <w:sz w:val="14"/>
          <w:szCs w:val="14"/>
          <w:color w:val="auto"/>
        </w:rPr>
        <w:t>Market Rents used by the Company in calculating Average Economic Occupancy are based on the current market rates set by the managers of the Company’s residential properties based on their experience in renting their residential property’s units and publicly available market data. Trends in market rents for a region as reported by others could therefore vary materially. Market Rents for a period are based on the average Market Rents during that period and do not reflect any impact for cash concessions.</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Debt</w:t>
      </w:r>
    </w:p>
    <w:p>
      <w:pPr>
        <w:spacing w:after="0" w:line="29"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 xml:space="preserve">Net Debt is equal to (A) the Company’s consolidated debt plus special dividends payable (if any) less (B) cash and cash equivalents and cash held in escrow for potential Section 1031 like kind exchange(s) (if any). The Company believes that the presentation of Net Debt provides useful information to investors because the Company reviews Net Debt as part of the management of its overall financial flexibility, capital structure and leverage. In particular, Net Debt is an important component of the Company’s ratio of </w:t>
      </w:r>
      <w:r>
        <w:rPr>
          <w:rFonts w:ascii="Arial" w:cs="Arial" w:eastAsia="Arial" w:hAnsi="Arial"/>
          <w:sz w:val="14"/>
          <w:szCs w:val="14"/>
          <w:b w:val="1"/>
          <w:bCs w:val="1"/>
          <w:color w:val="auto"/>
        </w:rPr>
        <w:t>BXP’s Share of Net Debt to BXP’s Share of EBITDA</w:t>
      </w:r>
      <w:r>
        <w:rPr>
          <w:rFonts w:ascii="Arial" w:cs="Arial" w:eastAsia="Arial" w:hAnsi="Arial"/>
          <w:sz w:val="14"/>
          <w:szCs w:val="14"/>
          <w:b w:val="1"/>
          <w:bCs w:val="1"/>
          <w:i w:val="1"/>
          <w:iCs w:val="1"/>
          <w:color w:val="auto"/>
        </w:rPr>
        <w:t>re</w:t>
      </w:r>
      <w:r>
        <w:rPr>
          <w:rFonts w:ascii="Arial" w:cs="Arial" w:eastAsia="Arial" w:hAnsi="Arial"/>
          <w:sz w:val="14"/>
          <w:szCs w:val="14"/>
          <w:b w:val="1"/>
          <w:bCs w:val="1"/>
          <w:color w:val="auto"/>
        </w:rPr>
        <w:t xml:space="preserve">. </w:t>
      </w:r>
      <w:r>
        <w:rPr>
          <w:rFonts w:ascii="Arial" w:cs="Arial" w:eastAsia="Arial" w:hAnsi="Arial"/>
          <w:sz w:val="14"/>
          <w:szCs w:val="14"/>
          <w:color w:val="auto"/>
        </w:rPr>
        <w:t>BXP’s Share of Net Debt is calculated in a similar manner to Net Debt, except that (1) BXP’s Share of Debt is utilized</w:t>
      </w:r>
      <w:r>
        <w:rPr>
          <w:rFonts w:ascii="Arial" w:cs="Arial" w:eastAsia="Arial" w:hAnsi="Arial"/>
          <w:sz w:val="14"/>
          <w:szCs w:val="14"/>
          <w:b w:val="1"/>
          <w:bCs w:val="1"/>
          <w:color w:val="auto"/>
        </w:rPr>
        <w:t xml:space="preserve"> </w:t>
      </w:r>
      <w:r>
        <w:rPr>
          <w:rFonts w:ascii="Arial" w:cs="Arial" w:eastAsia="Arial" w:hAnsi="Arial"/>
          <w:sz w:val="14"/>
          <w:szCs w:val="14"/>
          <w:color w:val="auto"/>
        </w:rPr>
        <w:t>instead of the Company’s consolidated debt after eliminating BXP’s Share of the related party note receivable and (2) BXP’s Share of cash is utilized instead of consolidated cash. The Company believes BXP’s Share of Net Debt to BXP’s Share of EBITDA</w:t>
      </w:r>
      <w:r>
        <w:rPr>
          <w:rFonts w:ascii="Arial" w:cs="Arial" w:eastAsia="Arial" w:hAnsi="Arial"/>
          <w:sz w:val="14"/>
          <w:szCs w:val="14"/>
          <w:i w:val="1"/>
          <w:iCs w:val="1"/>
          <w:color w:val="auto"/>
        </w:rPr>
        <w:t>re</w:t>
      </w:r>
      <w:r>
        <w:rPr>
          <w:rFonts w:ascii="Arial" w:cs="Arial" w:eastAsia="Arial" w:hAnsi="Arial"/>
          <w:sz w:val="14"/>
          <w:szCs w:val="14"/>
          <w:color w:val="auto"/>
        </w:rPr>
        <w:t xml:space="preserve"> is useful to investors because it provides an alternative measure of the Company’s financial flexibility, capital structure and leverage based on its percentage ownership interest in all of its assets. Furthermore, certain debt rating agencies, creditors and credit analysts monitor the Company’s Net Debt as part of their assessments of its business. The Company may utilize a considerable portion of its cash and cash equivalents at any given time for purposes other than debt reduction. In addition, cash and cash equivalents and cash held in escrow for potential Section 1031 like kind exchange(s) may not be solely controlled by the Company. The deduction of these items from consolidated debt in the calculation of Net Debt therefore should not be understood to mean that these items are available exclusively for debt reduction at any given time.</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58</w:t>
      </w:r>
    </w:p>
    <w:p>
      <w:pPr>
        <w:sectPr>
          <w:pgSz w:w="11900" w:h="16838" w:orient="portrait"/>
          <w:cols w:equalWidth="0" w:num="1">
            <w:col w:w="11240"/>
          </w:cols>
          <w:pgMar w:left="320" w:top="279" w:right="339" w:bottom="1440" w:gutter="0" w:footer="0" w:header="0"/>
        </w:sectPr>
      </w:pPr>
    </w:p>
    <w:bookmarkStart w:id="66" w:name="page67"/>
    <w:bookmarkEnd w:id="66"/>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Definitions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Operating Income (NOI)</w:t>
      </w:r>
    </w:p>
    <w:p>
      <w:pPr>
        <w:spacing w:after="0" w:line="29"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 xml:space="preserve">Net operating income (NOI) is a non-GAAP financial measure equal to net income (loss) attributable to BXP, Inc., the most directly comparable GAAP financial measure, plus (1) net (income) loss attributable to noncontrolling interests, corporate general and administrative expense, payroll and related costs from management services contracts, transaction costs, depreciation and amortization expense, impairment losses, loss from early extinguishment of debt, and interest expense, less (2) development and management services revenue, direct reimbursements of payroll and related costs from management services contracts, income (loss) from unconsolidated joint ventures, gains (losses) on sales of real estate or sales type leases, gains (losses) from investments in securities, unrealized gain (loss) on non-real estate investments, and interest and other income. In some cases, the Company also presents (1) </w:t>
      </w:r>
      <w:r>
        <w:rPr>
          <w:rFonts w:ascii="Arial" w:cs="Arial" w:eastAsia="Arial" w:hAnsi="Arial"/>
          <w:sz w:val="14"/>
          <w:szCs w:val="14"/>
          <w:b w:val="1"/>
          <w:bCs w:val="1"/>
          <w:color w:val="auto"/>
        </w:rPr>
        <w:t>NOI – cash</w:t>
      </w:r>
      <w:r>
        <w:rPr>
          <w:rFonts w:ascii="Arial" w:cs="Arial" w:eastAsia="Arial" w:hAnsi="Arial"/>
          <w:sz w:val="14"/>
          <w:szCs w:val="14"/>
          <w:color w:val="auto"/>
        </w:rPr>
        <w:t>, which is NOI after eliminating the effects of straight-line rent (excluding the impact related to deferred revenue related to improvements to long-lived assets paid for by a client), fair value lease revenue, amortization and accretion related to sales type lease, straight-line ground rent expense adjustment (excluding prepaid ground rent), prepaid ground rent expense and lease transaction costs that qualify as rent inducements in accordance with GAAP,</w:t>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and (2) </w:t>
      </w:r>
      <w:r>
        <w:rPr>
          <w:rFonts w:ascii="Arial" w:cs="Arial" w:eastAsia="Arial" w:hAnsi="Arial"/>
          <w:sz w:val="14"/>
          <w:szCs w:val="14"/>
          <w:b w:val="1"/>
          <w:bCs w:val="1"/>
          <w:color w:val="auto"/>
        </w:rPr>
        <w:t>NOI and NOI – cash, in each case excluding termination income</w:t>
      </w:r>
      <w:r>
        <w:rPr>
          <w:rFonts w:ascii="Arial" w:cs="Arial" w:eastAsia="Arial" w:hAnsi="Arial"/>
          <w:sz w:val="14"/>
          <w:szCs w:val="14"/>
          <w:color w:val="auto"/>
        </w:rPr>
        <w:t>.</w:t>
      </w:r>
    </w:p>
    <w:p>
      <w:pPr>
        <w:spacing w:after="0" w:line="163"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auto"/>
        </w:rPr>
        <w:t>The Company uses these measures internally as performance measures and believes they provide useful information to investors regarding the Company’s results of operations and financial condition because, when compared across periods, they reflect the impact on operations from trends in occupancy rates, rental rates, operating costs and acquisition and development activity on an unleveraged basis, providing perspective not immediately apparent from net income (loss). For example, interest expense is not necessarily linked to the operating performance of a real estate asset and is often incurred at the corporate level as opposed to the property level. Similarly, interest expense may be incurred at the property level even though the financing proceeds may be used at the corporate level (e.g., used for other investment activity). In addition, depreciation and amortization expense because of historical cost accounting and useful life estimates, may distort operating performance measures at the property level. Presenting NOI – cash allows investors to compare NOI performance across periods without taking into account the effect of certain non-cash rental revenues, amortization and accretion related to sales type lease receivable and ground rent expenses. Similar to depreciation and amortization expense, fair value lease revenues, because of historical cost accounting, may distort operating performance measures at the property level. Additionally, presenting NOI excluding the impact of the straight-lining of rent and amortization and accretion related to sale type lease receivable provides investors with an alternative view of operating performance at the property level that more closely reflects net cash generated at the property level on an unleveraged basis. Presenting NOI measures that exclude termination income provides investors with additional information regarding operating performance at a property level that allows them to compare operating performance between periods without taking into account termination income, which can distort the results for any given period because they generally represent multiple months or years of a client’s rental obligations that are paid in a lump sum in connection with a negotiated early termination of the client’s lease and are not reflective of the core ongoing operating performance of the Company’s properties.</w:t>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Rental Obligations</w:t>
      </w:r>
    </w:p>
    <w:p>
      <w:pPr>
        <w:spacing w:after="0" w:line="29" w:lineRule="exact"/>
        <w:rPr>
          <w:sz w:val="20"/>
          <w:szCs w:val="20"/>
          <w:color w:val="auto"/>
        </w:rPr>
      </w:pPr>
    </w:p>
    <w:p>
      <w:pPr>
        <w:ind w:right="260"/>
        <w:spacing w:after="0" w:line="284" w:lineRule="auto"/>
        <w:rPr>
          <w:sz w:val="20"/>
          <w:szCs w:val="20"/>
          <w:color w:val="auto"/>
        </w:rPr>
      </w:pPr>
      <w:r>
        <w:rPr>
          <w:rFonts w:ascii="Arial" w:cs="Arial" w:eastAsia="Arial" w:hAnsi="Arial"/>
          <w:sz w:val="14"/>
          <w:szCs w:val="14"/>
          <w:color w:val="auto"/>
        </w:rPr>
        <w:t>Rental Obligations is defined as the contractual base rents (but excluding percentage rent) and budgeted reimbursements from clients under existing leases. These amounts exclude rent abatements.</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Rental Revenue</w:t>
      </w:r>
    </w:p>
    <w:p>
      <w:pPr>
        <w:spacing w:after="0" w:line="29"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 xml:space="preserve">Rental Revenue is equal to Total revenue, the most directly comparable GAAP financial measure, less development and management services revenue and direct reimbursements of payroll and related costs from management services contracts. The Company uses Rental Revenue internally as a performance measure and in calculating other non-GAAP financial measures (e.g., NOI), which provides investors with information regarding our performance that is not immediately apparent from the comparable non-GAAP measures and allows investors to compare operating performance between periods. The Company also presents </w:t>
      </w:r>
      <w:r>
        <w:rPr>
          <w:rFonts w:ascii="Arial" w:cs="Arial" w:eastAsia="Arial" w:hAnsi="Arial"/>
          <w:sz w:val="14"/>
          <w:szCs w:val="14"/>
          <w:b w:val="1"/>
          <w:bCs w:val="1"/>
          <w:color w:val="auto"/>
        </w:rPr>
        <w:t>Rental Revenue (excluding termination income)</w:t>
      </w:r>
      <w:r>
        <w:rPr>
          <w:rFonts w:ascii="Arial" w:cs="Arial" w:eastAsia="Arial" w:hAnsi="Arial"/>
          <w:sz w:val="14"/>
          <w:szCs w:val="14"/>
          <w:color w:val="auto"/>
        </w:rPr>
        <w:t xml:space="preserve"> because termination income can distort the results for any given period because it generally represents multiple months or years of a client’s rental obligations that are paid in a lump sum in connection with a negotiated early termination of the client’s lease and does not reflect the core ongoing operating performance of the Company’s properties.</w:t>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Same Properties</w:t>
      </w:r>
    </w:p>
    <w:p>
      <w:pPr>
        <w:spacing w:after="0" w:line="29" w:lineRule="exact"/>
        <w:rPr>
          <w:sz w:val="20"/>
          <w:szCs w:val="20"/>
          <w:color w:val="auto"/>
        </w:rPr>
      </w:pPr>
    </w:p>
    <w:p>
      <w:pPr>
        <w:ind w:right="80"/>
        <w:spacing w:after="0" w:line="262" w:lineRule="auto"/>
        <w:rPr>
          <w:sz w:val="20"/>
          <w:szCs w:val="20"/>
          <w:color w:val="auto"/>
        </w:rPr>
      </w:pPr>
      <w:r>
        <w:rPr>
          <w:rFonts w:ascii="Arial" w:cs="Arial" w:eastAsia="Arial" w:hAnsi="Arial"/>
          <w:sz w:val="14"/>
          <w:szCs w:val="14"/>
          <w:color w:val="auto"/>
        </w:rPr>
        <w:t>In the Company’s analysis of NOI, particularly to make comparisons of NOI between periods meaningful, it is important to provide information for properties that were in-service and owned by the Company throughout each period presented. The Company refers to properties acquired or placed in-service prior to the beginning of the earliest period presented and owned by the Company through the end of the latest period presented as “Same Properties.” “Same Properties” therefore exclude properties placed in-service, acquired, repositioned or in or held for development or redevelopment after the beginning of the earliest period presented or disposed of prior to the end of the latest period presented. Accordingly, it takes at least one year and one quarter after a property is acquired or treated as “in-service” for that property to be included in “Same Properties.” Pages 21 - 24 indicate by footnote the “In-Service Properties” that are not included in “Same Properties.”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240"/>
          </w:cols>
          <w:pgMar w:left="320" w:top="279"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Q3 2026</w:t>
            </w:r>
          </w:p>
        </w:tc>
      </w:tr>
      <w:tr>
        <w:trPr>
          <w:trHeight w:val="245"/>
        </w:trPr>
        <w:tc>
          <w:tcPr>
            <w:tcW w:w="79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00497F"/>
              </w:rPr>
              <w:t>Reconciliations</w:t>
            </w:r>
          </w:p>
        </w:tc>
      </w:tr>
      <w:tr>
        <w:trPr>
          <w:trHeight w:val="586"/>
        </w:trPr>
        <w:tc>
          <w:tcPr>
            <w:tcW w:w="7960" w:type="dxa"/>
            <w:vAlign w:val="bottom"/>
          </w:tcPr>
          <w:p>
            <w:pPr>
              <w:spacing w:after="0"/>
              <w:rPr>
                <w:sz w:val="20"/>
                <w:szCs w:val="20"/>
                <w:color w:val="auto"/>
              </w:rPr>
            </w:pPr>
            <w:r>
              <w:rPr>
                <w:rFonts w:ascii="Arial" w:cs="Arial" w:eastAsia="Arial" w:hAnsi="Arial"/>
                <w:sz w:val="14"/>
                <w:szCs w:val="14"/>
                <w:color w:val="auto"/>
              </w:rPr>
              <w:t>(unaudited and in thousands)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3"/>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i w:val="1"/>
                <w:iCs w:val="1"/>
                <w:color w:val="auto"/>
              </w:rPr>
              <w:t>BXP’s Share of select items</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15"/>
        </w:trPr>
        <w:tc>
          <w:tcPr>
            <w:tcW w:w="79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848"/>
              <w:spacing w:after="0"/>
              <w:rPr>
                <w:sz w:val="20"/>
                <w:szCs w:val="20"/>
                <w:color w:val="auto"/>
              </w:rPr>
            </w:pPr>
            <w:r>
              <w:rPr>
                <w:rFonts w:ascii="Arial" w:cs="Arial" w:eastAsia="Arial" w:hAnsi="Arial"/>
                <w:sz w:val="14"/>
                <w:szCs w:val="14"/>
                <w:b w:val="1"/>
                <w:bCs w:val="1"/>
                <w:color w:val="auto"/>
              </w:rPr>
              <w:t>Three Months Ended</w:t>
            </w:r>
          </w:p>
        </w:tc>
      </w:tr>
      <w:tr>
        <w:trPr>
          <w:trHeight w:val="210"/>
        </w:trPr>
        <w:tc>
          <w:tcPr>
            <w:tcW w:w="7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30-Sep-26</w:t>
            </w:r>
          </w:p>
        </w:tc>
        <w:tc>
          <w:tcPr>
            <w:tcW w:w="260" w:type="dxa"/>
            <w:vAlign w:val="bottom"/>
          </w:tcPr>
          <w:p>
            <w:pPr>
              <w:spacing w:after="0"/>
              <w:rPr>
                <w:sz w:val="18"/>
                <w:szCs w:val="18"/>
                <w:color w:val="auto"/>
              </w:rPr>
            </w:pPr>
          </w:p>
        </w:tc>
        <w:tc>
          <w:tcPr>
            <w:tcW w:w="1240" w:type="dxa"/>
            <w:vAlign w:val="bottom"/>
          </w:tcPr>
          <w:p>
            <w:pPr>
              <w:jc w:val="right"/>
              <w:ind w:right="348"/>
              <w:spacing w:after="0"/>
              <w:rPr>
                <w:sz w:val="20"/>
                <w:szCs w:val="20"/>
                <w:color w:val="auto"/>
              </w:rPr>
            </w:pPr>
            <w:r>
              <w:rPr>
                <w:rFonts w:ascii="Arial" w:cs="Arial" w:eastAsia="Arial" w:hAnsi="Arial"/>
                <w:sz w:val="14"/>
                <w:szCs w:val="14"/>
                <w:b w:val="1"/>
                <w:bCs w:val="1"/>
                <w:color w:val="auto"/>
              </w:rPr>
              <w:t>30-Jun-26</w:t>
            </w:r>
          </w:p>
        </w:tc>
      </w:tr>
      <w:tr>
        <w:trPr>
          <w:trHeight w:val="202"/>
        </w:trPr>
        <w:tc>
          <w:tcPr>
            <w:tcW w:w="7960" w:type="dxa"/>
            <w:vAlign w:val="bottom"/>
          </w:tcPr>
          <w:p>
            <w:pPr>
              <w:ind w:left="20"/>
              <w:spacing w:after="0"/>
              <w:rPr>
                <w:sz w:val="20"/>
                <w:szCs w:val="20"/>
                <w:color w:val="auto"/>
              </w:rPr>
            </w:pPr>
            <w:r>
              <w:rPr>
                <w:rFonts w:ascii="Arial" w:cs="Arial" w:eastAsia="Arial" w:hAnsi="Arial"/>
                <w:sz w:val="14"/>
                <w:szCs w:val="14"/>
                <w:color w:val="auto"/>
              </w:rPr>
              <w:t>Revenue</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911,431</w:t>
            </w:r>
          </w:p>
        </w:tc>
        <w:tc>
          <w:tcPr>
            <w:tcW w:w="280" w:type="dxa"/>
            <w:vAlign w:val="bottom"/>
          </w:tcPr>
          <w:p>
            <w:pPr>
              <w:spacing w:after="0"/>
              <w:rPr>
                <w:sz w:val="17"/>
                <w:szCs w:val="17"/>
                <w:color w:val="auto"/>
              </w:rPr>
            </w:pP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895,699</w:t>
            </w:r>
          </w:p>
        </w:tc>
      </w:tr>
      <w:tr>
        <w:trPr>
          <w:trHeight w:val="216"/>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revenue from consolidated joint ventures (JVs)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(103,772)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(99,659)</w:t>
            </w:r>
          </w:p>
        </w:tc>
      </w:tr>
      <w:tr>
        <w:trPr>
          <w:trHeight w:val="22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revenue from unconsolidated JVs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46,628</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42,596</w:t>
            </w:r>
          </w:p>
        </w:tc>
      </w:tr>
      <w:tr>
        <w:trPr>
          <w:trHeight w:val="206"/>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revenue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854,287</w:t>
            </w:r>
          </w:p>
        </w:tc>
        <w:tc>
          <w:tcPr>
            <w:tcW w:w="2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838,636</w:t>
            </w:r>
          </w:p>
        </w:tc>
      </w:tr>
      <w:tr>
        <w:trPr>
          <w:trHeight w:val="418"/>
        </w:trPr>
        <w:tc>
          <w:tcPr>
            <w:tcW w:w="7960" w:type="dxa"/>
            <w:vAlign w:val="bottom"/>
          </w:tcPr>
          <w:p>
            <w:pPr>
              <w:ind w:left="20"/>
              <w:spacing w:after="0"/>
              <w:rPr>
                <w:sz w:val="20"/>
                <w:szCs w:val="20"/>
                <w:color w:val="auto"/>
              </w:rPr>
            </w:pPr>
            <w:r>
              <w:rPr>
                <w:rFonts w:ascii="Arial" w:cs="Arial" w:eastAsia="Arial" w:hAnsi="Arial"/>
                <w:sz w:val="14"/>
                <w:szCs w:val="14"/>
                <w:color w:val="auto"/>
              </w:rPr>
              <w:t>Straight-line rent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46,907</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3,570</w:t>
            </w:r>
          </w:p>
        </w:tc>
      </w:tr>
      <w:tr>
        <w:trPr>
          <w:trHeight w:val="216"/>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straight-line rent from consolidated JVs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(4,875)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11,804</w:t>
            </w:r>
          </w:p>
        </w:tc>
      </w:tr>
      <w:tr>
        <w:trPr>
          <w:trHeight w:val="22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straight-line rent from unconsolidated JVs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4,509</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4,022</w:t>
            </w:r>
          </w:p>
        </w:tc>
      </w:tr>
      <w:tr>
        <w:trPr>
          <w:trHeight w:val="206"/>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straight-line rent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46,541</w:t>
            </w:r>
          </w:p>
        </w:tc>
        <w:tc>
          <w:tcPr>
            <w:tcW w:w="2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19,396</w:t>
            </w:r>
          </w:p>
        </w:tc>
      </w:tr>
      <w:tr>
        <w:trPr>
          <w:trHeight w:val="442"/>
        </w:trPr>
        <w:tc>
          <w:tcPr>
            <w:tcW w:w="7960" w:type="dxa"/>
            <w:vAlign w:val="bottom"/>
          </w:tcPr>
          <w:p>
            <w:pPr>
              <w:ind w:left="20"/>
              <w:spacing w:after="0"/>
              <w:rPr>
                <w:sz w:val="20"/>
                <w:szCs w:val="20"/>
                <w:color w:val="auto"/>
              </w:rPr>
            </w:pPr>
            <w:r>
              <w:rPr>
                <w:rFonts w:ascii="Arial" w:cs="Arial" w:eastAsia="Arial" w:hAnsi="Arial"/>
                <w:sz w:val="14"/>
                <w:szCs w:val="14"/>
                <w:color w:val="auto"/>
              </w:rPr>
              <w:t xml:space="preserve">Fair value lease revenue </w:t>
            </w:r>
            <w:r>
              <w:rPr>
                <w:rFonts w:ascii="Arial" w:cs="Arial" w:eastAsia="Arial" w:hAnsi="Arial"/>
                <w:sz w:val="18"/>
                <w:szCs w:val="18"/>
                <w:color w:val="auto"/>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2,151</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2,168</w:t>
            </w:r>
          </w:p>
        </w:tc>
      </w:tr>
      <w:tr>
        <w:trPr>
          <w:trHeight w:val="216"/>
        </w:trPr>
        <w:tc>
          <w:tcPr>
            <w:tcW w:w="7960" w:type="dxa"/>
            <w:vAlign w:val="bottom"/>
          </w:tcPr>
          <w:p>
            <w:pPr>
              <w:ind w:left="20"/>
              <w:spacing w:after="0"/>
              <w:rPr>
                <w:sz w:val="20"/>
                <w:szCs w:val="20"/>
                <w:color w:val="auto"/>
              </w:rPr>
            </w:pPr>
            <w:r>
              <w:rPr>
                <w:rFonts w:ascii="Arial" w:cs="Arial" w:eastAsia="Arial" w:hAnsi="Arial"/>
                <w:sz w:val="14"/>
                <w:szCs w:val="14"/>
                <w:color w:val="auto"/>
              </w:rPr>
              <w:t xml:space="preserve">Partners’ share of fair value lease revenue from consolidated JVs </w:t>
            </w:r>
            <w:r>
              <w:rPr>
                <w:rFonts w:ascii="Arial" w:cs="Arial" w:eastAsia="Arial" w:hAnsi="Arial"/>
                <w:sz w:val="18"/>
                <w:szCs w:val="18"/>
                <w:color w:val="auto"/>
                <w:vertAlign w:val="superscript"/>
              </w:rPr>
              <w:t>1</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01"/>
        </w:trPr>
        <w:tc>
          <w:tcPr>
            <w:tcW w:w="7960" w:type="dxa"/>
            <w:vAlign w:val="bottom"/>
            <w:tcBorders>
              <w:bottom w:val="single" w:sz="8" w:color="auto"/>
            </w:tcBorders>
          </w:tcPr>
          <w:p>
            <w:pPr>
              <w:ind w:left="20"/>
              <w:spacing w:after="0" w:line="201" w:lineRule="exact"/>
              <w:rPr>
                <w:sz w:val="20"/>
                <w:szCs w:val="20"/>
                <w:color w:val="auto"/>
              </w:rPr>
            </w:pPr>
            <w:r>
              <w:rPr>
                <w:rFonts w:ascii="Arial" w:cs="Arial" w:eastAsia="Arial" w:hAnsi="Arial"/>
                <w:sz w:val="14"/>
                <w:szCs w:val="14"/>
                <w:color w:val="auto"/>
              </w:rPr>
              <w:t xml:space="preserve">BXP’s share of fair value lease revenue from unconsolidated JVs </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701</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685</w:t>
            </w:r>
          </w:p>
        </w:tc>
      </w:tr>
      <w:tr>
        <w:trPr>
          <w:trHeight w:val="258"/>
        </w:trPr>
        <w:tc>
          <w:tcPr>
            <w:tcW w:w="7960" w:type="dxa"/>
            <w:vAlign w:val="bottom"/>
          </w:tcPr>
          <w:p>
            <w:pPr>
              <w:ind w:left="220"/>
              <w:spacing w:after="0"/>
              <w:rPr>
                <w:sz w:val="20"/>
                <w:szCs w:val="20"/>
                <w:color w:val="auto"/>
              </w:rPr>
            </w:pPr>
            <w:r>
              <w:rPr>
                <w:rFonts w:ascii="Arial" w:cs="Arial" w:eastAsia="Arial" w:hAnsi="Arial"/>
                <w:sz w:val="14"/>
                <w:szCs w:val="14"/>
                <w:color w:val="auto"/>
              </w:rPr>
              <w:t xml:space="preserve">BXP’s Share of fair value lease revenue </w:t>
            </w:r>
            <w:r>
              <w:rPr>
                <w:rFonts w:ascii="Arial" w:cs="Arial" w:eastAsia="Arial" w:hAnsi="Arial"/>
                <w:sz w:val="18"/>
                <w:szCs w:val="18"/>
                <w:color w:val="auto"/>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2,863</w:t>
            </w:r>
          </w:p>
        </w:tc>
        <w:tc>
          <w:tcPr>
            <w:tcW w:w="28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2,864</w:t>
            </w:r>
          </w:p>
        </w:tc>
      </w:tr>
      <w:tr>
        <w:trPr>
          <w:trHeight w:val="362"/>
        </w:trPr>
        <w:tc>
          <w:tcPr>
            <w:tcW w:w="7960" w:type="dxa"/>
            <w:vAlign w:val="bottom"/>
          </w:tcPr>
          <w:p>
            <w:pPr>
              <w:ind w:left="20"/>
              <w:spacing w:after="0"/>
              <w:rPr>
                <w:sz w:val="20"/>
                <w:szCs w:val="20"/>
                <w:color w:val="auto"/>
              </w:rPr>
            </w:pPr>
            <w:r>
              <w:rPr>
                <w:rFonts w:ascii="Arial" w:cs="Arial" w:eastAsia="Arial" w:hAnsi="Arial"/>
                <w:sz w:val="14"/>
                <w:szCs w:val="14"/>
                <w:color w:val="auto"/>
              </w:rPr>
              <w:t>Lease termination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3,333</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2,828</w:t>
            </w:r>
          </w:p>
        </w:tc>
      </w:tr>
      <w:tr>
        <w:trPr>
          <w:trHeight w:val="216"/>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termination income from consolidated JVs</w:t>
            </w:r>
          </w:p>
        </w:tc>
        <w:tc>
          <w:tcPr>
            <w:tcW w:w="26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2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termination income from unconsolidated JVs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3,667</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6"/>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termination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7,000</w:t>
            </w:r>
          </w:p>
        </w:tc>
        <w:tc>
          <w:tcPr>
            <w:tcW w:w="2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2,805</w:t>
            </w:r>
          </w:p>
        </w:tc>
      </w:tr>
      <w:tr>
        <w:trPr>
          <w:trHeight w:val="418"/>
        </w:trPr>
        <w:tc>
          <w:tcPr>
            <w:tcW w:w="7960" w:type="dxa"/>
            <w:vAlign w:val="bottom"/>
          </w:tcPr>
          <w:p>
            <w:pPr>
              <w:ind w:left="20"/>
              <w:spacing w:after="0"/>
              <w:rPr>
                <w:sz w:val="20"/>
                <w:szCs w:val="20"/>
                <w:color w:val="auto"/>
              </w:rPr>
            </w:pPr>
            <w:r>
              <w:rPr>
                <w:rFonts w:ascii="Arial" w:cs="Arial" w:eastAsia="Arial" w:hAnsi="Arial"/>
                <w:sz w:val="14"/>
                <w:szCs w:val="14"/>
                <w:color w:val="auto"/>
              </w:rPr>
              <w:t>Non-cash termination income adjustment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(604)</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(2,306)</w:t>
            </w:r>
          </w:p>
        </w:tc>
      </w:tr>
      <w:tr>
        <w:trPr>
          <w:trHeight w:val="216"/>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non-cash termination income adjustment from consolidated JVs</w:t>
            </w:r>
          </w:p>
        </w:tc>
        <w:tc>
          <w:tcPr>
            <w:tcW w:w="26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non-cash termination income adjustment from unconsolidated JVs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(3,772)</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5"/>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non-cash termination income adjustment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(4,376)</w:t>
            </w:r>
          </w:p>
        </w:tc>
        <w:tc>
          <w:tcPr>
            <w:tcW w:w="2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(2,306)</w:t>
            </w:r>
          </w:p>
        </w:tc>
      </w:tr>
      <w:tr>
        <w:trPr>
          <w:trHeight w:val="432"/>
        </w:trPr>
        <w:tc>
          <w:tcPr>
            <w:tcW w:w="7960" w:type="dxa"/>
            <w:vAlign w:val="bottom"/>
          </w:tcPr>
          <w:p>
            <w:pPr>
              <w:ind w:left="20"/>
              <w:spacing w:after="0"/>
              <w:rPr>
                <w:sz w:val="20"/>
                <w:szCs w:val="20"/>
                <w:color w:val="auto"/>
              </w:rPr>
            </w:pPr>
            <w:r>
              <w:rPr>
                <w:rFonts w:ascii="Arial" w:cs="Arial" w:eastAsia="Arial" w:hAnsi="Arial"/>
                <w:sz w:val="14"/>
                <w:szCs w:val="14"/>
                <w:color w:val="auto"/>
              </w:rPr>
              <w:t>Hedge amortization, net of costs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1,002</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1,590</w:t>
            </w:r>
          </w:p>
        </w:tc>
      </w:tr>
      <w:tr>
        <w:trPr>
          <w:trHeight w:val="216"/>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hedge amortization, net of costs from consolidated JVs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(144)</w:t>
            </w:r>
          </w:p>
        </w:tc>
      </w:tr>
      <w:tr>
        <w:trPr>
          <w:trHeight w:val="22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hedge amortization, net of costs from unconsolidated JVs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268</w:t>
            </w:r>
          </w:p>
        </w:tc>
      </w:tr>
      <w:tr>
        <w:trPr>
          <w:trHeight w:val="205"/>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hedge amortization, net of costs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877</w:t>
            </w:r>
          </w:p>
        </w:tc>
        <w:tc>
          <w:tcPr>
            <w:tcW w:w="2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1,714</w:t>
            </w:r>
          </w:p>
        </w:tc>
      </w:tr>
      <w:tr>
        <w:trPr>
          <w:trHeight w:val="419"/>
        </w:trPr>
        <w:tc>
          <w:tcPr>
            <w:tcW w:w="7960" w:type="dxa"/>
            <w:vAlign w:val="bottom"/>
          </w:tcPr>
          <w:p>
            <w:pPr>
              <w:ind w:left="20"/>
              <w:spacing w:after="0"/>
              <w:rPr>
                <w:sz w:val="20"/>
                <w:szCs w:val="20"/>
                <w:color w:val="auto"/>
              </w:rPr>
            </w:pPr>
            <w:r>
              <w:rPr>
                <w:rFonts w:ascii="Arial" w:cs="Arial" w:eastAsia="Arial" w:hAnsi="Arial"/>
                <w:sz w:val="14"/>
                <w:szCs w:val="14"/>
                <w:color w:val="auto"/>
              </w:rPr>
              <w:t>Straight-line ground rent expense adjustment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(5,511)</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(4,016)</w:t>
            </w:r>
          </w:p>
        </w:tc>
      </w:tr>
      <w:tr>
        <w:trPr>
          <w:trHeight w:val="216"/>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straight-line ground rent expense adjustment from consolidated JVs</w:t>
            </w:r>
          </w:p>
        </w:tc>
        <w:tc>
          <w:tcPr>
            <w:tcW w:w="26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straight-line ground rent expense adjustment from unconsolidated JVs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r>
      <w:tr>
        <w:trPr>
          <w:trHeight w:val="205"/>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straight-line ground rent expense adjustment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(5,391)</w:t>
            </w:r>
          </w:p>
        </w:tc>
        <w:tc>
          <w:tcPr>
            <w:tcW w:w="2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(3,895)</w:t>
            </w:r>
          </w:p>
        </w:tc>
      </w:tr>
      <w:tr>
        <w:trPr>
          <w:trHeight w:val="419"/>
        </w:trPr>
        <w:tc>
          <w:tcPr>
            <w:tcW w:w="79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228,679</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236,977</w:t>
            </w:r>
          </w:p>
        </w:tc>
      </w:tr>
      <w:tr>
        <w:trPr>
          <w:trHeight w:val="216"/>
        </w:trPr>
        <w:tc>
          <w:tcPr>
            <w:tcW w:w="7960" w:type="dxa"/>
            <w:vAlign w:val="bottom"/>
          </w:tcPr>
          <w:p>
            <w:pPr>
              <w:ind w:left="20"/>
              <w:spacing w:after="0"/>
              <w:rPr>
                <w:sz w:val="20"/>
                <w:szCs w:val="20"/>
                <w:color w:val="auto"/>
              </w:rPr>
            </w:pPr>
            <w:r>
              <w:rPr>
                <w:rFonts w:ascii="Arial" w:cs="Arial" w:eastAsia="Arial" w:hAnsi="Arial"/>
                <w:sz w:val="14"/>
                <w:szCs w:val="14"/>
                <w:color w:val="auto"/>
              </w:rPr>
              <w:t>Noncontrolling interests in property partnerships’ share of depreciation and amortization</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(23,901)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(23,336)</w:t>
            </w:r>
          </w:p>
        </w:tc>
      </w:tr>
      <w:tr>
        <w:trPr>
          <w:trHeight w:val="22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depreciation and amortization from unconsolidated JVs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12,047</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12,716</w:t>
            </w:r>
          </w:p>
        </w:tc>
      </w:tr>
      <w:tr>
        <w:trPr>
          <w:trHeight w:val="205"/>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depreciation and amortization</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216,825</w:t>
            </w:r>
          </w:p>
        </w:tc>
        <w:tc>
          <w:tcPr>
            <w:tcW w:w="2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226,357</w:t>
            </w:r>
          </w:p>
        </w:tc>
      </w:tr>
      <w:tr>
        <w:trPr>
          <w:trHeight w:val="442"/>
        </w:trPr>
        <w:tc>
          <w:tcPr>
            <w:tcW w:w="7960" w:type="dxa"/>
            <w:vAlign w:val="bottom"/>
          </w:tcPr>
          <w:p>
            <w:pPr>
              <w:ind w:left="20"/>
              <w:spacing w:after="0"/>
              <w:rPr>
                <w:sz w:val="20"/>
                <w:szCs w:val="20"/>
                <w:color w:val="auto"/>
              </w:rPr>
            </w:pPr>
            <w:r>
              <w:rPr>
                <w:rFonts w:ascii="Arial" w:cs="Arial" w:eastAsia="Arial" w:hAnsi="Arial"/>
                <w:sz w:val="14"/>
                <w:szCs w:val="14"/>
                <w:color w:val="auto"/>
              </w:rPr>
              <w:t xml:space="preserve">Lease transaction costs that qualify as rent inducements </w:t>
            </w:r>
            <w:r>
              <w:rPr>
                <w:rFonts w:ascii="Arial" w:cs="Arial" w:eastAsia="Arial" w:hAnsi="Arial"/>
                <w:sz w:val="18"/>
                <w:szCs w:val="18"/>
                <w:color w:val="auto"/>
                <w:vertAlign w:val="superscript"/>
              </w:rPr>
              <w:t>2</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3,838</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4,072</w:t>
            </w:r>
          </w:p>
        </w:tc>
      </w:tr>
      <w:tr>
        <w:trPr>
          <w:trHeight w:val="216"/>
        </w:trPr>
        <w:tc>
          <w:tcPr>
            <w:tcW w:w="7960" w:type="dxa"/>
            <w:vAlign w:val="bottom"/>
          </w:tcPr>
          <w:p>
            <w:pPr>
              <w:ind w:left="20"/>
              <w:spacing w:after="0"/>
              <w:rPr>
                <w:sz w:val="20"/>
                <w:szCs w:val="20"/>
                <w:color w:val="auto"/>
              </w:rPr>
            </w:pPr>
            <w:r>
              <w:rPr>
                <w:rFonts w:ascii="Arial" w:cs="Arial" w:eastAsia="Arial" w:hAnsi="Arial"/>
                <w:sz w:val="14"/>
                <w:szCs w:val="14"/>
                <w:color w:val="auto"/>
              </w:rPr>
              <w:t xml:space="preserve">Partners’ share of lease transaction costs that qualify as rent inducements from consolidated JVs </w:t>
            </w:r>
            <w:r>
              <w:rPr>
                <w:rFonts w:ascii="Arial" w:cs="Arial" w:eastAsia="Arial" w:hAnsi="Arial"/>
                <w:sz w:val="18"/>
                <w:szCs w:val="18"/>
                <w:color w:val="auto"/>
                <w:vertAlign w:val="superscript"/>
              </w:rPr>
              <w:t>2</w:t>
            </w:r>
          </w:p>
        </w:tc>
        <w:tc>
          <w:tcPr>
            <w:tcW w:w="26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1"/>
        </w:trPr>
        <w:tc>
          <w:tcPr>
            <w:tcW w:w="7960" w:type="dxa"/>
            <w:vAlign w:val="bottom"/>
            <w:tcBorders>
              <w:bottom w:val="single" w:sz="8" w:color="auto"/>
            </w:tcBorders>
          </w:tcPr>
          <w:p>
            <w:pPr>
              <w:ind w:left="20"/>
              <w:spacing w:after="0" w:line="201" w:lineRule="exact"/>
              <w:rPr>
                <w:sz w:val="20"/>
                <w:szCs w:val="20"/>
                <w:color w:val="auto"/>
              </w:rPr>
            </w:pPr>
            <w:r>
              <w:rPr>
                <w:rFonts w:ascii="Arial" w:cs="Arial" w:eastAsia="Arial" w:hAnsi="Arial"/>
                <w:sz w:val="14"/>
                <w:szCs w:val="14"/>
                <w:color w:val="auto"/>
              </w:rPr>
              <w:t xml:space="preserve">BXP’s share of lease transaction costs that qualify as rent inducements from unconsolidated JVs </w:t>
            </w:r>
            <w:r>
              <w:rPr>
                <w:rFonts w:ascii="Arial" w:cs="Arial" w:eastAsia="Arial" w:hAnsi="Arial"/>
                <w:sz w:val="18"/>
                <w:szCs w:val="18"/>
                <w:color w:val="auto"/>
                <w:vertAlign w:val="superscript"/>
              </w:rPr>
              <w:t>2</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59"/>
        </w:trPr>
        <w:tc>
          <w:tcPr>
            <w:tcW w:w="7960" w:type="dxa"/>
            <w:vAlign w:val="bottom"/>
          </w:tcPr>
          <w:p>
            <w:pPr>
              <w:ind w:left="220"/>
              <w:spacing w:after="0"/>
              <w:rPr>
                <w:sz w:val="20"/>
                <w:szCs w:val="20"/>
                <w:color w:val="auto"/>
              </w:rPr>
            </w:pPr>
            <w:r>
              <w:rPr>
                <w:rFonts w:ascii="Arial" w:cs="Arial" w:eastAsia="Arial" w:hAnsi="Arial"/>
                <w:sz w:val="14"/>
                <w:szCs w:val="14"/>
                <w:color w:val="auto"/>
              </w:rPr>
              <w:t xml:space="preserve">BXP’s Share of lease transaction costs that qualify as rent inducements </w:t>
            </w:r>
            <w:r>
              <w:rPr>
                <w:rFonts w:ascii="Arial" w:cs="Arial" w:eastAsia="Arial" w:hAnsi="Arial"/>
                <w:sz w:val="18"/>
                <w:szCs w:val="18"/>
                <w:color w:val="auto"/>
                <w:vertAlign w:val="superscript"/>
              </w:rPr>
              <w:t>2</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3,993</w:t>
            </w:r>
          </w:p>
        </w:tc>
        <w:tc>
          <w:tcPr>
            <w:tcW w:w="28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4,071</w:t>
            </w:r>
          </w:p>
        </w:tc>
      </w:tr>
      <w:tr>
        <w:trPr>
          <w:trHeight w:val="361"/>
        </w:trPr>
        <w:tc>
          <w:tcPr>
            <w:tcW w:w="7960" w:type="dxa"/>
            <w:vAlign w:val="bottom"/>
          </w:tcPr>
          <w:p>
            <w:pPr>
              <w:ind w:left="20"/>
              <w:spacing w:after="0"/>
              <w:rPr>
                <w:sz w:val="20"/>
                <w:szCs w:val="20"/>
                <w:color w:val="auto"/>
              </w:rPr>
            </w:pPr>
            <w:r>
              <w:rPr>
                <w:rFonts w:ascii="Arial" w:cs="Arial" w:eastAsia="Arial" w:hAnsi="Arial"/>
                <w:sz w:val="14"/>
                <w:szCs w:val="14"/>
                <w:color w:val="auto"/>
              </w:rPr>
              <w:t>2nd generation tenant improvements and leasing commissions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128,822</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159,624</w:t>
            </w:r>
          </w:p>
        </w:tc>
      </w:tr>
      <w:tr>
        <w:trPr>
          <w:trHeight w:val="216"/>
        </w:trPr>
        <w:tc>
          <w:tcPr>
            <w:tcW w:w="7960" w:type="dxa"/>
            <w:vAlign w:val="bottom"/>
          </w:tcPr>
          <w:p>
            <w:pPr>
              <w:ind w:left="20"/>
              <w:spacing w:after="0"/>
              <w:rPr>
                <w:sz w:val="20"/>
                <w:szCs w:val="20"/>
                <w:color w:val="auto"/>
              </w:rPr>
            </w:pPr>
            <w:r>
              <w:rPr>
                <w:rFonts w:ascii="Arial" w:cs="Arial" w:eastAsia="Arial" w:hAnsi="Arial"/>
                <w:sz w:val="14"/>
                <w:szCs w:val="14"/>
                <w:color w:val="auto"/>
              </w:rPr>
              <w:t>Partners’ share of 2nd generation tenant improvements and leasing commissions from consolidated JVs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(13,013)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(7,008)</w:t>
            </w:r>
          </w:p>
        </w:tc>
      </w:tr>
      <w:tr>
        <w:trPr>
          <w:trHeight w:val="220"/>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2nd generation tenant improvements and leasing commissions from unconsolidated JVs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2,181</w:t>
            </w:r>
          </w:p>
        </w:tc>
        <w:tc>
          <w:tcPr>
            <w:tcW w:w="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w:t>
            </w:r>
          </w:p>
        </w:tc>
      </w:tr>
      <w:tr>
        <w:trPr>
          <w:trHeight w:val="205"/>
        </w:trPr>
        <w:tc>
          <w:tcPr>
            <w:tcW w:w="7960" w:type="dxa"/>
            <w:vAlign w:val="bottom"/>
          </w:tcPr>
          <w:p>
            <w:pPr>
              <w:ind w:left="220"/>
              <w:spacing w:after="0"/>
              <w:rPr>
                <w:sz w:val="20"/>
                <w:szCs w:val="20"/>
                <w:color w:val="auto"/>
              </w:rPr>
            </w:pPr>
            <w:r>
              <w:rPr>
                <w:rFonts w:ascii="Arial" w:cs="Arial" w:eastAsia="Arial" w:hAnsi="Arial"/>
                <w:sz w:val="14"/>
                <w:szCs w:val="14"/>
                <w:color w:val="auto"/>
              </w:rPr>
              <w:t>BXP’s Share of 2nd generation tenant improvements and leasing commissions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117,990</w:t>
            </w:r>
          </w:p>
        </w:tc>
        <w:tc>
          <w:tcPr>
            <w:tcW w:w="28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153,008</w:t>
            </w:r>
          </w:p>
        </w:tc>
      </w:tr>
      <w:tr>
        <w:trPr>
          <w:trHeight w:val="455"/>
        </w:trPr>
        <w:tc>
          <w:tcPr>
            <w:tcW w:w="7960" w:type="dxa"/>
            <w:vAlign w:val="bottom"/>
          </w:tcPr>
          <w:p>
            <w:pPr>
              <w:ind w:left="20"/>
              <w:spacing w:after="0"/>
              <w:rPr>
                <w:sz w:val="20"/>
                <w:szCs w:val="20"/>
                <w:color w:val="auto"/>
              </w:rPr>
            </w:pPr>
            <w:r>
              <w:rPr>
                <w:rFonts w:ascii="Arial" w:cs="Arial" w:eastAsia="Arial" w:hAnsi="Arial"/>
                <w:sz w:val="14"/>
                <w:szCs w:val="14"/>
                <w:color w:val="auto"/>
              </w:rPr>
              <w:t xml:space="preserve">Maintenance capital expenditures </w:t>
            </w:r>
            <w:r>
              <w:rPr>
                <w:rFonts w:ascii="Arial" w:cs="Arial" w:eastAsia="Arial" w:hAnsi="Arial"/>
                <w:sz w:val="18"/>
                <w:szCs w:val="18"/>
                <w:color w:val="auto"/>
                <w:vertAlign w:val="superscript"/>
              </w:rPr>
              <w:t>3</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14,752</w:t>
            </w:r>
          </w:p>
        </w:tc>
        <w:tc>
          <w:tcPr>
            <w:tcW w:w="28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15,936</w:t>
            </w:r>
          </w:p>
        </w:tc>
      </w:tr>
      <w:tr>
        <w:trPr>
          <w:trHeight w:val="216"/>
        </w:trPr>
        <w:tc>
          <w:tcPr>
            <w:tcW w:w="7960" w:type="dxa"/>
            <w:vAlign w:val="bottom"/>
          </w:tcPr>
          <w:p>
            <w:pPr>
              <w:ind w:left="20"/>
              <w:spacing w:after="0"/>
              <w:rPr>
                <w:sz w:val="20"/>
                <w:szCs w:val="20"/>
                <w:color w:val="auto"/>
              </w:rPr>
            </w:pPr>
            <w:r>
              <w:rPr>
                <w:rFonts w:ascii="Arial" w:cs="Arial" w:eastAsia="Arial" w:hAnsi="Arial"/>
                <w:sz w:val="14"/>
                <w:szCs w:val="14"/>
                <w:color w:val="auto"/>
              </w:rPr>
              <w:t xml:space="preserve">Partners’ share of maintenance capital expenditures from consolidated JVs </w:t>
            </w:r>
            <w:r>
              <w:rPr>
                <w:rFonts w:ascii="Arial" w:cs="Arial" w:eastAsia="Arial" w:hAnsi="Arial"/>
                <w:sz w:val="18"/>
                <w:szCs w:val="18"/>
                <w:color w:val="auto"/>
                <w:vertAlign w:val="superscript"/>
              </w:rPr>
              <w:t>3</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(1,052)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(1,891)</w:t>
            </w:r>
          </w:p>
        </w:tc>
      </w:tr>
      <w:tr>
        <w:trPr>
          <w:trHeight w:val="201"/>
        </w:trPr>
        <w:tc>
          <w:tcPr>
            <w:tcW w:w="7960" w:type="dxa"/>
            <w:vAlign w:val="bottom"/>
            <w:tcBorders>
              <w:bottom w:val="single" w:sz="8" w:color="auto"/>
            </w:tcBorders>
          </w:tcPr>
          <w:p>
            <w:pPr>
              <w:ind w:left="20"/>
              <w:spacing w:after="0" w:line="201" w:lineRule="exact"/>
              <w:rPr>
                <w:sz w:val="20"/>
                <w:szCs w:val="20"/>
                <w:color w:val="auto"/>
              </w:rPr>
            </w:pPr>
            <w:r>
              <w:rPr>
                <w:rFonts w:ascii="Arial" w:cs="Arial" w:eastAsia="Arial" w:hAnsi="Arial"/>
                <w:sz w:val="14"/>
                <w:szCs w:val="14"/>
                <w:color w:val="auto"/>
              </w:rPr>
              <w:t xml:space="preserve">BXP’s share of maintenance capital expenditures from unconsolidated JVs </w:t>
            </w:r>
            <w:r>
              <w:rPr>
                <w:rFonts w:ascii="Arial" w:cs="Arial" w:eastAsia="Arial" w:hAnsi="Arial"/>
                <w:sz w:val="18"/>
                <w:szCs w:val="18"/>
                <w:color w:val="auto"/>
                <w:vertAlign w:val="superscript"/>
              </w:rPr>
              <w:t>3</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w:t>
            </w:r>
          </w:p>
        </w:tc>
        <w:tc>
          <w:tcPr>
            <w:tcW w:w="2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w:t>
            </w:r>
          </w:p>
        </w:tc>
      </w:tr>
      <w:tr>
        <w:trPr>
          <w:trHeight w:val="259"/>
        </w:trPr>
        <w:tc>
          <w:tcPr>
            <w:tcW w:w="7960" w:type="dxa"/>
            <w:vAlign w:val="bottom"/>
          </w:tcPr>
          <w:p>
            <w:pPr>
              <w:ind w:left="220"/>
              <w:spacing w:after="0"/>
              <w:rPr>
                <w:sz w:val="20"/>
                <w:szCs w:val="20"/>
                <w:color w:val="auto"/>
              </w:rPr>
            </w:pPr>
            <w:r>
              <w:rPr>
                <w:rFonts w:ascii="Arial" w:cs="Arial" w:eastAsia="Arial" w:hAnsi="Arial"/>
                <w:sz w:val="14"/>
                <w:szCs w:val="14"/>
                <w:color w:val="auto"/>
              </w:rPr>
              <w:t xml:space="preserve">BXP’s Share of maintenance capital expenditures </w:t>
            </w:r>
            <w:r>
              <w:rPr>
                <w:rFonts w:ascii="Arial" w:cs="Arial" w:eastAsia="Arial" w:hAnsi="Arial"/>
                <w:sz w:val="18"/>
                <w:szCs w:val="18"/>
                <w:color w:val="auto"/>
                <w:vertAlign w:val="superscript"/>
              </w:rPr>
              <w:t>3</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14,153</w:t>
            </w:r>
          </w:p>
        </w:tc>
        <w:tc>
          <w:tcPr>
            <w:tcW w:w="28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14,617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-8663305</wp:posOffset>
            </wp:positionV>
            <wp:extent cx="257175"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p>
      <w:pPr>
        <w:spacing w:after="0" w:line="185"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60</w:t>
      </w:r>
    </w:p>
    <w:p>
      <w:pPr>
        <w:sectPr>
          <w:pgSz w:w="11900" w:h="16838" w:orient="portrait"/>
          <w:cols w:equalWidth="0" w:num="1">
            <w:col w:w="11240"/>
          </w:cols>
          <w:pgMar w:left="320" w:top="279" w:right="339" w:bottom="1440" w:gutter="0" w:footer="0" w:header="0"/>
          <w:type w:val="continuous"/>
        </w:sectPr>
      </w:pPr>
    </w:p>
    <w:bookmarkStart w:id="68" w:name="page69"/>
    <w:bookmarkEnd w:id="68"/>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159,127</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153,425</w:t>
            </w:r>
          </w:p>
        </w:tc>
      </w:tr>
      <w:tr>
        <w:trPr>
          <w:trHeight w:val="216"/>
        </w:trPr>
        <w:tc>
          <w:tcPr>
            <w:tcW w:w="7020" w:type="dxa"/>
            <w:vAlign w:val="bottom"/>
          </w:tcPr>
          <w:p>
            <w:pPr>
              <w:ind w:left="20"/>
              <w:spacing w:after="0"/>
              <w:rPr>
                <w:sz w:val="20"/>
                <w:szCs w:val="20"/>
                <w:color w:val="auto"/>
              </w:rPr>
            </w:pPr>
            <w:r>
              <w:rPr>
                <w:rFonts w:ascii="Arial" w:cs="Arial" w:eastAsia="Arial" w:hAnsi="Arial"/>
                <w:sz w:val="14"/>
                <w:szCs w:val="14"/>
                <w:color w:val="auto"/>
              </w:rPr>
              <w:t>Partners’ share of interest expense from consolidated JVs</w:t>
            </w:r>
          </w:p>
        </w:tc>
        <w:tc>
          <w:tcPr>
            <w:tcW w:w="14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(12,027)</w:t>
            </w: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(11,902)</w:t>
            </w:r>
          </w:p>
        </w:tc>
      </w:tr>
      <w:tr>
        <w:trPr>
          <w:trHeight w:val="22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interest expense from unconsolidated JVs</w:t>
            </w:r>
          </w:p>
        </w:tc>
        <w:tc>
          <w:tcPr>
            <w:tcW w:w="1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14,804</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15,004</w:t>
            </w:r>
          </w:p>
        </w:tc>
      </w:tr>
      <w:tr>
        <w:trPr>
          <w:trHeight w:val="205"/>
        </w:trPr>
        <w:tc>
          <w:tcPr>
            <w:tcW w:w="7020" w:type="dxa"/>
            <w:vAlign w:val="bottom"/>
          </w:tcPr>
          <w:p>
            <w:pPr>
              <w:ind w:left="220"/>
              <w:spacing w:after="0"/>
              <w:rPr>
                <w:sz w:val="20"/>
                <w:szCs w:val="20"/>
                <w:color w:val="auto"/>
              </w:rPr>
            </w:pPr>
            <w:r>
              <w:rPr>
                <w:rFonts w:ascii="Arial" w:cs="Arial" w:eastAsia="Arial" w:hAnsi="Arial"/>
                <w:sz w:val="14"/>
                <w:szCs w:val="14"/>
                <w:color w:val="auto"/>
              </w:rPr>
              <w:t>BXP’s Share of interest expense</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161,904</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156,527</w:t>
            </w:r>
          </w:p>
        </w:tc>
      </w:tr>
      <w:tr>
        <w:trPr>
          <w:trHeight w:val="419"/>
        </w:trPr>
        <w:tc>
          <w:tcPr>
            <w:tcW w:w="7020" w:type="dxa"/>
            <w:vAlign w:val="bottom"/>
          </w:tcPr>
          <w:p>
            <w:pPr>
              <w:ind w:left="20"/>
              <w:spacing w:after="0"/>
              <w:rPr>
                <w:sz w:val="20"/>
                <w:szCs w:val="20"/>
                <w:color w:val="auto"/>
              </w:rPr>
            </w:pPr>
            <w:r>
              <w:rPr>
                <w:rFonts w:ascii="Arial" w:cs="Arial" w:eastAsia="Arial" w:hAnsi="Arial"/>
                <w:sz w:val="14"/>
                <w:szCs w:val="14"/>
                <w:color w:val="auto"/>
              </w:rPr>
              <w:t>Capitalized interest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14,398</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12,868</w:t>
            </w:r>
          </w:p>
        </w:tc>
      </w:tr>
      <w:tr>
        <w:trPr>
          <w:trHeight w:val="216"/>
        </w:trPr>
        <w:tc>
          <w:tcPr>
            <w:tcW w:w="7020" w:type="dxa"/>
            <w:vAlign w:val="bottom"/>
          </w:tcPr>
          <w:p>
            <w:pPr>
              <w:ind w:left="20"/>
              <w:spacing w:after="0"/>
              <w:rPr>
                <w:sz w:val="20"/>
                <w:szCs w:val="20"/>
                <w:color w:val="auto"/>
              </w:rPr>
            </w:pPr>
            <w:r>
              <w:rPr>
                <w:rFonts w:ascii="Arial" w:cs="Arial" w:eastAsia="Arial" w:hAnsi="Arial"/>
                <w:sz w:val="14"/>
                <w:szCs w:val="14"/>
                <w:color w:val="auto"/>
              </w:rPr>
              <w:t>Partners’ share of capitalized interest from consolidated JVs</w:t>
            </w:r>
          </w:p>
        </w:tc>
        <w:tc>
          <w:tcPr>
            <w:tcW w:w="14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(330)</w:t>
            </w: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2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capitalized interest from unconsolidated JVs</w:t>
            </w:r>
          </w:p>
        </w:tc>
        <w:tc>
          <w:tcPr>
            <w:tcW w:w="1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101</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05"/>
        </w:trPr>
        <w:tc>
          <w:tcPr>
            <w:tcW w:w="7020" w:type="dxa"/>
            <w:vAlign w:val="bottom"/>
          </w:tcPr>
          <w:p>
            <w:pPr>
              <w:ind w:left="220"/>
              <w:spacing w:after="0"/>
              <w:rPr>
                <w:sz w:val="20"/>
                <w:szCs w:val="20"/>
                <w:color w:val="auto"/>
              </w:rPr>
            </w:pPr>
            <w:r>
              <w:rPr>
                <w:rFonts w:ascii="Arial" w:cs="Arial" w:eastAsia="Arial" w:hAnsi="Arial"/>
                <w:sz w:val="14"/>
                <w:szCs w:val="14"/>
                <w:color w:val="auto"/>
              </w:rPr>
              <w:t>BXP’s Share of capitalized interest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14,169</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12,860</w:t>
            </w:r>
          </w:p>
        </w:tc>
      </w:tr>
      <w:tr>
        <w:trPr>
          <w:trHeight w:val="418"/>
        </w:trPr>
        <w:tc>
          <w:tcPr>
            <w:tcW w:w="7020" w:type="dxa"/>
            <w:vAlign w:val="bottom"/>
          </w:tcPr>
          <w:p>
            <w:pPr>
              <w:ind w:left="20"/>
              <w:spacing w:after="0"/>
              <w:rPr>
                <w:sz w:val="20"/>
                <w:szCs w:val="20"/>
                <w:color w:val="auto"/>
              </w:rPr>
            </w:pPr>
            <w:r>
              <w:rPr>
                <w:rFonts w:ascii="Arial" w:cs="Arial" w:eastAsia="Arial" w:hAnsi="Arial"/>
                <w:sz w:val="14"/>
                <w:szCs w:val="14"/>
                <w:color w:val="auto"/>
              </w:rPr>
              <w:t>Amortization of financing costs</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8,248</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5,776</w:t>
            </w:r>
          </w:p>
        </w:tc>
      </w:tr>
      <w:tr>
        <w:trPr>
          <w:trHeight w:val="216"/>
        </w:trPr>
        <w:tc>
          <w:tcPr>
            <w:tcW w:w="7020" w:type="dxa"/>
            <w:vAlign w:val="bottom"/>
          </w:tcPr>
          <w:p>
            <w:pPr>
              <w:ind w:left="20"/>
              <w:spacing w:after="0"/>
              <w:rPr>
                <w:sz w:val="20"/>
                <w:szCs w:val="20"/>
                <w:color w:val="auto"/>
              </w:rPr>
            </w:pPr>
            <w:r>
              <w:rPr>
                <w:rFonts w:ascii="Arial" w:cs="Arial" w:eastAsia="Arial" w:hAnsi="Arial"/>
                <w:sz w:val="14"/>
                <w:szCs w:val="14"/>
                <w:color w:val="auto"/>
              </w:rPr>
              <w:t>Partners’ share of amortization of financing costs from consolidated JVs</w:t>
            </w:r>
          </w:p>
        </w:tc>
        <w:tc>
          <w:tcPr>
            <w:tcW w:w="1440" w:type="dxa"/>
            <w:vAlign w:val="bottom"/>
          </w:tcPr>
          <w:p>
            <w:pPr>
              <w:spacing w:after="0"/>
              <w:rPr>
                <w:sz w:val="18"/>
                <w:szCs w:val="18"/>
                <w:color w:val="auto"/>
              </w:rPr>
            </w:pPr>
          </w:p>
        </w:tc>
        <w:tc>
          <w:tcPr>
            <w:tcW w:w="1140" w:type="dxa"/>
            <w:vAlign w:val="bottom"/>
          </w:tcPr>
          <w:p>
            <w:pPr>
              <w:jc w:val="right"/>
              <w:ind w:right="88"/>
              <w:spacing w:after="0"/>
              <w:rPr>
                <w:sz w:val="20"/>
                <w:szCs w:val="20"/>
                <w:color w:val="auto"/>
              </w:rPr>
            </w:pPr>
            <w:r>
              <w:rPr>
                <w:rFonts w:ascii="Arial" w:cs="Arial" w:eastAsia="Arial" w:hAnsi="Arial"/>
                <w:sz w:val="14"/>
                <w:szCs w:val="14"/>
                <w:color w:val="auto"/>
              </w:rPr>
              <w:t>(753)</w:t>
            </w: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(498)</w:t>
            </w:r>
          </w:p>
        </w:tc>
      </w:tr>
      <w:tr>
        <w:trPr>
          <w:trHeight w:val="22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amortization of financing costs from unconsolidated JVs</w:t>
            </w:r>
          </w:p>
        </w:tc>
        <w:tc>
          <w:tcPr>
            <w:tcW w:w="1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442</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446</w:t>
            </w:r>
          </w:p>
        </w:tc>
      </w:tr>
      <w:tr>
        <w:trPr>
          <w:trHeight w:val="205"/>
        </w:trPr>
        <w:tc>
          <w:tcPr>
            <w:tcW w:w="7020" w:type="dxa"/>
            <w:vAlign w:val="bottom"/>
          </w:tcPr>
          <w:p>
            <w:pPr>
              <w:ind w:left="220"/>
              <w:spacing w:after="0"/>
              <w:rPr>
                <w:sz w:val="20"/>
                <w:szCs w:val="20"/>
                <w:color w:val="auto"/>
              </w:rPr>
            </w:pPr>
            <w:r>
              <w:rPr>
                <w:rFonts w:ascii="Arial" w:cs="Arial" w:eastAsia="Arial" w:hAnsi="Arial"/>
                <w:sz w:val="14"/>
                <w:szCs w:val="14"/>
                <w:color w:val="auto"/>
              </w:rPr>
              <w:t>BXP’s Share of amortization of financing costs</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7,937</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5,724</w:t>
            </w:r>
          </w:p>
        </w:tc>
      </w:tr>
      <w:tr>
        <w:trPr>
          <w:trHeight w:val="418"/>
        </w:trPr>
        <w:tc>
          <w:tcPr>
            <w:tcW w:w="7020" w:type="dxa"/>
            <w:vAlign w:val="bottom"/>
          </w:tcPr>
          <w:p>
            <w:pPr>
              <w:ind w:left="20"/>
              <w:spacing w:after="0"/>
              <w:rPr>
                <w:sz w:val="20"/>
                <w:szCs w:val="20"/>
                <w:color w:val="auto"/>
              </w:rPr>
            </w:pPr>
            <w:r>
              <w:rPr>
                <w:rFonts w:ascii="Arial" w:cs="Arial" w:eastAsia="Arial" w:hAnsi="Arial"/>
                <w:sz w:val="14"/>
                <w:szCs w:val="14"/>
                <w:color w:val="auto"/>
              </w:rPr>
              <w:t>Fair value interest adjustment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7020" w:type="dxa"/>
            <w:vAlign w:val="bottom"/>
          </w:tcPr>
          <w:p>
            <w:pPr>
              <w:ind w:left="20"/>
              <w:spacing w:after="0"/>
              <w:rPr>
                <w:sz w:val="20"/>
                <w:szCs w:val="20"/>
                <w:color w:val="auto"/>
              </w:rPr>
            </w:pPr>
            <w:r>
              <w:rPr>
                <w:rFonts w:ascii="Arial" w:cs="Arial" w:eastAsia="Arial" w:hAnsi="Arial"/>
                <w:sz w:val="14"/>
                <w:szCs w:val="14"/>
                <w:color w:val="auto"/>
              </w:rPr>
              <w:t>Partners’ share of fair value of interest adjustment from consolidated JVs</w:t>
            </w:r>
          </w:p>
        </w:tc>
        <w:tc>
          <w:tcPr>
            <w:tcW w:w="1440" w:type="dxa"/>
            <w:vAlign w:val="bottom"/>
          </w:tcPr>
          <w:p>
            <w:pPr>
              <w:spacing w:after="0"/>
              <w:rPr>
                <w:sz w:val="18"/>
                <w:szCs w:val="18"/>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fair value interest adjustment from unconsolidated JVs</w:t>
            </w:r>
          </w:p>
        </w:tc>
        <w:tc>
          <w:tcPr>
            <w:tcW w:w="1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260</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260</w:t>
            </w:r>
          </w:p>
        </w:tc>
      </w:tr>
      <w:tr>
        <w:trPr>
          <w:trHeight w:val="206"/>
        </w:trPr>
        <w:tc>
          <w:tcPr>
            <w:tcW w:w="7020" w:type="dxa"/>
            <w:vAlign w:val="bottom"/>
          </w:tcPr>
          <w:p>
            <w:pPr>
              <w:ind w:left="220"/>
              <w:spacing w:after="0"/>
              <w:rPr>
                <w:sz w:val="20"/>
                <w:szCs w:val="20"/>
                <w:color w:val="auto"/>
              </w:rPr>
            </w:pPr>
            <w:r>
              <w:rPr>
                <w:rFonts w:ascii="Arial" w:cs="Arial" w:eastAsia="Arial" w:hAnsi="Arial"/>
                <w:sz w:val="14"/>
                <w:szCs w:val="14"/>
                <w:color w:val="auto"/>
              </w:rPr>
              <w:t>BXP’s Share of fair value interest adjustment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260</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260</w:t>
            </w:r>
          </w:p>
        </w:tc>
      </w:tr>
      <w:tr>
        <w:trPr>
          <w:trHeight w:val="418"/>
        </w:trPr>
        <w:tc>
          <w:tcPr>
            <w:tcW w:w="7020" w:type="dxa"/>
            <w:vAlign w:val="bottom"/>
          </w:tcPr>
          <w:p>
            <w:pPr>
              <w:ind w:left="20"/>
              <w:spacing w:after="0"/>
              <w:rPr>
                <w:sz w:val="20"/>
                <w:szCs w:val="20"/>
                <w:color w:val="auto"/>
              </w:rPr>
            </w:pPr>
            <w:r>
              <w:rPr>
                <w:rFonts w:ascii="Arial" w:cs="Arial" w:eastAsia="Arial" w:hAnsi="Arial"/>
                <w:sz w:val="14"/>
                <w:szCs w:val="14"/>
                <w:color w:val="auto"/>
              </w:rPr>
              <w:t>Amortization and accretion related to sales type lease</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157</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249</w:t>
            </w:r>
          </w:p>
        </w:tc>
      </w:tr>
      <w:tr>
        <w:trPr>
          <w:trHeight w:val="216"/>
        </w:trPr>
        <w:tc>
          <w:tcPr>
            <w:tcW w:w="7020" w:type="dxa"/>
            <w:vAlign w:val="bottom"/>
          </w:tcPr>
          <w:p>
            <w:pPr>
              <w:ind w:left="20"/>
              <w:spacing w:after="0"/>
              <w:rPr>
                <w:sz w:val="20"/>
                <w:szCs w:val="20"/>
                <w:color w:val="auto"/>
              </w:rPr>
            </w:pPr>
            <w:r>
              <w:rPr>
                <w:rFonts w:ascii="Arial" w:cs="Arial" w:eastAsia="Arial" w:hAnsi="Arial"/>
                <w:sz w:val="14"/>
                <w:szCs w:val="14"/>
                <w:color w:val="auto"/>
              </w:rPr>
              <w:t>Partners’ share of amortization and accretion related to sales type lease from consolidated JVs</w:t>
            </w:r>
          </w:p>
        </w:tc>
        <w:tc>
          <w:tcPr>
            <w:tcW w:w="1440" w:type="dxa"/>
            <w:vAlign w:val="bottom"/>
          </w:tcPr>
          <w:p>
            <w:pPr>
              <w:spacing w:after="0"/>
              <w:rPr>
                <w:sz w:val="18"/>
                <w:szCs w:val="18"/>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amortization and accretion related to sales type lease from unconsolidated JVs</w:t>
            </w:r>
          </w:p>
        </w:tc>
        <w:tc>
          <w:tcPr>
            <w:tcW w:w="1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r>
      <w:tr>
        <w:trPr>
          <w:trHeight w:val="206"/>
        </w:trPr>
        <w:tc>
          <w:tcPr>
            <w:tcW w:w="7020" w:type="dxa"/>
            <w:vAlign w:val="bottom"/>
          </w:tcPr>
          <w:p>
            <w:pPr>
              <w:ind w:left="220"/>
              <w:spacing w:after="0"/>
              <w:rPr>
                <w:sz w:val="20"/>
                <w:szCs w:val="20"/>
                <w:color w:val="auto"/>
              </w:rPr>
            </w:pPr>
            <w:r>
              <w:rPr>
                <w:rFonts w:ascii="Arial" w:cs="Arial" w:eastAsia="Arial" w:hAnsi="Arial"/>
                <w:sz w:val="14"/>
                <w:szCs w:val="14"/>
                <w:color w:val="auto"/>
              </w:rPr>
              <w:t>BXP’s Share of amortization and accretion related to sales type lease</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186</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278</w:t>
            </w:r>
          </w:p>
        </w:tc>
      </w:tr>
      <w:tr>
        <w:trPr>
          <w:trHeight w:val="418"/>
        </w:trPr>
        <w:tc>
          <w:tcPr>
            <w:tcW w:w="7020" w:type="dxa"/>
            <w:vAlign w:val="bottom"/>
          </w:tcPr>
          <w:p>
            <w:pPr>
              <w:ind w:left="20"/>
              <w:spacing w:after="0"/>
              <w:rPr>
                <w:sz w:val="20"/>
                <w:szCs w:val="20"/>
                <w:color w:val="auto"/>
              </w:rPr>
            </w:pPr>
            <w:r>
              <w:rPr>
                <w:rFonts w:ascii="Arial" w:cs="Arial" w:eastAsia="Arial" w:hAnsi="Arial"/>
                <w:sz w:val="14"/>
                <w:szCs w:val="14"/>
                <w:color w:val="auto"/>
              </w:rPr>
              <w:t>Non-cash loss from early extinguishment of debt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7020" w:type="dxa"/>
            <w:vAlign w:val="bottom"/>
          </w:tcPr>
          <w:p>
            <w:pPr>
              <w:ind w:left="20"/>
              <w:spacing w:after="0"/>
              <w:rPr>
                <w:sz w:val="20"/>
                <w:szCs w:val="20"/>
                <w:color w:val="auto"/>
              </w:rPr>
            </w:pPr>
            <w:r>
              <w:rPr>
                <w:rFonts w:ascii="Arial" w:cs="Arial" w:eastAsia="Arial" w:hAnsi="Arial"/>
                <w:sz w:val="14"/>
                <w:szCs w:val="14"/>
                <w:color w:val="auto"/>
              </w:rPr>
              <w:t>Partners’ share of non-cash loss from early extinguishment of debt from consolidated JVs</w:t>
            </w:r>
          </w:p>
        </w:tc>
        <w:tc>
          <w:tcPr>
            <w:tcW w:w="1440" w:type="dxa"/>
            <w:vAlign w:val="bottom"/>
          </w:tcPr>
          <w:p>
            <w:pPr>
              <w:spacing w:after="0"/>
              <w:rPr>
                <w:sz w:val="18"/>
                <w:szCs w:val="18"/>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BXP’s share of non-cash loss from early extinguishment of debt from unconsolidated JVs</w:t>
            </w:r>
          </w:p>
        </w:tc>
        <w:tc>
          <w:tcPr>
            <w:tcW w:w="14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5"/>
        </w:trPr>
        <w:tc>
          <w:tcPr>
            <w:tcW w:w="7020" w:type="dxa"/>
            <w:vAlign w:val="bottom"/>
          </w:tcPr>
          <w:p>
            <w:pPr>
              <w:ind w:left="220"/>
              <w:spacing w:after="0"/>
              <w:rPr>
                <w:sz w:val="20"/>
                <w:szCs w:val="20"/>
                <w:color w:val="auto"/>
              </w:rPr>
            </w:pPr>
            <w:r>
              <w:rPr>
                <w:rFonts w:ascii="Arial" w:cs="Arial" w:eastAsia="Arial" w:hAnsi="Arial"/>
                <w:sz w:val="14"/>
                <w:szCs w:val="14"/>
                <w:color w:val="auto"/>
              </w:rPr>
              <w:t>BXP’s Share of non-cash loss from early extinguishment of debt</w:t>
            </w: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_______</w:t>
      </w:r>
    </w:p>
    <w:p>
      <w:pPr>
        <w:spacing w:after="0" w:line="34" w:lineRule="exact"/>
        <w:rPr>
          <w:sz w:val="20"/>
          <w:szCs w:val="20"/>
          <w:color w:val="auto"/>
        </w:rPr>
      </w:pPr>
    </w:p>
    <w:p>
      <w:pPr>
        <w:ind w:left="80" w:hanging="72"/>
        <w:spacing w:after="0"/>
        <w:tabs>
          <w:tab w:leader="none" w:pos="80" w:val="left"/>
        </w:tabs>
        <w:numPr>
          <w:ilvl w:val="0"/>
          <w:numId w:val="123"/>
        </w:numPr>
        <w:rPr>
          <w:rFonts w:ascii="Arial" w:cs="Arial" w:eastAsia="Arial" w:hAnsi="Arial"/>
          <w:sz w:val="9"/>
          <w:szCs w:val="9"/>
          <w:color w:val="auto"/>
        </w:rPr>
      </w:pPr>
      <w:r>
        <w:rPr>
          <w:rFonts w:ascii="Arial" w:cs="Arial" w:eastAsia="Arial" w:hAnsi="Arial"/>
          <w:sz w:val="14"/>
          <w:szCs w:val="14"/>
          <w:color w:val="auto"/>
        </w:rPr>
        <w:t>Represents the net adjustment for above- and below-market leases that are being amortized over the terms of the respective leases in place at the property acquisition dates.</w:t>
      </w:r>
    </w:p>
    <w:p>
      <w:pPr>
        <w:spacing w:after="0" w:line="55" w:lineRule="exact"/>
        <w:rPr>
          <w:sz w:val="20"/>
          <w:szCs w:val="20"/>
          <w:color w:val="auto"/>
        </w:rPr>
      </w:pPr>
    </w:p>
    <w:p>
      <w:pPr>
        <w:ind w:left="80" w:right="580" w:hanging="72"/>
        <w:spacing w:after="0" w:line="238" w:lineRule="auto"/>
        <w:tabs>
          <w:tab w:leader="none" w:pos="78" w:val="left"/>
        </w:tabs>
        <w:numPr>
          <w:ilvl w:val="0"/>
          <w:numId w:val="124"/>
        </w:numPr>
        <w:rPr>
          <w:rFonts w:ascii="Arial" w:cs="Arial" w:eastAsia="Arial" w:hAnsi="Arial"/>
          <w:sz w:val="18"/>
          <w:szCs w:val="18"/>
          <w:color w:val="auto"/>
          <w:vertAlign w:val="superscript"/>
        </w:rPr>
      </w:pPr>
      <w:r>
        <w:rPr>
          <w:rFonts w:ascii="Arial" w:cs="Arial" w:eastAsia="Arial" w:hAnsi="Arial"/>
          <w:sz w:val="14"/>
          <w:szCs w:val="14"/>
          <w:color w:val="auto"/>
        </w:rPr>
        <w:t>Consists of lease transaction costs that qualify as rent inducements in accordance with GAAP. Lease transaction costs are generally included in 2nd generation tenant improvements and leasing commissions in the period the lease commences.</w:t>
      </w:r>
    </w:p>
    <w:p>
      <w:pPr>
        <w:ind w:left="80" w:hanging="72"/>
        <w:spacing w:after="0" w:line="223" w:lineRule="auto"/>
        <w:tabs>
          <w:tab w:leader="none" w:pos="80" w:val="left"/>
        </w:tabs>
        <w:numPr>
          <w:ilvl w:val="0"/>
          <w:numId w:val="125"/>
        </w:numPr>
        <w:rPr>
          <w:rFonts w:ascii="Arial" w:cs="Arial" w:eastAsia="Arial" w:hAnsi="Arial"/>
          <w:sz w:val="19"/>
          <w:szCs w:val="19"/>
          <w:color w:val="auto"/>
          <w:vertAlign w:val="superscript"/>
        </w:rPr>
      </w:pPr>
      <w:r>
        <w:rPr>
          <w:rFonts w:ascii="Arial" w:cs="Arial" w:eastAsia="Arial" w:hAnsi="Arial"/>
          <w:sz w:val="14"/>
          <w:szCs w:val="14"/>
          <w:color w:val="auto"/>
        </w:rPr>
        <w:t>Maintenance capital expenditures do not include planned capital expenditures related to acquisitions and repositioning capital expenditures.</w:t>
      </w:r>
    </w:p>
    <w:p>
      <w:pPr>
        <w:spacing w:after="0" w:line="37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61</w:t>
      </w:r>
    </w:p>
    <w:p>
      <w:pPr>
        <w:sectPr>
          <w:pgSz w:w="11900" w:h="16838" w:orient="portrait"/>
          <w:cols w:equalWidth="0" w:num="1">
            <w:col w:w="11240"/>
          </w:cols>
          <w:pgMar w:left="320" w:top="279" w:right="339" w:bottom="1440" w:gutter="0" w:footer="0" w:header="0"/>
        </w:sectPr>
      </w:pPr>
    </w:p>
    <w:bookmarkStart w:id="69" w:name="page70"/>
    <w:bookmarkEnd w:id="69"/>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in thousands)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CONSOLIDATED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343 Madison</w:t>
            </w:r>
          </w:p>
        </w:tc>
        <w:tc>
          <w:tcPr>
            <w:tcW w:w="100" w:type="dxa"/>
            <w:vAlign w:val="bottom"/>
          </w:tcPr>
          <w:p>
            <w:pPr>
              <w:spacing w:after="0"/>
              <w:rPr>
                <w:sz w:val="17"/>
                <w:szCs w:val="17"/>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767 Fifth Avenue</w:t>
            </w:r>
          </w:p>
        </w:tc>
        <w:tc>
          <w:tcPr>
            <w:tcW w:w="120" w:type="dxa"/>
            <w:vAlign w:val="bottom"/>
          </w:tcPr>
          <w:p>
            <w:pPr>
              <w:spacing w:after="0"/>
              <w:rPr>
                <w:sz w:val="17"/>
                <w:szCs w:val="17"/>
                <w:color w:val="auto"/>
              </w:rPr>
            </w:pPr>
          </w:p>
        </w:tc>
        <w:tc>
          <w:tcPr>
            <w:tcW w:w="1440" w:type="dxa"/>
            <w:vAlign w:val="bottom"/>
            <w:gridSpan w:val="2"/>
          </w:tcPr>
          <w:p>
            <w:pPr>
              <w:ind w:left="320"/>
              <w:spacing w:after="0"/>
              <w:rPr>
                <w:sz w:val="20"/>
                <w:szCs w:val="20"/>
                <w:color w:val="auto"/>
              </w:rPr>
            </w:pPr>
            <w:r>
              <w:rPr>
                <w:rFonts w:ascii="Arial" w:cs="Arial" w:eastAsia="Arial" w:hAnsi="Arial"/>
                <w:sz w:val="14"/>
                <w:szCs w:val="14"/>
                <w:b w:val="1"/>
                <w:bCs w:val="1"/>
                <w:color w:val="auto"/>
              </w:rPr>
              <w:t>Norges</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 Consolidated</w:t>
            </w:r>
          </w:p>
        </w:tc>
        <w:tc>
          <w:tcPr>
            <w:tcW w:w="0" w:type="dxa"/>
            <w:vAlign w:val="bottom"/>
          </w:tcPr>
          <w:p>
            <w:pPr>
              <w:spacing w:after="0"/>
              <w:rPr>
                <w:sz w:val="1"/>
                <w:szCs w:val="1"/>
                <w:color w:val="auto"/>
              </w:rPr>
            </w:pPr>
          </w:p>
        </w:tc>
      </w:tr>
      <w:tr>
        <w:trPr>
          <w:trHeight w:val="218"/>
        </w:trPr>
        <w:tc>
          <w:tcPr>
            <w:tcW w:w="5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8"/>
              </w:rPr>
              <w:t xml:space="preserve">Avenue </w:t>
            </w:r>
            <w:r>
              <w:rPr>
                <w:rFonts w:ascii="Arial" w:cs="Arial" w:eastAsia="Arial" w:hAnsi="Arial"/>
                <w:sz w:val="18"/>
                <w:szCs w:val="18"/>
                <w:b w:val="1"/>
                <w:bCs w:val="1"/>
                <w:color w:val="auto"/>
                <w:w w:val="98"/>
                <w:vertAlign w:val="superscript"/>
              </w:rPr>
              <w:t>1</w:t>
            </w:r>
          </w:p>
        </w:tc>
        <w:tc>
          <w:tcPr>
            <w:tcW w:w="15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rPr>
              <w:t>(The GM Building)</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 xml:space="preserve">Joint Ventures </w:t>
            </w:r>
            <w:r>
              <w:rPr>
                <w:rFonts w:ascii="Arial" w:cs="Arial" w:eastAsia="Arial" w:hAnsi="Arial"/>
                <w:sz w:val="18"/>
                <w:szCs w:val="18"/>
                <w:b w:val="1"/>
                <w:bCs w:val="1"/>
                <w:color w:val="auto"/>
                <w:vertAlign w:val="superscript"/>
              </w:rPr>
              <w:t>2</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Joint Ventures</w:t>
            </w:r>
          </w:p>
        </w:tc>
        <w:tc>
          <w:tcPr>
            <w:tcW w:w="0" w:type="dxa"/>
            <w:vAlign w:val="bottom"/>
          </w:tcPr>
          <w:p>
            <w:pPr>
              <w:spacing w:after="0"/>
              <w:rPr>
                <w:sz w:val="1"/>
                <w:szCs w:val="1"/>
                <w:color w:val="auto"/>
              </w:rPr>
            </w:pPr>
          </w:p>
        </w:tc>
      </w:tr>
      <w:tr>
        <w:trPr>
          <w:trHeight w:val="201"/>
        </w:trPr>
        <w:tc>
          <w:tcPr>
            <w:tcW w:w="5200" w:type="dxa"/>
            <w:vAlign w:val="bottom"/>
          </w:tcPr>
          <w:p>
            <w:pPr>
              <w:ind w:left="20"/>
              <w:spacing w:after="0"/>
              <w:rPr>
                <w:sz w:val="20"/>
                <w:szCs w:val="20"/>
                <w:color w:val="auto"/>
              </w:rPr>
            </w:pPr>
            <w:r>
              <w:rPr>
                <w:rFonts w:ascii="Arial" w:cs="Arial" w:eastAsia="Arial" w:hAnsi="Arial"/>
                <w:sz w:val="14"/>
                <w:szCs w:val="14"/>
                <w:color w:val="auto"/>
              </w:rPr>
              <w:t>Revenue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5200" w:type="dxa"/>
            <w:vAlign w:val="bottom"/>
          </w:tcPr>
          <w:p>
            <w:pPr>
              <w:ind w:left="220"/>
              <w:spacing w:after="0"/>
              <w:rPr>
                <w:sz w:val="20"/>
                <w:szCs w:val="20"/>
                <w:color w:val="auto"/>
              </w:rPr>
            </w:pPr>
            <w:r>
              <w:rPr>
                <w:rFonts w:ascii="Arial" w:cs="Arial" w:eastAsia="Arial" w:hAnsi="Arial"/>
                <w:sz w:val="14"/>
                <w:szCs w:val="14"/>
                <w:color w:val="auto"/>
              </w:rPr>
              <w:t xml:space="preserve">Lease </w:t>
            </w:r>
            <w:r>
              <w:rPr>
                <w:rFonts w:ascii="Arial" w:cs="Arial" w:eastAsia="Arial" w:hAnsi="Arial"/>
                <w:sz w:val="18"/>
                <w:szCs w:val="18"/>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86,821</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139,165</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225,986</w:t>
            </w:r>
          </w:p>
        </w:tc>
        <w:tc>
          <w:tcPr>
            <w:tcW w:w="0" w:type="dxa"/>
            <w:vAlign w:val="bottom"/>
          </w:tcPr>
          <w:p>
            <w:pPr>
              <w:spacing w:after="0"/>
              <w:rPr>
                <w:sz w:val="1"/>
                <w:szCs w:val="1"/>
                <w:color w:val="auto"/>
              </w:rPr>
            </w:pPr>
          </w:p>
        </w:tc>
      </w:tr>
      <w:tr>
        <w:trPr>
          <w:trHeight w:val="190"/>
        </w:trPr>
        <w:tc>
          <w:tcPr>
            <w:tcW w:w="5200" w:type="dxa"/>
            <w:vAlign w:val="bottom"/>
          </w:tcPr>
          <w:p>
            <w:pPr>
              <w:ind w:left="220"/>
              <w:spacing w:after="0"/>
              <w:rPr>
                <w:sz w:val="20"/>
                <w:szCs w:val="20"/>
                <w:color w:val="auto"/>
              </w:rPr>
            </w:pPr>
            <w:r>
              <w:rPr>
                <w:rFonts w:ascii="Arial" w:cs="Arial" w:eastAsia="Arial" w:hAnsi="Arial"/>
                <w:sz w:val="14"/>
                <w:szCs w:val="14"/>
                <w:color w:val="auto"/>
              </w:rPr>
              <w:t>Straight-line rent</w:t>
            </w:r>
          </w:p>
        </w:tc>
        <w:tc>
          <w:tcPr>
            <w:tcW w:w="16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834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10,092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10,926</w:t>
            </w:r>
          </w:p>
        </w:tc>
        <w:tc>
          <w:tcPr>
            <w:tcW w:w="0" w:type="dxa"/>
            <w:vAlign w:val="bottom"/>
          </w:tcPr>
          <w:p>
            <w:pPr>
              <w:spacing w:after="0"/>
              <w:rPr>
                <w:sz w:val="1"/>
                <w:szCs w:val="1"/>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4"/>
                <w:szCs w:val="14"/>
                <w:color w:val="auto"/>
              </w:rPr>
              <w:t>Fair value lease revenue</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20"/>
        </w:trPr>
        <w:tc>
          <w:tcPr>
            <w:tcW w:w="5200" w:type="dxa"/>
            <w:vAlign w:val="bottom"/>
          </w:tcPr>
          <w:p>
            <w:pPr>
              <w:ind w:left="220"/>
              <w:spacing w:after="0"/>
              <w:rPr>
                <w:sz w:val="20"/>
                <w:szCs w:val="20"/>
                <w:color w:val="auto"/>
              </w:rPr>
            </w:pPr>
            <w:r>
              <w:rPr>
                <w:rFonts w:ascii="Arial" w:cs="Arial" w:eastAsia="Arial" w:hAnsi="Arial"/>
                <w:sz w:val="14"/>
                <w:szCs w:val="14"/>
                <w:color w:val="auto"/>
              </w:rPr>
              <w:t>Termination income</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5200" w:type="dxa"/>
            <w:vAlign w:val="bottom"/>
          </w:tcPr>
          <w:p>
            <w:pPr>
              <w:ind w:left="480"/>
              <w:spacing w:after="0"/>
              <w:rPr>
                <w:sz w:val="20"/>
                <w:szCs w:val="20"/>
                <w:color w:val="auto"/>
              </w:rPr>
            </w:pPr>
            <w:r>
              <w:rPr>
                <w:rFonts w:ascii="Arial" w:cs="Arial" w:eastAsia="Arial" w:hAnsi="Arial"/>
                <w:sz w:val="14"/>
                <w:szCs w:val="14"/>
                <w:color w:val="auto"/>
              </w:rPr>
              <w:t>Total lease revenue</w:t>
            </w:r>
          </w:p>
        </w:tc>
        <w:tc>
          <w:tcPr>
            <w:tcW w:w="16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87,628</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149,257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236,885</w:t>
            </w:r>
          </w:p>
        </w:tc>
        <w:tc>
          <w:tcPr>
            <w:tcW w:w="0" w:type="dxa"/>
            <w:vAlign w:val="bottom"/>
          </w:tcPr>
          <w:p>
            <w:pPr>
              <w:spacing w:after="0"/>
              <w:rPr>
                <w:sz w:val="1"/>
                <w:szCs w:val="1"/>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4"/>
                <w:szCs w:val="14"/>
                <w:color w:val="auto"/>
              </w:rPr>
              <w:t>Parking and other</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3,022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3,022</w:t>
            </w:r>
          </w:p>
        </w:tc>
        <w:tc>
          <w:tcPr>
            <w:tcW w:w="0" w:type="dxa"/>
            <w:vAlign w:val="bottom"/>
          </w:tcPr>
          <w:p>
            <w:pPr>
              <w:spacing w:after="0"/>
              <w:rPr>
                <w:sz w:val="1"/>
                <w:szCs w:val="1"/>
                <w:color w:val="auto"/>
              </w:rPr>
            </w:pPr>
          </w:p>
        </w:tc>
      </w:tr>
      <w:tr>
        <w:trPr>
          <w:trHeight w:val="218"/>
        </w:trPr>
        <w:tc>
          <w:tcPr>
            <w:tcW w:w="5200" w:type="dxa"/>
            <w:vAlign w:val="bottom"/>
          </w:tcPr>
          <w:p>
            <w:pPr>
              <w:ind w:left="220"/>
              <w:spacing w:after="0"/>
              <w:rPr>
                <w:sz w:val="20"/>
                <w:szCs w:val="20"/>
                <w:color w:val="auto"/>
              </w:rPr>
            </w:pPr>
            <w:r>
              <w:rPr>
                <w:rFonts w:ascii="Arial" w:cs="Arial" w:eastAsia="Arial" w:hAnsi="Arial"/>
                <w:sz w:val="14"/>
                <w:szCs w:val="14"/>
                <w:color w:val="auto"/>
              </w:rPr>
              <w:t>Insurance proceeds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216"/>
        </w:trPr>
        <w:tc>
          <w:tcPr>
            <w:tcW w:w="5200" w:type="dxa"/>
            <w:vAlign w:val="bottom"/>
          </w:tcPr>
          <w:p>
            <w:pPr>
              <w:ind w:left="480"/>
              <w:spacing w:after="0"/>
              <w:rPr>
                <w:sz w:val="20"/>
                <w:szCs w:val="20"/>
                <w:color w:val="auto"/>
              </w:rPr>
            </w:pPr>
            <w:r>
              <w:rPr>
                <w:rFonts w:ascii="Arial" w:cs="Arial" w:eastAsia="Arial" w:hAnsi="Arial"/>
                <w:sz w:val="14"/>
                <w:szCs w:val="14"/>
                <w:color w:val="auto"/>
              </w:rPr>
              <w:t xml:space="preserve">Total rental revenue </w:t>
            </w:r>
            <w:r>
              <w:rPr>
                <w:rFonts w:ascii="Arial" w:cs="Arial" w:eastAsia="Arial" w:hAnsi="Arial"/>
                <w:sz w:val="18"/>
                <w:szCs w:val="18"/>
                <w:color w:val="auto"/>
                <w:vertAlign w:val="superscript"/>
              </w:rPr>
              <w:t>4</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88,114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152,279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240,393</w:t>
            </w:r>
          </w:p>
        </w:tc>
        <w:tc>
          <w:tcPr>
            <w:tcW w:w="0" w:type="dxa"/>
            <w:vAlign w:val="bottom"/>
          </w:tcPr>
          <w:p>
            <w:pPr>
              <w:spacing w:after="0"/>
              <w:rPr>
                <w:sz w:val="1"/>
                <w:szCs w:val="1"/>
                <w:color w:val="auto"/>
              </w:rPr>
            </w:pPr>
          </w:p>
        </w:tc>
      </w:tr>
      <w:tr>
        <w:trPr>
          <w:trHeight w:val="188"/>
        </w:trPr>
        <w:tc>
          <w:tcPr>
            <w:tcW w:w="5200" w:type="dxa"/>
            <w:vAlign w:val="bottom"/>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4"/>
                <w:szCs w:val="14"/>
                <w:color w:val="auto"/>
              </w:rPr>
              <w:t>Operating</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36,390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52,112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88,502</w:t>
            </w:r>
          </w:p>
        </w:tc>
        <w:tc>
          <w:tcPr>
            <w:tcW w:w="0" w:type="dxa"/>
            <w:vAlign w:val="bottom"/>
          </w:tcPr>
          <w:p>
            <w:pPr>
              <w:spacing w:after="0"/>
              <w:rPr>
                <w:sz w:val="1"/>
                <w:szCs w:val="1"/>
                <w:color w:val="auto"/>
              </w:rPr>
            </w:pPr>
          </w:p>
        </w:tc>
      </w:tr>
      <w:tr>
        <w:trPr>
          <w:trHeight w:val="220"/>
        </w:trPr>
        <w:tc>
          <w:tcPr>
            <w:tcW w:w="5200" w:type="dxa"/>
            <w:vAlign w:val="bottom"/>
          </w:tcPr>
          <w:p>
            <w:pPr>
              <w:ind w:left="220"/>
              <w:spacing w:after="0"/>
              <w:rPr>
                <w:sz w:val="20"/>
                <w:szCs w:val="20"/>
                <w:color w:val="auto"/>
              </w:rPr>
            </w:pPr>
            <w:r>
              <w:rPr>
                <w:rFonts w:ascii="Arial" w:cs="Arial" w:eastAsia="Arial" w:hAnsi="Arial"/>
                <w:sz w:val="14"/>
                <w:szCs w:val="14"/>
                <w:color w:val="auto"/>
              </w:rPr>
              <w:t>Restoration costs related to insurance claim</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51,724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100,167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151,891</w:t>
            </w:r>
          </w:p>
        </w:tc>
        <w:tc>
          <w:tcPr>
            <w:tcW w:w="0" w:type="dxa"/>
            <w:vAlign w:val="bottom"/>
          </w:tcPr>
          <w:p>
            <w:pPr>
              <w:spacing w:after="0"/>
              <w:rPr>
                <w:sz w:val="1"/>
                <w:szCs w:val="1"/>
                <w:color w:val="auto"/>
              </w:rPr>
            </w:pPr>
          </w:p>
        </w:tc>
      </w:tr>
      <w:tr>
        <w:trPr>
          <w:trHeight w:val="397"/>
        </w:trPr>
        <w:tc>
          <w:tcPr>
            <w:tcW w:w="52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4"/>
                <w:szCs w:val="14"/>
                <w:color w:val="auto"/>
              </w:rPr>
              <w:t>Development and management services revenue</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4"/>
                <w:szCs w:val="14"/>
                <w:color w:val="auto"/>
              </w:rPr>
              <w:t>Gain from investments in securities</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4"/>
                <w:szCs w:val="14"/>
                <w:color w:val="auto"/>
              </w:rPr>
              <w:t>Interest and other income</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1,796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2,290</w:t>
            </w:r>
          </w:p>
        </w:tc>
        <w:tc>
          <w:tcPr>
            <w:tcW w:w="0" w:type="dxa"/>
            <w:vAlign w:val="bottom"/>
          </w:tcPr>
          <w:p>
            <w:pPr>
              <w:spacing w:after="0"/>
              <w:rPr>
                <w:sz w:val="1"/>
                <w:szCs w:val="1"/>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4"/>
                <w:szCs w:val="14"/>
                <w:color w:val="auto"/>
              </w:rPr>
              <w:t>Interest expense</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(21,395)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(7,718)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(29,113)</w:t>
            </w:r>
          </w:p>
        </w:tc>
        <w:tc>
          <w:tcPr>
            <w:tcW w:w="0" w:type="dxa"/>
            <w:vAlign w:val="bottom"/>
          </w:tcPr>
          <w:p>
            <w:pPr>
              <w:spacing w:after="0"/>
              <w:rPr>
                <w:sz w:val="1"/>
                <w:szCs w:val="1"/>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4"/>
                <w:szCs w:val="14"/>
                <w:color w:val="auto"/>
              </w:rPr>
              <w:t>Depreciation and amortization expense</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(18,431)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(35,274)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(53,705)</w:t>
            </w:r>
          </w:p>
        </w:tc>
        <w:tc>
          <w:tcPr>
            <w:tcW w:w="0" w:type="dxa"/>
            <w:vAlign w:val="bottom"/>
          </w:tcPr>
          <w:p>
            <w:pPr>
              <w:spacing w:after="0"/>
              <w:rPr>
                <w:sz w:val="1"/>
                <w:szCs w:val="1"/>
                <w:color w:val="auto"/>
              </w:rPr>
            </w:pPr>
          </w:p>
        </w:tc>
      </w:tr>
      <w:tr>
        <w:trPr>
          <w:trHeight w:val="220"/>
        </w:trPr>
        <w:tc>
          <w:tcPr>
            <w:tcW w:w="5200" w:type="dxa"/>
            <w:vAlign w:val="bottom"/>
          </w:tcPr>
          <w:p>
            <w:pPr>
              <w:ind w:left="220"/>
              <w:spacing w:after="0"/>
              <w:rPr>
                <w:sz w:val="20"/>
                <w:szCs w:val="20"/>
                <w:color w:val="auto"/>
              </w:rPr>
            </w:pPr>
            <w:r>
              <w:rPr>
                <w:rFonts w:ascii="Arial" w:cs="Arial" w:eastAsia="Arial" w:hAnsi="Arial"/>
                <w:sz w:val="14"/>
                <w:szCs w:val="14"/>
                <w:color w:val="auto"/>
              </w:rPr>
              <w:t>General and administrative expense</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10"/>
        </w:trPr>
        <w:tc>
          <w:tcPr>
            <w:tcW w:w="5200" w:type="dxa"/>
            <w:vAlign w:val="bottom"/>
          </w:tcPr>
          <w:p>
            <w:pPr>
              <w:ind w:left="480"/>
              <w:spacing w:after="0"/>
              <w:rPr>
                <w:sz w:val="20"/>
                <w:szCs w:val="20"/>
                <w:color w:val="auto"/>
              </w:rPr>
            </w:pPr>
            <w:r>
              <w:rPr>
                <w:rFonts w:ascii="Arial" w:cs="Arial" w:eastAsia="Arial" w:hAnsi="Arial"/>
                <w:sz w:val="14"/>
                <w:szCs w:val="14"/>
                <w:color w:val="auto"/>
              </w:rPr>
              <w:t>Total other income (expense)</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(39,355)</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(41,205)</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(80,560)</w:t>
            </w:r>
          </w:p>
        </w:tc>
        <w:tc>
          <w:tcPr>
            <w:tcW w:w="0" w:type="dxa"/>
            <w:vAlign w:val="bottom"/>
          </w:tcPr>
          <w:p>
            <w:pPr>
              <w:spacing w:after="0"/>
              <w:rPr>
                <w:sz w:val="1"/>
                <w:szCs w:val="1"/>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12,369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58,962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71,331</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8"/>
        </w:trPr>
        <w:tc>
          <w:tcPr>
            <w:tcW w:w="5200" w:type="dxa"/>
            <w:vAlign w:val="bottom"/>
          </w:tcPr>
          <w:p>
            <w:pPr>
              <w:ind w:left="20"/>
              <w:spacing w:after="0"/>
              <w:rPr>
                <w:sz w:val="20"/>
                <w:szCs w:val="20"/>
                <w:color w:val="auto"/>
              </w:rPr>
            </w:pPr>
            <w:r>
              <w:rPr>
                <w:rFonts w:ascii="Arial" w:cs="Arial" w:eastAsia="Arial" w:hAnsi="Arial"/>
                <w:sz w:val="14"/>
                <w:szCs w:val="14"/>
                <w:color w:val="auto"/>
              </w:rPr>
              <w:t>BXP’s nominal ownership percentage</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color w:val="auto"/>
              </w:rPr>
              <w:t>89.45%</w:t>
            </w: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60.00%</w:t>
            </w: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55.00%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200" w:type="dxa"/>
            <w:vAlign w:val="bottom"/>
          </w:tcPr>
          <w:p>
            <w:pPr>
              <w:ind w:left="20"/>
              <w:spacing w:after="0"/>
              <w:rPr>
                <w:sz w:val="20"/>
                <w:szCs w:val="20"/>
                <w:color w:val="auto"/>
              </w:rPr>
            </w:pPr>
            <w:r>
              <w:rPr>
                <w:rFonts w:ascii="Arial" w:cs="Arial" w:eastAsia="Arial" w:hAnsi="Arial"/>
                <w:sz w:val="14"/>
                <w:szCs w:val="14"/>
                <w:color w:val="auto"/>
              </w:rPr>
              <w:t xml:space="preserve">Partners’ share of NOI (after income allocation to private REIT shareholders) </w:t>
            </w:r>
            <w:r>
              <w:rPr>
                <w:rFonts w:ascii="Arial" w:cs="Arial" w:eastAsia="Arial" w:hAnsi="Arial"/>
                <w:sz w:val="18"/>
                <w:szCs w:val="18"/>
                <w:color w:val="auto"/>
                <w:vertAlign w:val="superscript"/>
              </w:rPr>
              <w:t>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19,930</w:t>
            </w:r>
          </w:p>
        </w:tc>
        <w:tc>
          <w:tcPr>
            <w:tcW w:w="2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43,735</w:t>
            </w:r>
          </w:p>
        </w:tc>
        <w:tc>
          <w:tcPr>
            <w:tcW w:w="1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63,665</w:t>
            </w:r>
          </w:p>
        </w:tc>
        <w:tc>
          <w:tcPr>
            <w:tcW w:w="0" w:type="dxa"/>
            <w:vAlign w:val="bottom"/>
          </w:tcPr>
          <w:p>
            <w:pPr>
              <w:spacing w:after="0"/>
              <w:rPr>
                <w:sz w:val="1"/>
                <w:szCs w:val="1"/>
                <w:color w:val="auto"/>
              </w:rPr>
            </w:pPr>
          </w:p>
        </w:tc>
      </w:tr>
      <w:tr>
        <w:trPr>
          <w:trHeight w:val="203"/>
        </w:trPr>
        <w:tc>
          <w:tcPr>
            <w:tcW w:w="5200" w:type="dxa"/>
            <w:vAlign w:val="bottom"/>
          </w:tcPr>
          <w:p>
            <w:pPr>
              <w:ind w:left="20"/>
              <w:spacing w:after="0"/>
              <w:rPr>
                <w:sz w:val="20"/>
                <w:szCs w:val="20"/>
                <w:color w:val="auto"/>
              </w:rPr>
            </w:pPr>
            <w:r>
              <w:rPr>
                <w:rFonts w:ascii="Arial" w:cs="Arial" w:eastAsia="Arial" w:hAnsi="Arial"/>
                <w:sz w:val="14"/>
                <w:szCs w:val="14"/>
                <w:color w:val="auto"/>
              </w:rPr>
              <w:t>BXP’s share of NOI (after income allocation to private REIT shareholders)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31,794</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56,432</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88,226</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4"/>
                <w:szCs w:val="14"/>
                <w:color w:val="auto"/>
              </w:rPr>
              <w:t xml:space="preserve">Unearned portion of capitalized fees </w:t>
            </w:r>
            <w:r>
              <w:rPr>
                <w:rFonts w:ascii="Arial" w:cs="Arial" w:eastAsia="Arial" w:hAnsi="Arial"/>
                <w:sz w:val="18"/>
                <w:szCs w:val="18"/>
                <w:color w:val="auto"/>
                <w:vertAlign w:val="superscript"/>
              </w:rPr>
              <w:t>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1,573</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127</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2,119</w:t>
            </w:r>
          </w:p>
        </w:tc>
        <w:tc>
          <w:tcPr>
            <w:tcW w:w="0" w:type="dxa"/>
            <w:vAlign w:val="bottom"/>
          </w:tcPr>
          <w:p>
            <w:pPr>
              <w:spacing w:after="0"/>
              <w:rPr>
                <w:sz w:val="1"/>
                <w:szCs w:val="1"/>
                <w:color w:val="auto"/>
              </w:rPr>
            </w:pPr>
          </w:p>
        </w:tc>
      </w:tr>
      <w:tr>
        <w:trPr>
          <w:trHeight w:val="466"/>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Partners’ share of select items </w:t>
            </w:r>
            <w:r>
              <w:rPr>
                <w:rFonts w:ascii="Arial" w:cs="Arial" w:eastAsia="Arial" w:hAnsi="Arial"/>
                <w:sz w:val="18"/>
                <w:szCs w:val="18"/>
                <w:b w:val="1"/>
                <w:bCs w:val="1"/>
                <w:color w:val="auto"/>
                <w:vertAlign w:val="superscript"/>
              </w:rPr>
              <w:t>5</w:t>
            </w: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rPr>
                <w:sz w:val="20"/>
                <w:szCs w:val="20"/>
                <w:color w:val="auto"/>
              </w:rPr>
            </w:pPr>
            <w:r>
              <w:rPr>
                <w:rFonts w:ascii="Arial" w:cs="Arial" w:eastAsia="Arial" w:hAnsi="Arial"/>
                <w:sz w:val="14"/>
                <w:szCs w:val="14"/>
                <w:color w:val="auto"/>
              </w:rPr>
              <w:t>Partners’ share of hedge amortization</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144</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4"/>
                <w:szCs w:val="14"/>
                <w:color w:val="auto"/>
              </w:rPr>
              <w:t>Partners’ share of amortization of financing costs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255</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152</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753</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Partners’ share of depreciation and amortization related to capitalized fees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1,014</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Partners’ share of capitalized interest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320</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4"/>
                <w:szCs w:val="14"/>
                <w:color w:val="auto"/>
              </w:rPr>
              <w:t>Partners’ share of management and other fees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1,341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Partners’ share of basis differential depreciation and amortization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4"/>
                <w:szCs w:val="14"/>
                <w:color w:val="auto"/>
              </w:rPr>
              <w:t>Partners’ share of basis differential interest and other adjustments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47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Reconciliation of Partners’ share of EBITDA</w:t>
            </w:r>
            <w:r>
              <w:rPr>
                <w:rFonts w:ascii="Arial" w:cs="Arial" w:eastAsia="Arial" w:hAnsi="Arial"/>
                <w:sz w:val="14"/>
                <w:szCs w:val="14"/>
                <w:b w:val="1"/>
                <w:bCs w:val="1"/>
                <w:i w:val="1"/>
                <w:iCs w:val="1"/>
                <w:color w:val="auto"/>
              </w:rPr>
              <w:t>re</w:t>
            </w:r>
            <w:r>
              <w:rPr>
                <w:rFonts w:ascii="Arial" w:cs="Arial" w:eastAsia="Arial" w:hAnsi="Arial"/>
                <w:sz w:val="14"/>
                <w:szCs w:val="14"/>
                <w:b w:val="1"/>
                <w:bCs w:val="1"/>
                <w:color w:val="auto"/>
              </w:rPr>
              <w:t xml:space="preserve"> </w:t>
            </w:r>
            <w:r>
              <w:rPr>
                <w:rFonts w:ascii="Arial" w:cs="Arial" w:eastAsia="Arial" w:hAnsi="Arial"/>
                <w:sz w:val="18"/>
                <w:szCs w:val="18"/>
                <w:b w:val="1"/>
                <w:bCs w:val="1"/>
                <w:color w:val="auto"/>
                <w:vertAlign w:val="superscript"/>
              </w:rPr>
              <w:t>7</w:t>
            </w:r>
          </w:p>
        </w:tc>
        <w:tc>
          <w:tcPr>
            <w:tcW w:w="16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200" w:type="dxa"/>
            <w:vAlign w:val="bottom"/>
          </w:tcPr>
          <w:p>
            <w:pPr>
              <w:ind w:left="20"/>
              <w:spacing w:after="0"/>
              <w:rPr>
                <w:sz w:val="20"/>
                <w:szCs w:val="20"/>
                <w:color w:val="auto"/>
              </w:rPr>
            </w:pPr>
            <w:r>
              <w:rPr>
                <w:rFonts w:ascii="Arial" w:cs="Arial" w:eastAsia="Arial" w:hAnsi="Arial"/>
                <w:sz w:val="14"/>
                <w:szCs w:val="14"/>
                <w:color w:val="auto"/>
              </w:rPr>
              <w:t>Partners’ NCI</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3,833</w:t>
            </w: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24,859</w:t>
            </w: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28,692</w:t>
            </w:r>
          </w:p>
        </w:tc>
        <w:tc>
          <w:tcPr>
            <w:tcW w:w="0" w:type="dxa"/>
            <w:vAlign w:val="bottom"/>
          </w:tcPr>
          <w:p>
            <w:pPr>
              <w:spacing w:after="0"/>
              <w:rPr>
                <w:sz w:val="1"/>
                <w:szCs w:val="1"/>
                <w:color w:val="auto"/>
              </w:rPr>
            </w:pPr>
          </w:p>
        </w:tc>
      </w:tr>
      <w:tr>
        <w:trPr>
          <w:trHeight w:val="216"/>
        </w:trPr>
        <w:tc>
          <w:tcPr>
            <w:tcW w:w="5200" w:type="dxa"/>
            <w:vAlign w:val="bottom"/>
          </w:tcPr>
          <w:p>
            <w:pPr>
              <w:ind w:left="20"/>
              <w:spacing w:after="0"/>
              <w:rPr>
                <w:sz w:val="20"/>
                <w:szCs w:val="20"/>
                <w:color w:val="auto"/>
              </w:rPr>
            </w:pPr>
            <w:r>
              <w:rPr>
                <w:rFonts w:ascii="Arial" w:cs="Arial" w:eastAsia="Arial" w:hAnsi="Arial"/>
                <w:sz w:val="14"/>
                <w:szCs w:val="14"/>
                <w:color w:val="auto"/>
              </w:rPr>
              <w:t>Add: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220"/>
              <w:spacing w:after="0"/>
              <w:rPr>
                <w:sz w:val="20"/>
                <w:szCs w:val="20"/>
                <w:color w:val="auto"/>
              </w:rPr>
            </w:pPr>
            <w:r>
              <w:rPr>
                <w:rFonts w:ascii="Arial" w:cs="Arial" w:eastAsia="Arial" w:hAnsi="Arial"/>
                <w:sz w:val="14"/>
                <w:szCs w:val="14"/>
                <w:color w:val="auto"/>
              </w:rPr>
              <w:t>Partners’ share of interest expense after BXP’s basis differential</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8,554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3,473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12,027</w:t>
            </w:r>
          </w:p>
        </w:tc>
        <w:tc>
          <w:tcPr>
            <w:tcW w:w="0" w:type="dxa"/>
            <w:vAlign w:val="bottom"/>
          </w:tcPr>
          <w:p>
            <w:pPr>
              <w:spacing w:after="0"/>
              <w:rPr>
                <w:sz w:val="1"/>
                <w:szCs w:val="1"/>
                <w:color w:val="auto"/>
              </w:rPr>
            </w:pPr>
          </w:p>
        </w:tc>
      </w:tr>
      <w:tr>
        <w:trPr>
          <w:trHeight w:val="174"/>
        </w:trPr>
        <w:tc>
          <w:tcPr>
            <w:tcW w:w="5200" w:type="dxa"/>
            <w:vAlign w:val="bottom"/>
          </w:tcPr>
          <w:p>
            <w:pPr>
              <w:ind w:left="220"/>
              <w:spacing w:after="0"/>
              <w:rPr>
                <w:sz w:val="20"/>
                <w:szCs w:val="20"/>
                <w:color w:val="auto"/>
              </w:rPr>
            </w:pPr>
            <w:r>
              <w:rPr>
                <w:rFonts w:ascii="Arial" w:cs="Arial" w:eastAsia="Arial" w:hAnsi="Arial"/>
                <w:sz w:val="14"/>
                <w:szCs w:val="14"/>
                <w:color w:val="auto"/>
              </w:rPr>
              <w:t>Partners’ share of depreciation and amortization expense after BXP’s</w:t>
            </w:r>
          </w:p>
        </w:tc>
        <w:tc>
          <w:tcPr>
            <w:tcW w:w="160" w:type="dxa"/>
            <w:vAlign w:val="bottom"/>
          </w:tcPr>
          <w:p>
            <w:pPr>
              <w:spacing w:after="0"/>
              <w:rPr>
                <w:sz w:val="15"/>
                <w:szCs w:val="15"/>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7,731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color w:val="auto"/>
              </w:rPr>
              <w:t>16,170</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23,901</w:t>
            </w:r>
          </w:p>
        </w:tc>
        <w:tc>
          <w:tcPr>
            <w:tcW w:w="0" w:type="dxa"/>
            <w:vAlign w:val="bottom"/>
          </w:tcPr>
          <w:p>
            <w:pPr>
              <w:spacing w:after="0"/>
              <w:rPr>
                <w:sz w:val="1"/>
                <w:szCs w:val="1"/>
                <w:color w:val="auto"/>
              </w:rPr>
            </w:pPr>
          </w:p>
        </w:tc>
      </w:tr>
      <w:tr>
        <w:trPr>
          <w:trHeight w:val="185"/>
        </w:trPr>
        <w:tc>
          <w:tcPr>
            <w:tcW w:w="5200" w:type="dxa"/>
            <w:vAlign w:val="bottom"/>
          </w:tcPr>
          <w:p>
            <w:pPr>
              <w:ind w:left="400"/>
              <w:spacing w:after="0"/>
              <w:rPr>
                <w:sz w:val="20"/>
                <w:szCs w:val="20"/>
                <w:color w:val="auto"/>
              </w:rPr>
            </w:pPr>
            <w:r>
              <w:rPr>
                <w:rFonts w:ascii="Arial" w:cs="Arial" w:eastAsia="Arial" w:hAnsi="Arial"/>
                <w:sz w:val="14"/>
                <w:szCs w:val="14"/>
                <w:color w:val="auto"/>
              </w:rPr>
              <w:t>basis differential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4"/>
                <w:szCs w:val="14"/>
                <w:color w:val="auto"/>
              </w:rPr>
              <w:t>Partners’ share of EBITDA</w:t>
            </w:r>
            <w:r>
              <w:rPr>
                <w:rFonts w:ascii="Arial" w:cs="Arial" w:eastAsia="Arial" w:hAnsi="Arial"/>
                <w:sz w:val="14"/>
                <w:szCs w:val="14"/>
                <w:i w:val="1"/>
                <w:iCs w:val="1"/>
                <w:color w:val="auto"/>
              </w:rPr>
              <w:t>re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20,118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44,502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64,620</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62</w:t>
      </w:r>
    </w:p>
    <w:p>
      <w:pPr>
        <w:sectPr>
          <w:pgSz w:w="11900" w:h="16838" w:orient="portrait"/>
          <w:cols w:equalWidth="0" w:num="1">
            <w:col w:w="11240"/>
          </w:cols>
          <w:pgMar w:left="320" w:top="279" w:right="339" w:bottom="1440" w:gutter="0" w:footer="0" w:header="0"/>
          <w:type w:val="continuous"/>
        </w:sectPr>
      </w:pPr>
    </w:p>
    <w:bookmarkStart w:id="70" w:name="page71"/>
    <w:bookmarkEnd w:id="70"/>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2026</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(unaudited and in thousands)</w:t>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CONSOLIDATED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Reconciliation of Partners’ share of Net Operating Income (Loss) (NOI) </w:t>
            </w:r>
            <w:r>
              <w:rPr>
                <w:rFonts w:ascii="Arial" w:cs="Arial" w:eastAsia="Arial" w:hAnsi="Arial"/>
                <w:sz w:val="18"/>
                <w:szCs w:val="18"/>
                <w:b w:val="1"/>
                <w:bCs w:val="1"/>
                <w:color w:val="auto"/>
                <w:vertAlign w:val="superscript"/>
              </w:rPr>
              <w:t>7</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343 Madison</w:t>
            </w:r>
          </w:p>
        </w:tc>
        <w:tc>
          <w:tcPr>
            <w:tcW w:w="240" w:type="dxa"/>
            <w:vAlign w:val="bottom"/>
          </w:tcPr>
          <w:p>
            <w:pPr>
              <w:spacing w:after="0"/>
              <w:rPr>
                <w:sz w:val="14"/>
                <w:szCs w:val="14"/>
                <w:color w:val="auto"/>
              </w:rPr>
            </w:pPr>
          </w:p>
        </w:tc>
        <w:tc>
          <w:tcPr>
            <w:tcW w:w="1740" w:type="dxa"/>
            <w:vAlign w:val="bottom"/>
            <w:gridSpan w:val="4"/>
          </w:tcPr>
          <w:p>
            <w:pPr>
              <w:jc w:val="center"/>
              <w:spacing w:after="0"/>
              <w:rPr>
                <w:sz w:val="20"/>
                <w:szCs w:val="20"/>
                <w:color w:val="auto"/>
              </w:rPr>
            </w:pPr>
            <w:r>
              <w:rPr>
                <w:rFonts w:ascii="Arial" w:cs="Arial" w:eastAsia="Arial" w:hAnsi="Arial"/>
                <w:sz w:val="14"/>
                <w:szCs w:val="14"/>
                <w:b w:val="1"/>
                <w:bCs w:val="1"/>
                <w:color w:val="auto"/>
              </w:rPr>
              <w:t>767 Fifth Avenue (The</w:t>
            </w:r>
          </w:p>
        </w:tc>
        <w:tc>
          <w:tcPr>
            <w:tcW w:w="18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Norges Joint</w:t>
            </w: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Total Consolidated</w:t>
            </w:r>
          </w:p>
        </w:tc>
        <w:tc>
          <w:tcPr>
            <w:tcW w:w="0" w:type="dxa"/>
            <w:vAlign w:val="bottom"/>
          </w:tcPr>
          <w:p>
            <w:pPr>
              <w:spacing w:after="0"/>
              <w:rPr>
                <w:sz w:val="1"/>
                <w:szCs w:val="1"/>
                <w:color w:val="auto"/>
              </w:rPr>
            </w:pPr>
          </w:p>
        </w:tc>
      </w:tr>
      <w:tr>
        <w:trPr>
          <w:trHeight w:val="189"/>
        </w:trPr>
        <w:tc>
          <w:tcPr>
            <w:tcW w:w="520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tcPr>
          <w:p>
            <w:pPr>
              <w:jc w:val="right"/>
              <w:ind w:right="68"/>
              <w:spacing w:after="0" w:line="189" w:lineRule="exact"/>
              <w:rPr>
                <w:sz w:val="20"/>
                <w:szCs w:val="20"/>
                <w:color w:val="auto"/>
              </w:rPr>
            </w:pPr>
            <w:r>
              <w:rPr>
                <w:rFonts w:ascii="Arial" w:cs="Arial" w:eastAsia="Arial" w:hAnsi="Arial"/>
                <w:sz w:val="14"/>
                <w:szCs w:val="14"/>
                <w:b w:val="1"/>
                <w:bCs w:val="1"/>
                <w:color w:val="auto"/>
              </w:rPr>
              <w:t xml:space="preserve">Avenue </w:t>
            </w:r>
            <w:r>
              <w:rPr>
                <w:rFonts w:ascii="Arial" w:cs="Arial" w:eastAsia="Arial" w:hAnsi="Arial"/>
                <w:sz w:val="18"/>
                <w:szCs w:val="18"/>
                <w:b w:val="1"/>
                <w:bCs w:val="1"/>
                <w:color w:val="auto"/>
                <w:vertAlign w:val="superscript"/>
              </w:rPr>
              <w:t>1</w:t>
            </w: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GM Building)</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line="189" w:lineRule="exact"/>
              <w:rPr>
                <w:sz w:val="20"/>
                <w:szCs w:val="20"/>
                <w:color w:val="auto"/>
              </w:rPr>
            </w:pPr>
            <w:r>
              <w:rPr>
                <w:rFonts w:ascii="Arial" w:cs="Arial" w:eastAsia="Arial" w:hAnsi="Arial"/>
                <w:sz w:val="14"/>
                <w:szCs w:val="14"/>
                <w:b w:val="1"/>
                <w:bCs w:val="1"/>
                <w:color w:val="auto"/>
                <w:w w:val="99"/>
              </w:rPr>
              <w:t xml:space="preserve">Ventures </w:t>
            </w:r>
            <w:r>
              <w:rPr>
                <w:rFonts w:ascii="Arial" w:cs="Arial" w:eastAsia="Arial" w:hAnsi="Arial"/>
                <w:sz w:val="18"/>
                <w:szCs w:val="18"/>
                <w:b w:val="1"/>
                <w:bCs w:val="1"/>
                <w:color w:val="auto"/>
                <w:w w:val="99"/>
                <w:vertAlign w:val="superscript"/>
              </w:rPr>
              <w:t>2</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Joint Ventures</w:t>
            </w:r>
          </w:p>
        </w:tc>
        <w:tc>
          <w:tcPr>
            <w:tcW w:w="0" w:type="dxa"/>
            <w:vAlign w:val="bottom"/>
          </w:tcPr>
          <w:p>
            <w:pPr>
              <w:spacing w:after="0"/>
              <w:rPr>
                <w:sz w:val="1"/>
                <w:szCs w:val="1"/>
                <w:color w:val="auto"/>
              </w:rPr>
            </w:pPr>
          </w:p>
        </w:tc>
      </w:tr>
      <w:tr>
        <w:trPr>
          <w:trHeight w:val="227"/>
        </w:trPr>
        <w:tc>
          <w:tcPr>
            <w:tcW w:w="5200" w:type="dxa"/>
            <w:vAlign w:val="bottom"/>
          </w:tcPr>
          <w:p>
            <w:pPr>
              <w:ind w:left="20"/>
              <w:spacing w:after="0"/>
              <w:rPr>
                <w:sz w:val="20"/>
                <w:szCs w:val="20"/>
                <w:color w:val="auto"/>
              </w:rPr>
            </w:pPr>
            <w:r>
              <w:rPr>
                <w:rFonts w:ascii="Arial" w:cs="Arial" w:eastAsia="Arial" w:hAnsi="Arial"/>
                <w:sz w:val="14"/>
                <w:szCs w:val="14"/>
                <w:color w:val="auto"/>
              </w:rPr>
              <w:t xml:space="preserve">Rental revenue </w:t>
            </w:r>
            <w:r>
              <w:rPr>
                <w:rFonts w:ascii="Arial" w:cs="Arial" w:eastAsia="Arial" w:hAnsi="Arial"/>
                <w:sz w:val="18"/>
                <w:szCs w:val="18"/>
                <w:color w:val="auto"/>
                <w:vertAlign w:val="superscript"/>
              </w:rPr>
              <w:t>4</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35,246</w:t>
            </w:r>
          </w:p>
        </w:tc>
        <w:tc>
          <w:tcPr>
            <w:tcW w:w="20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68,526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103,772</w:t>
            </w:r>
          </w:p>
        </w:tc>
        <w:tc>
          <w:tcPr>
            <w:tcW w:w="0" w:type="dxa"/>
            <w:vAlign w:val="bottom"/>
          </w:tcPr>
          <w:p>
            <w:pPr>
              <w:spacing w:after="0"/>
              <w:rPr>
                <w:sz w:val="1"/>
                <w:szCs w:val="1"/>
                <w:color w:val="auto"/>
              </w:rPr>
            </w:pPr>
          </w:p>
        </w:tc>
      </w:tr>
      <w:tr>
        <w:trPr>
          <w:trHeight w:val="192"/>
        </w:trPr>
        <w:tc>
          <w:tcPr>
            <w:tcW w:w="5200" w:type="dxa"/>
            <w:vAlign w:val="bottom"/>
          </w:tcPr>
          <w:p>
            <w:pPr>
              <w:ind w:left="20"/>
              <w:spacing w:after="0"/>
              <w:rPr>
                <w:sz w:val="20"/>
                <w:szCs w:val="20"/>
                <w:color w:val="auto"/>
              </w:rPr>
            </w:pPr>
            <w:r>
              <w:rPr>
                <w:rFonts w:ascii="Arial" w:cs="Arial" w:eastAsia="Arial" w:hAnsi="Arial"/>
                <w:sz w:val="14"/>
                <w:szCs w:val="14"/>
                <w:color w:val="auto"/>
              </w:rPr>
              <w:t>Less: Termination income</w:t>
            </w:r>
          </w:p>
        </w:tc>
        <w:tc>
          <w:tcPr>
            <w:tcW w:w="112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4"/>
        </w:trPr>
        <w:tc>
          <w:tcPr>
            <w:tcW w:w="5200" w:type="dxa"/>
            <w:vAlign w:val="bottom"/>
          </w:tcPr>
          <w:p>
            <w:pPr>
              <w:ind w:left="20"/>
              <w:spacing w:after="0"/>
              <w:rPr>
                <w:sz w:val="20"/>
                <w:szCs w:val="20"/>
                <w:color w:val="auto"/>
              </w:rPr>
            </w:pPr>
            <w:r>
              <w:rPr>
                <w:rFonts w:ascii="Arial" w:cs="Arial" w:eastAsia="Arial" w:hAnsi="Arial"/>
                <w:sz w:val="14"/>
                <w:szCs w:val="14"/>
                <w:color w:val="auto"/>
              </w:rPr>
              <w:t xml:space="preserve">Rental revenue (excluding termination income) </w:t>
            </w:r>
            <w:r>
              <w:rPr>
                <w:rFonts w:ascii="Arial" w:cs="Arial" w:eastAsia="Arial" w:hAnsi="Arial"/>
                <w:sz w:val="18"/>
                <w:szCs w:val="18"/>
                <w:color w:val="auto"/>
                <w:vertAlign w:val="superscript"/>
              </w:rPr>
              <w:t>4</w:t>
            </w:r>
          </w:p>
        </w:tc>
        <w:tc>
          <w:tcPr>
            <w:tcW w:w="1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35,246</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68,526</w:t>
            </w: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103,772</w:t>
            </w:r>
          </w:p>
        </w:tc>
        <w:tc>
          <w:tcPr>
            <w:tcW w:w="0" w:type="dxa"/>
            <w:vAlign w:val="bottom"/>
          </w:tcPr>
          <w:p>
            <w:pPr>
              <w:spacing w:after="0"/>
              <w:rPr>
                <w:sz w:val="1"/>
                <w:szCs w:val="1"/>
                <w:color w:val="auto"/>
              </w:rPr>
            </w:pPr>
          </w:p>
        </w:tc>
      </w:tr>
      <w:tr>
        <w:trPr>
          <w:trHeight w:val="148"/>
        </w:trPr>
        <w:tc>
          <w:tcPr>
            <w:tcW w:w="5200" w:type="dxa"/>
            <w:vAlign w:val="bottom"/>
          </w:tcPr>
          <w:p>
            <w:pPr>
              <w:ind w:left="20"/>
              <w:spacing w:after="0" w:line="149" w:lineRule="exact"/>
              <w:rPr>
                <w:sz w:val="20"/>
                <w:szCs w:val="20"/>
                <w:color w:val="auto"/>
              </w:rPr>
            </w:pPr>
            <w:r>
              <w:rPr>
                <w:rFonts w:ascii="Arial" w:cs="Arial" w:eastAsia="Arial" w:hAnsi="Arial"/>
                <w:sz w:val="14"/>
                <w:szCs w:val="14"/>
                <w:color w:val="auto"/>
              </w:rPr>
              <w:t>Less: Operating expenses (including partners’ share of management and</w:t>
            </w:r>
          </w:p>
        </w:tc>
        <w:tc>
          <w:tcPr>
            <w:tcW w:w="1120" w:type="dxa"/>
            <w:vAlign w:val="bottom"/>
          </w:tcPr>
          <w:p>
            <w:pPr>
              <w:spacing w:after="0"/>
              <w:rPr>
                <w:sz w:val="12"/>
                <w:szCs w:val="12"/>
                <w:color w:val="auto"/>
              </w:rPr>
            </w:pP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15,316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24,791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40,107</w:t>
            </w:r>
          </w:p>
        </w:tc>
        <w:tc>
          <w:tcPr>
            <w:tcW w:w="0" w:type="dxa"/>
            <w:vAlign w:val="bottom"/>
          </w:tcPr>
          <w:p>
            <w:pPr>
              <w:spacing w:after="0"/>
              <w:rPr>
                <w:sz w:val="1"/>
                <w:szCs w:val="1"/>
                <w:color w:val="auto"/>
              </w:rPr>
            </w:pPr>
          </w:p>
        </w:tc>
      </w:tr>
      <w:tr>
        <w:trPr>
          <w:trHeight w:val="190"/>
        </w:trPr>
        <w:tc>
          <w:tcPr>
            <w:tcW w:w="5200" w:type="dxa"/>
            <w:vAlign w:val="bottom"/>
          </w:tcPr>
          <w:p>
            <w:pPr>
              <w:ind w:left="440"/>
              <w:spacing w:after="0"/>
              <w:rPr>
                <w:sz w:val="20"/>
                <w:szCs w:val="20"/>
                <w:color w:val="auto"/>
              </w:rPr>
            </w:pPr>
            <w:r>
              <w:rPr>
                <w:rFonts w:ascii="Arial" w:cs="Arial" w:eastAsia="Arial" w:hAnsi="Arial"/>
                <w:sz w:val="14"/>
                <w:szCs w:val="14"/>
                <w:color w:val="auto"/>
              </w:rPr>
              <w:t>other fees)</w:t>
            </w:r>
          </w:p>
        </w:tc>
        <w:tc>
          <w:tcPr>
            <w:tcW w:w="1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200" w:type="dxa"/>
            <w:vAlign w:val="bottom"/>
          </w:tcPr>
          <w:p>
            <w:pPr>
              <w:ind w:left="440"/>
              <w:spacing w:after="0"/>
              <w:rPr>
                <w:sz w:val="20"/>
                <w:szCs w:val="20"/>
                <w:color w:val="auto"/>
              </w:rPr>
            </w:pPr>
            <w:r>
              <w:rPr>
                <w:rFonts w:ascii="Arial" w:cs="Arial" w:eastAsia="Arial" w:hAnsi="Arial"/>
                <w:sz w:val="14"/>
                <w:szCs w:val="14"/>
                <w:color w:val="auto"/>
              </w:rPr>
              <w:t>Income allocation to private REIT shareholders</w:t>
            </w: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20"/>
              <w:spacing w:after="0" w:line="153" w:lineRule="exact"/>
              <w:rPr>
                <w:sz w:val="20"/>
                <w:szCs w:val="20"/>
                <w:color w:val="auto"/>
              </w:rPr>
            </w:pPr>
            <w:r>
              <w:rPr>
                <w:rFonts w:ascii="Arial" w:cs="Arial" w:eastAsia="Arial" w:hAnsi="Arial"/>
                <w:sz w:val="14"/>
                <w:szCs w:val="14"/>
                <w:color w:val="auto"/>
              </w:rPr>
              <w:t>NOI (excluding termination income and after income allocation to private</w:t>
            </w:r>
          </w:p>
        </w:tc>
        <w:tc>
          <w:tcPr>
            <w:tcW w:w="1120" w:type="dxa"/>
            <w:vAlign w:val="bottom"/>
            <w:vMerge w:val="restart"/>
          </w:tcPr>
          <w:p>
            <w:pPr>
              <w:jc w:val="right"/>
              <w:ind w:right="94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19,930</w:t>
            </w:r>
          </w:p>
        </w:tc>
        <w:tc>
          <w:tcPr>
            <w:tcW w:w="20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43,735</w:t>
            </w:r>
          </w:p>
        </w:tc>
        <w:tc>
          <w:tcPr>
            <w:tcW w:w="1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63,665</w:t>
            </w:r>
          </w:p>
        </w:tc>
        <w:tc>
          <w:tcPr>
            <w:tcW w:w="0" w:type="dxa"/>
            <w:vAlign w:val="bottom"/>
          </w:tcPr>
          <w:p>
            <w:pPr>
              <w:spacing w:after="0"/>
              <w:rPr>
                <w:sz w:val="1"/>
                <w:szCs w:val="1"/>
                <w:color w:val="auto"/>
              </w:rPr>
            </w:pPr>
          </w:p>
        </w:tc>
      </w:tr>
      <w:tr>
        <w:trPr>
          <w:trHeight w:val="163"/>
        </w:trPr>
        <w:tc>
          <w:tcPr>
            <w:tcW w:w="5200" w:type="dxa"/>
            <w:vAlign w:val="bottom"/>
          </w:tcPr>
          <w:p>
            <w:pPr>
              <w:ind w:left="180"/>
              <w:spacing w:after="0" w:line="158" w:lineRule="exact"/>
              <w:rPr>
                <w:sz w:val="20"/>
                <w:szCs w:val="20"/>
                <w:color w:val="auto"/>
              </w:rPr>
            </w:pPr>
            <w:r>
              <w:rPr>
                <w:rFonts w:ascii="Arial" w:cs="Arial" w:eastAsia="Arial" w:hAnsi="Arial"/>
                <w:sz w:val="14"/>
                <w:szCs w:val="14"/>
                <w:color w:val="auto"/>
              </w:rPr>
              <w:t>REIT shareholders)</w:t>
            </w:r>
          </w:p>
        </w:tc>
        <w:tc>
          <w:tcPr>
            <w:tcW w:w="1120" w:type="dxa"/>
            <w:vAlign w:val="bottom"/>
            <w:tcBorders>
              <w:bottom w:val="single" w:sz="8" w:color="auto"/>
            </w:tcBorders>
            <w:vMerge w:val="continue"/>
          </w:tcPr>
          <w:p>
            <w:pPr>
              <w:spacing w:after="0"/>
              <w:rPr>
                <w:sz w:val="13"/>
                <w:szCs w:val="13"/>
                <w:color w:val="auto"/>
              </w:rPr>
            </w:pPr>
          </w:p>
        </w:tc>
        <w:tc>
          <w:tcPr>
            <w:tcW w:w="240" w:type="dxa"/>
            <w:vAlign w:val="bottom"/>
            <w:tcBorders>
              <w:bottom w:val="single" w:sz="8" w:color="auto"/>
            </w:tcBorders>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12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200" w:type="dxa"/>
            <w:vAlign w:val="bottom"/>
            <w:vMerge w:val="restart"/>
          </w:tcPr>
          <w:p>
            <w:pPr>
              <w:ind w:left="20"/>
              <w:spacing w:after="0"/>
              <w:rPr>
                <w:sz w:val="20"/>
                <w:szCs w:val="20"/>
                <w:color w:val="auto"/>
              </w:rPr>
            </w:pPr>
            <w:r>
              <w:rPr>
                <w:rFonts w:ascii="Arial" w:cs="Arial" w:eastAsia="Arial" w:hAnsi="Arial"/>
                <w:sz w:val="14"/>
                <w:szCs w:val="14"/>
                <w:color w:val="auto"/>
              </w:rPr>
              <w:t xml:space="preserve">Rental revenue (excluding termination income) </w:t>
            </w:r>
            <w:r>
              <w:rPr>
                <w:rFonts w:ascii="Arial" w:cs="Arial" w:eastAsia="Arial" w:hAnsi="Arial"/>
                <w:sz w:val="18"/>
                <w:szCs w:val="18"/>
                <w:color w:val="auto"/>
                <w:vertAlign w:val="superscript"/>
              </w:rPr>
              <w:t>4</w:t>
            </w: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6"/>
        </w:trPr>
        <w:tc>
          <w:tcPr>
            <w:tcW w:w="5200" w:type="dxa"/>
            <w:vAlign w:val="bottom"/>
            <w:vMerge w:val="continue"/>
          </w:tcPr>
          <w:p>
            <w:pPr>
              <w:spacing w:after="0"/>
              <w:rPr>
                <w:sz w:val="24"/>
                <w:szCs w:val="24"/>
                <w:color w:val="auto"/>
              </w:rPr>
            </w:pP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35,246</w:t>
            </w:r>
          </w:p>
        </w:tc>
        <w:tc>
          <w:tcPr>
            <w:tcW w:w="2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68,526</w:t>
            </w:r>
          </w:p>
        </w:tc>
        <w:tc>
          <w:tcPr>
            <w:tcW w:w="1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103,772</w:t>
            </w:r>
          </w:p>
        </w:tc>
        <w:tc>
          <w:tcPr>
            <w:tcW w:w="0" w:type="dxa"/>
            <w:vAlign w:val="bottom"/>
          </w:tcPr>
          <w:p>
            <w:pPr>
              <w:spacing w:after="0"/>
              <w:rPr>
                <w:sz w:val="1"/>
                <w:szCs w:val="1"/>
                <w:color w:val="auto"/>
              </w:rPr>
            </w:pPr>
          </w:p>
        </w:tc>
      </w:tr>
      <w:tr>
        <w:trPr>
          <w:trHeight w:val="190"/>
        </w:trPr>
        <w:tc>
          <w:tcPr>
            <w:tcW w:w="5200" w:type="dxa"/>
            <w:vAlign w:val="bottom"/>
          </w:tcPr>
          <w:p>
            <w:pPr>
              <w:ind w:left="20"/>
              <w:spacing w:after="0"/>
              <w:rPr>
                <w:sz w:val="20"/>
                <w:szCs w:val="20"/>
                <w:color w:val="auto"/>
              </w:rPr>
            </w:pPr>
            <w:r>
              <w:rPr>
                <w:rFonts w:ascii="Arial" w:cs="Arial" w:eastAsia="Arial" w:hAnsi="Arial"/>
                <w:sz w:val="14"/>
                <w:szCs w:val="14"/>
                <w:color w:val="auto"/>
              </w:rPr>
              <w:t>Less: Straight-line rent</w:t>
            </w:r>
          </w:p>
        </w:tc>
        <w:tc>
          <w:tcPr>
            <w:tcW w:w="112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4,541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4,875</w:t>
            </w:r>
          </w:p>
        </w:tc>
        <w:tc>
          <w:tcPr>
            <w:tcW w:w="0" w:type="dxa"/>
            <w:vAlign w:val="bottom"/>
          </w:tcPr>
          <w:p>
            <w:pPr>
              <w:spacing w:after="0"/>
              <w:rPr>
                <w:sz w:val="1"/>
                <w:szCs w:val="1"/>
                <w:color w:val="auto"/>
              </w:rPr>
            </w:pPr>
          </w:p>
        </w:tc>
      </w:tr>
      <w:tr>
        <w:trPr>
          <w:trHeight w:val="216"/>
        </w:trPr>
        <w:tc>
          <w:tcPr>
            <w:tcW w:w="5200" w:type="dxa"/>
            <w:vAlign w:val="bottom"/>
          </w:tcPr>
          <w:p>
            <w:pPr>
              <w:ind w:left="480"/>
              <w:spacing w:after="0"/>
              <w:rPr>
                <w:sz w:val="20"/>
                <w:szCs w:val="20"/>
                <w:color w:val="auto"/>
              </w:rPr>
            </w:pPr>
            <w:r>
              <w:rPr>
                <w:rFonts w:ascii="Arial" w:cs="Arial" w:eastAsia="Arial" w:hAnsi="Arial"/>
                <w:sz w:val="14"/>
                <w:szCs w:val="14"/>
                <w:color w:val="auto"/>
              </w:rPr>
              <w:t>Fair value lease revenue</w:t>
            </w:r>
          </w:p>
        </w:tc>
        <w:tc>
          <w:tcPr>
            <w:tcW w:w="112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20"/>
        </w:trPr>
        <w:tc>
          <w:tcPr>
            <w:tcW w:w="5200" w:type="dxa"/>
            <w:vAlign w:val="bottom"/>
          </w:tcPr>
          <w:p>
            <w:pPr>
              <w:ind w:left="20"/>
              <w:spacing w:after="0"/>
              <w:rPr>
                <w:sz w:val="20"/>
                <w:szCs w:val="20"/>
                <w:color w:val="auto"/>
              </w:rPr>
            </w:pPr>
            <w:r>
              <w:rPr>
                <w:rFonts w:ascii="Arial" w:cs="Arial" w:eastAsia="Arial" w:hAnsi="Arial"/>
                <w:sz w:val="14"/>
                <w:szCs w:val="14"/>
                <w:color w:val="auto"/>
              </w:rPr>
              <w:t>Add: Lease transaction costs that qualify as rent inducements</w:t>
            </w:r>
          </w:p>
        </w:tc>
        <w:tc>
          <w:tcPr>
            <w:tcW w:w="112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5"/>
        </w:trPr>
        <w:tc>
          <w:tcPr>
            <w:tcW w:w="5200" w:type="dxa"/>
            <w:vAlign w:val="bottom"/>
          </w:tcPr>
          <w:p>
            <w:pPr>
              <w:ind w:left="20"/>
              <w:spacing w:after="0"/>
              <w:rPr>
                <w:sz w:val="20"/>
                <w:szCs w:val="20"/>
                <w:color w:val="auto"/>
              </w:rPr>
            </w:pPr>
            <w:r>
              <w:rPr>
                <w:rFonts w:ascii="Arial" w:cs="Arial" w:eastAsia="Arial" w:hAnsi="Arial"/>
                <w:sz w:val="14"/>
                <w:szCs w:val="14"/>
                <w:color w:val="auto"/>
              </w:rPr>
              <w:t>Subtotal</w:t>
            </w: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34,923</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63,985</w:t>
            </w: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98,908</w:t>
            </w:r>
          </w:p>
        </w:tc>
        <w:tc>
          <w:tcPr>
            <w:tcW w:w="0" w:type="dxa"/>
            <w:vAlign w:val="bottom"/>
          </w:tcPr>
          <w:p>
            <w:pPr>
              <w:spacing w:after="0"/>
              <w:rPr>
                <w:sz w:val="1"/>
                <w:szCs w:val="1"/>
                <w:color w:val="auto"/>
              </w:rPr>
            </w:pPr>
          </w:p>
        </w:tc>
      </w:tr>
      <w:tr>
        <w:trPr>
          <w:trHeight w:val="174"/>
        </w:trPr>
        <w:tc>
          <w:tcPr>
            <w:tcW w:w="5200" w:type="dxa"/>
            <w:vAlign w:val="bottom"/>
          </w:tcPr>
          <w:p>
            <w:pPr>
              <w:ind w:left="20"/>
              <w:spacing w:after="0"/>
              <w:rPr>
                <w:sz w:val="20"/>
                <w:szCs w:val="20"/>
                <w:color w:val="auto"/>
              </w:rPr>
            </w:pPr>
            <w:r>
              <w:rPr>
                <w:rFonts w:ascii="Arial" w:cs="Arial" w:eastAsia="Arial" w:hAnsi="Arial"/>
                <w:sz w:val="14"/>
                <w:szCs w:val="14"/>
                <w:color w:val="auto"/>
              </w:rPr>
              <w:t>Less: Operating expenses (including partners’ share of management and</w:t>
            </w:r>
          </w:p>
        </w:tc>
        <w:tc>
          <w:tcPr>
            <w:tcW w:w="1120" w:type="dxa"/>
            <w:vAlign w:val="bottom"/>
          </w:tcPr>
          <w:p>
            <w:pPr>
              <w:spacing w:after="0"/>
              <w:rPr>
                <w:sz w:val="15"/>
                <w:szCs w:val="15"/>
                <w:color w:val="auto"/>
              </w:rPr>
            </w:pP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15,316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24,791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40,107</w:t>
            </w:r>
          </w:p>
        </w:tc>
        <w:tc>
          <w:tcPr>
            <w:tcW w:w="0" w:type="dxa"/>
            <w:vAlign w:val="bottom"/>
          </w:tcPr>
          <w:p>
            <w:pPr>
              <w:spacing w:after="0"/>
              <w:rPr>
                <w:sz w:val="1"/>
                <w:szCs w:val="1"/>
                <w:color w:val="auto"/>
              </w:rPr>
            </w:pPr>
          </w:p>
        </w:tc>
      </w:tr>
      <w:tr>
        <w:trPr>
          <w:trHeight w:val="190"/>
        </w:trPr>
        <w:tc>
          <w:tcPr>
            <w:tcW w:w="5200" w:type="dxa"/>
            <w:vAlign w:val="bottom"/>
          </w:tcPr>
          <w:p>
            <w:pPr>
              <w:ind w:left="440"/>
              <w:spacing w:after="0"/>
              <w:rPr>
                <w:sz w:val="20"/>
                <w:szCs w:val="20"/>
                <w:color w:val="auto"/>
              </w:rPr>
            </w:pPr>
            <w:r>
              <w:rPr>
                <w:rFonts w:ascii="Arial" w:cs="Arial" w:eastAsia="Arial" w:hAnsi="Arial"/>
                <w:sz w:val="14"/>
                <w:szCs w:val="14"/>
                <w:color w:val="auto"/>
              </w:rPr>
              <w:t>other fees)</w:t>
            </w:r>
          </w:p>
        </w:tc>
        <w:tc>
          <w:tcPr>
            <w:tcW w:w="11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200" w:type="dxa"/>
            <w:vAlign w:val="bottom"/>
          </w:tcPr>
          <w:p>
            <w:pPr>
              <w:ind w:left="440"/>
              <w:spacing w:after="0"/>
              <w:rPr>
                <w:sz w:val="20"/>
                <w:szCs w:val="20"/>
                <w:color w:val="auto"/>
              </w:rPr>
            </w:pPr>
            <w:r>
              <w:rPr>
                <w:rFonts w:ascii="Arial" w:cs="Arial" w:eastAsia="Arial" w:hAnsi="Arial"/>
                <w:sz w:val="14"/>
                <w:szCs w:val="14"/>
                <w:color w:val="auto"/>
              </w:rPr>
              <w:t>Income allocation to private REIT shareholders</w:t>
            </w:r>
          </w:p>
        </w:tc>
        <w:tc>
          <w:tcPr>
            <w:tcW w:w="1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5200" w:type="dxa"/>
            <w:vAlign w:val="bottom"/>
          </w:tcPr>
          <w:p>
            <w:pPr>
              <w:ind w:left="20"/>
              <w:spacing w:after="0" w:line="153" w:lineRule="exact"/>
              <w:rPr>
                <w:sz w:val="20"/>
                <w:szCs w:val="20"/>
                <w:color w:val="auto"/>
              </w:rPr>
            </w:pPr>
            <w:r>
              <w:rPr>
                <w:rFonts w:ascii="Arial" w:cs="Arial" w:eastAsia="Arial" w:hAnsi="Arial"/>
                <w:sz w:val="14"/>
                <w:szCs w:val="14"/>
                <w:color w:val="auto"/>
              </w:rPr>
              <w:t>NOI - cash (excluding termination income and after income allocation to</w:t>
            </w:r>
          </w:p>
        </w:tc>
        <w:tc>
          <w:tcPr>
            <w:tcW w:w="1120" w:type="dxa"/>
            <w:vAlign w:val="bottom"/>
            <w:vMerge w:val="restart"/>
          </w:tcPr>
          <w:p>
            <w:pPr>
              <w:jc w:val="right"/>
              <w:ind w:right="948"/>
              <w:spacing w:after="0"/>
              <w:rPr>
                <w:sz w:val="20"/>
                <w:szCs w:val="20"/>
                <w:color w:val="auto"/>
              </w:rPr>
            </w:pPr>
            <w:r>
              <w:rPr>
                <w:rFonts w:ascii="Arial" w:cs="Arial" w:eastAsia="Arial" w:hAnsi="Arial"/>
                <w:sz w:val="14"/>
                <w:szCs w:val="14"/>
                <w:color w:val="auto"/>
              </w:rPr>
              <w:t>$</w:t>
            </w:r>
          </w:p>
        </w:tc>
        <w:tc>
          <w:tcPr>
            <w:tcW w:w="2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3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19,607</w:t>
            </w:r>
          </w:p>
        </w:tc>
        <w:tc>
          <w:tcPr>
            <w:tcW w:w="20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39,194</w:t>
            </w:r>
          </w:p>
        </w:tc>
        <w:tc>
          <w:tcPr>
            <w:tcW w:w="1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color w:val="auto"/>
              </w:rPr>
              <w:t>58,801</w:t>
            </w:r>
          </w:p>
        </w:tc>
        <w:tc>
          <w:tcPr>
            <w:tcW w:w="0" w:type="dxa"/>
            <w:vAlign w:val="bottom"/>
          </w:tcPr>
          <w:p>
            <w:pPr>
              <w:spacing w:after="0"/>
              <w:rPr>
                <w:sz w:val="1"/>
                <w:szCs w:val="1"/>
                <w:color w:val="auto"/>
              </w:rPr>
            </w:pPr>
          </w:p>
        </w:tc>
      </w:tr>
      <w:tr>
        <w:trPr>
          <w:trHeight w:val="158"/>
        </w:trPr>
        <w:tc>
          <w:tcPr>
            <w:tcW w:w="5200" w:type="dxa"/>
            <w:vAlign w:val="bottom"/>
          </w:tcPr>
          <w:p>
            <w:pPr>
              <w:ind w:left="180"/>
              <w:spacing w:after="0" w:line="158" w:lineRule="exact"/>
              <w:rPr>
                <w:sz w:val="20"/>
                <w:szCs w:val="20"/>
                <w:color w:val="auto"/>
              </w:rPr>
            </w:pPr>
            <w:r>
              <w:rPr>
                <w:rFonts w:ascii="Arial" w:cs="Arial" w:eastAsia="Arial" w:hAnsi="Arial"/>
                <w:sz w:val="14"/>
                <w:szCs w:val="14"/>
                <w:color w:val="auto"/>
              </w:rPr>
              <w:t>private REIT shareholders)</w:t>
            </w:r>
          </w:p>
        </w:tc>
        <w:tc>
          <w:tcPr>
            <w:tcW w:w="11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5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Reconciliation of Partners’ share of Revenue </w:t>
            </w:r>
            <w:r>
              <w:rPr>
                <w:rFonts w:ascii="Arial" w:cs="Arial" w:eastAsia="Arial" w:hAnsi="Arial"/>
                <w:sz w:val="18"/>
                <w:szCs w:val="18"/>
                <w:b w:val="1"/>
                <w:bCs w:val="1"/>
                <w:color w:val="auto"/>
                <w:vertAlign w:val="superscript"/>
              </w:rPr>
              <w:t>5</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2"/>
        </w:trPr>
        <w:tc>
          <w:tcPr>
            <w:tcW w:w="520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200" w:type="dxa"/>
            <w:vAlign w:val="bottom"/>
          </w:tcPr>
          <w:p>
            <w:pPr>
              <w:ind w:left="20"/>
              <w:spacing w:after="0"/>
              <w:rPr>
                <w:sz w:val="20"/>
                <w:szCs w:val="20"/>
                <w:color w:val="auto"/>
              </w:rPr>
            </w:pPr>
            <w:r>
              <w:rPr>
                <w:rFonts w:ascii="Arial" w:cs="Arial" w:eastAsia="Arial" w:hAnsi="Arial"/>
                <w:sz w:val="14"/>
                <w:szCs w:val="14"/>
                <w:color w:val="auto"/>
              </w:rPr>
              <w:t xml:space="preserve">Rental revenue </w:t>
            </w:r>
            <w:r>
              <w:rPr>
                <w:rFonts w:ascii="Arial" w:cs="Arial" w:eastAsia="Arial" w:hAnsi="Arial"/>
                <w:sz w:val="18"/>
                <w:szCs w:val="18"/>
                <w:color w:val="auto"/>
                <w:vertAlign w:val="superscript"/>
              </w:rPr>
              <w:t>4</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35,246</w:t>
            </w:r>
          </w:p>
        </w:tc>
        <w:tc>
          <w:tcPr>
            <w:tcW w:w="200" w:type="dxa"/>
            <w:vAlign w:val="bottom"/>
          </w:tcPr>
          <w:p>
            <w:pPr>
              <w:spacing w:after="0"/>
              <w:rPr>
                <w:sz w:val="19"/>
                <w:szCs w:val="19"/>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68,526</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103,772</w:t>
            </w:r>
          </w:p>
        </w:tc>
        <w:tc>
          <w:tcPr>
            <w:tcW w:w="0" w:type="dxa"/>
            <w:vAlign w:val="bottom"/>
          </w:tcPr>
          <w:p>
            <w:pPr>
              <w:spacing w:after="0"/>
              <w:rPr>
                <w:sz w:val="1"/>
                <w:szCs w:val="1"/>
                <w:color w:val="auto"/>
              </w:rPr>
            </w:pPr>
          </w:p>
        </w:tc>
      </w:tr>
      <w:tr>
        <w:trPr>
          <w:trHeight w:val="194"/>
        </w:trPr>
        <w:tc>
          <w:tcPr>
            <w:tcW w:w="5200" w:type="dxa"/>
            <w:vAlign w:val="bottom"/>
          </w:tcPr>
          <w:p>
            <w:pPr>
              <w:ind w:left="20"/>
              <w:spacing w:after="0"/>
              <w:rPr>
                <w:sz w:val="20"/>
                <w:szCs w:val="20"/>
                <w:color w:val="auto"/>
              </w:rPr>
            </w:pPr>
            <w:r>
              <w:rPr>
                <w:rFonts w:ascii="Arial" w:cs="Arial" w:eastAsia="Arial" w:hAnsi="Arial"/>
                <w:sz w:val="14"/>
                <w:szCs w:val="14"/>
                <w:color w:val="auto"/>
              </w:rPr>
              <w:t>Add: Development and management services revenue</w:t>
            </w: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5200" w:type="dxa"/>
            <w:vAlign w:val="bottom"/>
          </w:tcPr>
          <w:p>
            <w:pPr>
              <w:ind w:left="20"/>
              <w:spacing w:after="0"/>
              <w:rPr>
                <w:sz w:val="20"/>
                <w:szCs w:val="20"/>
                <w:color w:val="auto"/>
              </w:rPr>
            </w:pPr>
            <w:r>
              <w:rPr>
                <w:rFonts w:ascii="Arial" w:cs="Arial" w:eastAsia="Arial" w:hAnsi="Arial"/>
                <w:sz w:val="14"/>
                <w:szCs w:val="14"/>
                <w:color w:val="auto"/>
              </w:rPr>
              <w:t>Revenue</w:t>
            </w:r>
          </w:p>
        </w:tc>
        <w:tc>
          <w:tcPr>
            <w:tcW w:w="1120" w:type="dxa"/>
            <w:vAlign w:val="bottom"/>
          </w:tcPr>
          <w:p>
            <w:pPr>
              <w:jc w:val="right"/>
              <w:ind w:right="948"/>
              <w:spacing w:after="0"/>
              <w:rPr>
                <w:sz w:val="20"/>
                <w:szCs w:val="20"/>
                <w:color w:val="auto"/>
              </w:rPr>
            </w:pPr>
            <w:r>
              <w:rPr>
                <w:rFonts w:ascii="Arial" w:cs="Arial" w:eastAsia="Arial" w:hAnsi="Arial"/>
                <w:sz w:val="14"/>
                <w:szCs w:val="14"/>
                <w:color w:val="auto"/>
              </w:rPr>
              <w:t>$</w:t>
            </w: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35,246</w:t>
            </w:r>
          </w:p>
        </w:tc>
        <w:tc>
          <w:tcPr>
            <w:tcW w:w="2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68,526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103,772</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color w:val="auto"/>
        </w:rPr>
        <w:t>_____________</w:t>
      </w:r>
    </w:p>
    <w:p>
      <w:pPr>
        <w:spacing w:after="0" w:line="8" w:lineRule="exact"/>
        <w:rPr>
          <w:sz w:val="20"/>
          <w:szCs w:val="20"/>
          <w:color w:val="auto"/>
        </w:rPr>
      </w:pPr>
    </w:p>
    <w:p>
      <w:pPr>
        <w:ind w:left="80" w:hanging="72"/>
        <w:spacing w:after="0"/>
        <w:tabs>
          <w:tab w:leader="none" w:pos="80" w:val="left"/>
        </w:tabs>
        <w:numPr>
          <w:ilvl w:val="0"/>
          <w:numId w:val="126"/>
        </w:numPr>
        <w:rPr>
          <w:rFonts w:ascii="Arial" w:cs="Arial" w:eastAsia="Arial" w:hAnsi="Arial"/>
          <w:sz w:val="19"/>
          <w:szCs w:val="19"/>
          <w:color w:val="auto"/>
          <w:vertAlign w:val="superscript"/>
        </w:rPr>
      </w:pPr>
      <w:r>
        <w:rPr>
          <w:rFonts w:ascii="Arial" w:cs="Arial" w:eastAsia="Arial" w:hAnsi="Arial"/>
          <w:sz w:val="14"/>
          <w:szCs w:val="14"/>
          <w:color w:val="auto"/>
        </w:rPr>
        <w:t>See the Acquisitions and Dispositions section of this Supplemental package on page 14.</w:t>
      </w:r>
    </w:p>
    <w:p>
      <w:pPr>
        <w:spacing w:after="0" w:line="31" w:lineRule="exact"/>
        <w:rPr>
          <w:sz w:val="20"/>
          <w:szCs w:val="20"/>
          <w:color w:val="auto"/>
        </w:rPr>
      </w:pPr>
    </w:p>
    <w:p>
      <w:pPr>
        <w:ind w:left="80" w:right="160" w:hanging="72"/>
        <w:spacing w:after="0" w:line="226" w:lineRule="auto"/>
        <w:tabs>
          <w:tab w:leader="none" w:pos="78" w:val="left"/>
        </w:tabs>
        <w:numPr>
          <w:ilvl w:val="0"/>
          <w:numId w:val="127"/>
        </w:numPr>
        <w:rPr>
          <w:rFonts w:ascii="Arial" w:cs="Arial" w:eastAsia="Arial" w:hAnsi="Arial"/>
          <w:sz w:val="18"/>
          <w:szCs w:val="18"/>
          <w:color w:val="auto"/>
          <w:vertAlign w:val="superscript"/>
        </w:rPr>
      </w:pPr>
      <w:r>
        <w:rPr>
          <w:rFonts w:ascii="Arial" w:cs="Arial" w:eastAsia="Arial" w:hAnsi="Arial"/>
          <w:sz w:val="14"/>
          <w:szCs w:val="14"/>
          <w:color w:val="auto"/>
        </w:rPr>
        <w:t>Norges Joint Ventures include 7 Times Square, 601 Lexington Avenue/One Five Nine East 53rd Street, 100 Federal Street, Atlantic Wharf Office, 300 Binney Street, and 290 Binney Street.</w:t>
      </w:r>
    </w:p>
    <w:p>
      <w:pPr>
        <w:ind w:left="80" w:hanging="72"/>
        <w:spacing w:after="0" w:line="237" w:lineRule="auto"/>
        <w:tabs>
          <w:tab w:leader="none" w:pos="80" w:val="left"/>
        </w:tabs>
        <w:numPr>
          <w:ilvl w:val="0"/>
          <w:numId w:val="128"/>
        </w:numPr>
        <w:rPr>
          <w:rFonts w:ascii="Arial" w:cs="Arial" w:eastAsia="Arial" w:hAnsi="Arial"/>
          <w:sz w:val="19"/>
          <w:szCs w:val="19"/>
          <w:color w:val="auto"/>
          <w:vertAlign w:val="superscript"/>
        </w:rPr>
      </w:pPr>
      <w:r>
        <w:rPr>
          <w:rFonts w:ascii="Arial" w:cs="Arial" w:eastAsia="Arial" w:hAnsi="Arial"/>
          <w:sz w:val="14"/>
          <w:szCs w:val="14"/>
          <w:color w:val="auto"/>
        </w:rPr>
        <w:t>Lease revenue includes recoveries and service income from clients.</w:t>
      </w:r>
    </w:p>
    <w:p>
      <w:pPr>
        <w:spacing w:after="0" w:line="27" w:lineRule="exact"/>
        <w:rPr>
          <w:sz w:val="20"/>
          <w:szCs w:val="20"/>
          <w:color w:val="auto"/>
        </w:rPr>
      </w:pPr>
    </w:p>
    <w:p>
      <w:pPr>
        <w:ind w:left="80" w:hanging="72"/>
        <w:spacing w:after="0"/>
        <w:tabs>
          <w:tab w:leader="none" w:pos="80" w:val="left"/>
        </w:tabs>
        <w:numPr>
          <w:ilvl w:val="0"/>
          <w:numId w:val="129"/>
        </w:numPr>
        <w:rPr>
          <w:rFonts w:ascii="Arial" w:cs="Arial" w:eastAsia="Arial" w:hAnsi="Arial"/>
          <w:sz w:val="9"/>
          <w:szCs w:val="9"/>
          <w:color w:val="auto"/>
        </w:rPr>
      </w:pPr>
      <w:r>
        <w:rPr>
          <w:rFonts w:ascii="Arial" w:cs="Arial" w:eastAsia="Arial" w:hAnsi="Arial"/>
          <w:sz w:val="14"/>
          <w:szCs w:val="14"/>
          <w:color w:val="auto"/>
        </w:rPr>
        <w:t>See the Definitions and Reconciliations sections of this Supplemental package starting on page 56.</w:t>
      </w:r>
    </w:p>
    <w:p>
      <w:pPr>
        <w:spacing w:after="0" w:line="38"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Amounts represent the partners’ share based on their respective ownership percentage.</w:t>
      </w:r>
    </w:p>
    <w:p>
      <w:pPr>
        <w:spacing w:after="0" w:line="11" w:lineRule="exact"/>
        <w:rPr>
          <w:rFonts w:ascii="Arial" w:cs="Arial" w:eastAsia="Arial" w:hAnsi="Arial"/>
          <w:sz w:val="9"/>
          <w:szCs w:val="9"/>
          <w:color w:val="auto"/>
        </w:rPr>
      </w:pPr>
    </w:p>
    <w:p>
      <w:pPr>
        <w:spacing w:after="0"/>
        <w:rPr>
          <w:rFonts w:ascii="Arial" w:cs="Arial" w:eastAsia="Arial" w:hAnsi="Arial"/>
          <w:sz w:val="9"/>
          <w:szCs w:val="9"/>
          <w:color w:val="auto"/>
        </w:rPr>
      </w:pPr>
      <w:r>
        <w:rPr>
          <w:rFonts w:ascii="Arial" w:cs="Arial" w:eastAsia="Arial" w:hAnsi="Arial"/>
          <w:sz w:val="18"/>
          <w:szCs w:val="18"/>
          <w:color w:val="auto"/>
          <w:vertAlign w:val="superscript"/>
        </w:rPr>
        <w:t>6</w:t>
      </w:r>
      <w:r>
        <w:rPr>
          <w:rFonts w:ascii="Arial" w:cs="Arial" w:eastAsia="Arial" w:hAnsi="Arial"/>
          <w:sz w:val="14"/>
          <w:szCs w:val="14"/>
          <w:color w:val="auto"/>
        </w:rPr>
        <w:t xml:space="preserve"> Capitalized fees are eliminated in consolidation and recognized over the life of the asset as depreciation and amortization are added back to the Company’s net income.</w:t>
      </w:r>
    </w:p>
    <w:p>
      <w:pPr>
        <w:spacing w:after="0" w:line="1" w:lineRule="exact"/>
        <w:rPr>
          <w:sz w:val="20"/>
          <w:szCs w:val="20"/>
          <w:color w:val="auto"/>
        </w:rPr>
      </w:pPr>
    </w:p>
    <w:p>
      <w:pPr>
        <w:ind w:left="80" w:right="120" w:hanging="72"/>
        <w:spacing w:after="0" w:line="226" w:lineRule="auto"/>
        <w:tabs>
          <w:tab w:leader="none" w:pos="78" w:val="left"/>
        </w:tabs>
        <w:numPr>
          <w:ilvl w:val="0"/>
          <w:numId w:val="130"/>
        </w:numPr>
        <w:rPr>
          <w:rFonts w:ascii="Arial" w:cs="Arial" w:eastAsia="Arial" w:hAnsi="Arial"/>
          <w:sz w:val="18"/>
          <w:szCs w:val="18"/>
          <w:color w:val="auto"/>
          <w:vertAlign w:val="superscript"/>
        </w:rPr>
      </w:pPr>
      <w:r>
        <w:rPr>
          <w:rFonts w:ascii="Arial" w:cs="Arial" w:eastAsia="Arial" w:hAnsi="Arial"/>
          <w:sz w:val="14"/>
          <w:szCs w:val="14"/>
          <w:color w:val="auto"/>
        </w:rPr>
        <w:t>Amounts represent the partners’ share based on their respective ownership percentages and are adjusted for basis differentials and the allocations of management and other fees and depreciation and amortization related to capitalized fees.</w:t>
      </w:r>
    </w:p>
    <w:p>
      <w:pPr>
        <w:sectPr>
          <w:pgSz w:w="11900" w:h="16838" w:orient="portrait"/>
          <w:cols w:equalWidth="0" w:num="1">
            <w:col w:w="11240"/>
          </w:cols>
          <w:pgMar w:left="320" w:top="279" w:right="339" w:bottom="1440" w:gutter="0" w:footer="0" w:header="0"/>
        </w:sectPr>
      </w:pPr>
    </w:p>
    <w:p>
      <w:pPr>
        <w:spacing w:after="0" w:line="377"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63</w:t>
      </w:r>
    </w:p>
    <w:p>
      <w:pPr>
        <w:sectPr>
          <w:pgSz w:w="11900" w:h="16838" w:orient="portrait"/>
          <w:cols w:equalWidth="0" w:num="1">
            <w:col w:w="11240"/>
          </w:cols>
          <w:pgMar w:left="320" w:top="279" w:right="339" w:bottom="1440" w:gutter="0" w:footer="0" w:header="0"/>
          <w:type w:val="continuous"/>
        </w:sectPr>
      </w:pPr>
    </w:p>
    <w:bookmarkStart w:id="71" w:name="page72"/>
    <w:bookmarkEnd w:id="71"/>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for the three months ended September 30, 2026</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(unaudited and in thousands)</w:t>
      </w: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UNCONSOLIDATED JOINT VENTURES </w:t>
      </w:r>
      <w:r>
        <w:rPr>
          <w:rFonts w:ascii="Arial" w:cs="Arial" w:eastAsia="Arial" w:hAnsi="Arial"/>
          <w:sz w:val="9"/>
          <w:szCs w:val="9"/>
          <w:b w:val="1"/>
          <w:bCs w:val="1"/>
          <w:i w:val="1"/>
          <w:i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08914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089140" cy="17145"/>
                    </a:xfrm>
                    <a:prstGeom prst="rect">
                      <a:avLst/>
                    </a:prstGeom>
                    <a:noFill/>
                  </pic:spPr>
                </pic:pic>
              </a:graphicData>
            </a:graphic>
          </wp:anchor>
        </w:drawing>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color w:val="auto"/>
              </w:rPr>
              <w:t>Washington,</w:t>
            </w:r>
          </w:p>
        </w:tc>
        <w:tc>
          <w:tcPr>
            <w:tcW w:w="120" w:type="dxa"/>
            <w:vAlign w:val="bottom"/>
          </w:tcPr>
          <w:p>
            <w:pPr>
              <w:spacing w:after="0"/>
              <w:rPr>
                <w:sz w:val="14"/>
                <w:szCs w:val="14"/>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4"/>
        </w:trPr>
        <w:tc>
          <w:tcPr>
            <w:tcW w:w="3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color w:val="auto"/>
              </w:rPr>
              <w:t>Boston</w:t>
            </w:r>
          </w:p>
        </w:tc>
        <w:tc>
          <w:tcPr>
            <w:tcW w:w="9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Los Angeles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108"/>
              <w:spacing w:after="0"/>
              <w:rPr>
                <w:sz w:val="20"/>
                <w:szCs w:val="20"/>
                <w:color w:val="auto"/>
              </w:rPr>
            </w:pPr>
            <w:r>
              <w:rPr>
                <w:rFonts w:ascii="Arial" w:cs="Arial" w:eastAsia="Arial" w:hAnsi="Arial"/>
                <w:sz w:val="14"/>
                <w:szCs w:val="14"/>
                <w:color w:val="auto"/>
              </w:rPr>
              <w:t>New York</w:t>
            </w:r>
          </w:p>
        </w:tc>
        <w:tc>
          <w:tcPr>
            <w:tcW w:w="18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color w:val="auto"/>
              </w:rPr>
              <w:t>San Francisco</w:t>
            </w:r>
          </w:p>
        </w:tc>
        <w:tc>
          <w:tcPr>
            <w:tcW w:w="18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color w:val="auto"/>
              </w:rPr>
              <w:t>Seattle</w:t>
            </w: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68"/>
              <w:spacing w:after="0" w:line="145" w:lineRule="exact"/>
              <w:rPr>
                <w:sz w:val="20"/>
                <w:szCs w:val="20"/>
                <w:color w:val="auto"/>
              </w:rPr>
            </w:pPr>
            <w:r>
              <w:rPr>
                <w:rFonts w:ascii="Arial" w:cs="Arial" w:eastAsia="Arial" w:hAnsi="Arial"/>
                <w:sz w:val="14"/>
                <w:szCs w:val="14"/>
                <w:color w:val="auto"/>
              </w:rPr>
              <w:t>Unconsolidated</w:t>
            </w: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8"/>
              </w:rPr>
              <w:t>DC</w:t>
            </w:r>
          </w:p>
        </w:tc>
        <w:tc>
          <w:tcPr>
            <w:tcW w:w="120" w:type="dxa"/>
            <w:vAlign w:val="bottom"/>
          </w:tcPr>
          <w:p>
            <w:pPr>
              <w:spacing w:after="0"/>
              <w:rPr>
                <w:sz w:val="16"/>
                <w:szCs w:val="16"/>
                <w:color w:val="auto"/>
              </w:rPr>
            </w:pPr>
          </w:p>
        </w:tc>
        <w:tc>
          <w:tcPr>
            <w:tcW w:w="1140" w:type="dxa"/>
            <w:vAlign w:val="bottom"/>
          </w:tcPr>
          <w:p>
            <w:pPr>
              <w:jc w:val="center"/>
              <w:ind w:right="68"/>
              <w:spacing w:after="0"/>
              <w:rPr>
                <w:sz w:val="20"/>
                <w:szCs w:val="20"/>
                <w:color w:val="auto"/>
              </w:rPr>
            </w:pPr>
            <w:r>
              <w:rPr>
                <w:rFonts w:ascii="Arial" w:cs="Arial" w:eastAsia="Arial" w:hAnsi="Arial"/>
                <w:sz w:val="14"/>
                <w:szCs w:val="14"/>
                <w:color w:val="auto"/>
              </w:rPr>
              <w:t>Joint Ventures</w:t>
            </w:r>
          </w:p>
        </w:tc>
        <w:tc>
          <w:tcPr>
            <w:tcW w:w="0" w:type="dxa"/>
            <w:vAlign w:val="bottom"/>
          </w:tcPr>
          <w:p>
            <w:pPr>
              <w:spacing w:after="0"/>
              <w:rPr>
                <w:sz w:val="1"/>
                <w:szCs w:val="1"/>
                <w:color w:val="auto"/>
              </w:rPr>
            </w:pPr>
          </w:p>
        </w:tc>
      </w:tr>
      <w:tr>
        <w:trPr>
          <w:trHeight w:val="194"/>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80" w:type="dxa"/>
            <w:vAlign w:val="bottom"/>
          </w:tcPr>
          <w:p>
            <w:pPr>
              <w:ind w:left="220"/>
              <w:spacing w:after="0"/>
              <w:rPr>
                <w:sz w:val="20"/>
                <w:szCs w:val="20"/>
                <w:color w:val="auto"/>
              </w:rPr>
            </w:pPr>
            <w:r>
              <w:rPr>
                <w:rFonts w:ascii="Arial" w:cs="Arial" w:eastAsia="Arial" w:hAnsi="Arial"/>
                <w:sz w:val="14"/>
                <w:szCs w:val="14"/>
                <w:color w:val="auto"/>
              </w:rPr>
              <w:t xml:space="preserve">Lease </w:t>
            </w:r>
            <w:r>
              <w:rPr>
                <w:rFonts w:ascii="Arial" w:cs="Arial" w:eastAsia="Arial" w:hAnsi="Arial"/>
                <w:sz w:val="18"/>
                <w:szCs w:val="18"/>
                <w:color w:val="auto"/>
                <w:vertAlign w:val="superscript"/>
              </w:rPr>
              <w:t>2</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28,813</w:t>
            </w:r>
          </w:p>
        </w:tc>
        <w:tc>
          <w:tcPr>
            <w:tcW w:w="14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20,828</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13,499</w:t>
            </w:r>
          </w:p>
        </w:tc>
        <w:tc>
          <w:tcPr>
            <w:tcW w:w="18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7,479</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9,445</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80,064</w:t>
            </w:r>
          </w:p>
        </w:tc>
        <w:tc>
          <w:tcPr>
            <w:tcW w:w="0" w:type="dxa"/>
            <w:vAlign w:val="bottom"/>
          </w:tcPr>
          <w:p>
            <w:pPr>
              <w:spacing w:after="0"/>
              <w:rPr>
                <w:sz w:val="1"/>
                <w:szCs w:val="1"/>
                <w:color w:val="auto"/>
              </w:rPr>
            </w:pPr>
          </w:p>
        </w:tc>
      </w:tr>
      <w:tr>
        <w:trPr>
          <w:trHeight w:val="190"/>
        </w:trPr>
        <w:tc>
          <w:tcPr>
            <w:tcW w:w="3180" w:type="dxa"/>
            <w:vAlign w:val="bottom"/>
          </w:tcPr>
          <w:p>
            <w:pPr>
              <w:ind w:left="220"/>
              <w:spacing w:after="0"/>
              <w:rPr>
                <w:sz w:val="20"/>
                <w:szCs w:val="20"/>
                <w:color w:val="auto"/>
              </w:rPr>
            </w:pPr>
            <w:r>
              <w:rPr>
                <w:rFonts w:ascii="Arial" w:cs="Arial" w:eastAsia="Arial" w:hAnsi="Arial"/>
                <w:sz w:val="14"/>
                <w:szCs w:val="14"/>
                <w:color w:val="auto"/>
              </w:rPr>
              <w:t>Straight-line rent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(935)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11,027</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10,091</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4"/>
                <w:szCs w:val="14"/>
                <w:color w:val="auto"/>
              </w:rPr>
              <w:t>Fair value lease revenue</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329</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1,387</w:t>
            </w:r>
          </w:p>
        </w:tc>
        <w:tc>
          <w:tcPr>
            <w:tcW w:w="0" w:type="dxa"/>
            <w:vAlign w:val="bottom"/>
          </w:tcPr>
          <w:p>
            <w:pPr>
              <w:spacing w:after="0"/>
              <w:rPr>
                <w:sz w:val="1"/>
                <w:szCs w:val="1"/>
                <w:color w:val="auto"/>
              </w:rPr>
            </w:pPr>
          </w:p>
        </w:tc>
      </w:tr>
      <w:tr>
        <w:trPr>
          <w:trHeight w:val="216"/>
        </w:trPr>
        <w:tc>
          <w:tcPr>
            <w:tcW w:w="3180" w:type="dxa"/>
            <w:vAlign w:val="bottom"/>
          </w:tcPr>
          <w:p>
            <w:pPr>
              <w:ind w:left="220"/>
              <w:spacing w:after="0"/>
              <w:rPr>
                <w:sz w:val="20"/>
                <w:szCs w:val="20"/>
                <w:color w:val="auto"/>
              </w:rPr>
            </w:pPr>
            <w:r>
              <w:rPr>
                <w:rFonts w:ascii="Arial" w:cs="Arial" w:eastAsia="Arial" w:hAnsi="Arial"/>
                <w:sz w:val="14"/>
                <w:szCs w:val="14"/>
                <w:color w:val="auto"/>
              </w:rPr>
              <w:t>Termination income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4,574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2,520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7,040</w:t>
            </w:r>
          </w:p>
        </w:tc>
        <w:tc>
          <w:tcPr>
            <w:tcW w:w="0" w:type="dxa"/>
            <w:vAlign w:val="bottom"/>
          </w:tcPr>
          <w:p>
            <w:pPr>
              <w:spacing w:after="0"/>
              <w:rPr>
                <w:sz w:val="1"/>
                <w:szCs w:val="1"/>
                <w:color w:val="auto"/>
              </w:rPr>
            </w:pPr>
          </w:p>
        </w:tc>
      </w:tr>
      <w:tr>
        <w:trPr>
          <w:trHeight w:val="174"/>
        </w:trPr>
        <w:tc>
          <w:tcPr>
            <w:tcW w:w="3180" w:type="dxa"/>
            <w:vAlign w:val="bottom"/>
          </w:tcPr>
          <w:p>
            <w:pPr>
              <w:ind w:left="240"/>
              <w:spacing w:after="0"/>
              <w:rPr>
                <w:sz w:val="20"/>
                <w:szCs w:val="20"/>
                <w:color w:val="auto"/>
              </w:rPr>
            </w:pPr>
            <w:r>
              <w:rPr>
                <w:rFonts w:ascii="Arial" w:cs="Arial" w:eastAsia="Arial" w:hAnsi="Arial"/>
                <w:sz w:val="14"/>
                <w:szCs w:val="14"/>
                <w:color w:val="auto"/>
              </w:rPr>
              <w:t>Amortization and accretion related to sales-</w:t>
            </w: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5"/>
        </w:trPr>
        <w:tc>
          <w:tcPr>
            <w:tcW w:w="3180" w:type="dxa"/>
            <w:vAlign w:val="bottom"/>
          </w:tcPr>
          <w:p>
            <w:pPr>
              <w:ind w:left="400"/>
              <w:spacing w:after="0"/>
              <w:rPr>
                <w:sz w:val="20"/>
                <w:szCs w:val="20"/>
                <w:color w:val="auto"/>
              </w:rPr>
            </w:pPr>
            <w:r>
              <w:rPr>
                <w:rFonts w:ascii="Arial" w:cs="Arial" w:eastAsia="Arial" w:hAnsi="Arial"/>
                <w:sz w:val="14"/>
                <w:szCs w:val="14"/>
                <w:color w:val="auto"/>
              </w:rPr>
              <w:t>type lease</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180" w:type="dxa"/>
            <w:vAlign w:val="bottom"/>
          </w:tcPr>
          <w:p>
            <w:pPr>
              <w:ind w:left="560"/>
              <w:spacing w:after="0"/>
              <w:rPr>
                <w:sz w:val="20"/>
                <w:szCs w:val="20"/>
                <w:color w:val="auto"/>
              </w:rPr>
            </w:pPr>
            <w:r>
              <w:rPr>
                <w:rFonts w:ascii="Arial" w:cs="Arial" w:eastAsia="Arial" w:hAnsi="Arial"/>
                <w:sz w:val="14"/>
                <w:szCs w:val="14"/>
                <w:color w:val="auto"/>
              </w:rPr>
              <w:t>Total lease revenue</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33,323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19,953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27,375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8,493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9,496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98,640</w:t>
            </w:r>
          </w:p>
        </w:tc>
        <w:tc>
          <w:tcPr>
            <w:tcW w:w="0" w:type="dxa"/>
            <w:vAlign w:val="bottom"/>
          </w:tcPr>
          <w:p>
            <w:pPr>
              <w:spacing w:after="0"/>
              <w:rPr>
                <w:sz w:val="1"/>
                <w:szCs w:val="1"/>
                <w:color w:val="auto"/>
              </w:rPr>
            </w:pPr>
          </w:p>
        </w:tc>
      </w:tr>
      <w:tr>
        <w:trPr>
          <w:trHeight w:val="218"/>
        </w:trPr>
        <w:tc>
          <w:tcPr>
            <w:tcW w:w="3180" w:type="dxa"/>
            <w:vAlign w:val="bottom"/>
          </w:tcPr>
          <w:p>
            <w:pPr>
              <w:ind w:left="220"/>
              <w:spacing w:after="0"/>
              <w:rPr>
                <w:sz w:val="20"/>
                <w:szCs w:val="20"/>
                <w:color w:val="auto"/>
              </w:rPr>
            </w:pPr>
            <w:r>
              <w:rPr>
                <w:rFonts w:ascii="Arial" w:cs="Arial" w:eastAsia="Arial" w:hAnsi="Arial"/>
                <w:sz w:val="14"/>
                <w:szCs w:val="14"/>
                <w:color w:val="auto"/>
              </w:rPr>
              <w:t>Parking and other</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1,048</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3,913</w:t>
            </w:r>
          </w:p>
        </w:tc>
        <w:tc>
          <w:tcPr>
            <w:tcW w:w="0" w:type="dxa"/>
            <w:vAlign w:val="bottom"/>
          </w:tcPr>
          <w:p>
            <w:pPr>
              <w:spacing w:after="0"/>
              <w:rPr>
                <w:sz w:val="1"/>
                <w:szCs w:val="1"/>
                <w:color w:val="auto"/>
              </w:rPr>
            </w:pPr>
          </w:p>
        </w:tc>
      </w:tr>
      <w:tr>
        <w:trPr>
          <w:trHeight w:val="234"/>
        </w:trPr>
        <w:tc>
          <w:tcPr>
            <w:tcW w:w="3180" w:type="dxa"/>
            <w:vAlign w:val="bottom"/>
          </w:tcPr>
          <w:p>
            <w:pPr>
              <w:ind w:left="560"/>
              <w:spacing w:after="0"/>
              <w:rPr>
                <w:sz w:val="20"/>
                <w:szCs w:val="20"/>
                <w:color w:val="auto"/>
              </w:rPr>
            </w:pPr>
            <w:r>
              <w:rPr>
                <w:rFonts w:ascii="Arial" w:cs="Arial" w:eastAsia="Arial" w:hAnsi="Arial"/>
                <w:sz w:val="14"/>
                <w:szCs w:val="14"/>
                <w:color w:val="auto"/>
              </w:rPr>
              <w:t xml:space="preserve">Total rental revenue </w:t>
            </w:r>
            <w:r>
              <w:rPr>
                <w:rFonts w:ascii="Arial" w:cs="Arial" w:eastAsia="Arial" w:hAnsi="Arial"/>
                <w:sz w:val="18"/>
                <w:szCs w:val="18"/>
                <w:color w:val="auto"/>
                <w:vertAlign w:val="superscript"/>
              </w:rPr>
              <w:t>3</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33,326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22,146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27,424</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9,113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10,544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102,553</w:t>
            </w:r>
          </w:p>
        </w:tc>
        <w:tc>
          <w:tcPr>
            <w:tcW w:w="0" w:type="dxa"/>
            <w:vAlign w:val="bottom"/>
          </w:tcPr>
          <w:p>
            <w:pPr>
              <w:spacing w:after="0"/>
              <w:rPr>
                <w:sz w:val="1"/>
                <w:szCs w:val="1"/>
                <w:color w:val="auto"/>
              </w:rPr>
            </w:pPr>
          </w:p>
        </w:tc>
      </w:tr>
      <w:tr>
        <w:trPr>
          <w:trHeight w:val="196"/>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4</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180" w:type="dxa"/>
            <w:vAlign w:val="bottom"/>
          </w:tcPr>
          <w:p>
            <w:pPr>
              <w:ind w:left="220"/>
              <w:spacing w:after="0"/>
              <w:rPr>
                <w:sz w:val="20"/>
                <w:szCs w:val="20"/>
                <w:color w:val="auto"/>
              </w:rPr>
            </w:pPr>
            <w:r>
              <w:rPr>
                <w:rFonts w:ascii="Arial" w:cs="Arial" w:eastAsia="Arial" w:hAnsi="Arial"/>
                <w:sz w:val="14"/>
                <w:szCs w:val="14"/>
                <w:color w:val="auto"/>
              </w:rPr>
              <w:t>Operating</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10,951</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8,217</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18,190</w:t>
            </w:r>
          </w:p>
        </w:tc>
        <w:tc>
          <w:tcPr>
            <w:tcW w:w="18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3,392</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5,705</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47,466</w:t>
            </w:r>
          </w:p>
        </w:tc>
        <w:tc>
          <w:tcPr>
            <w:tcW w:w="0" w:type="dxa"/>
            <w:vAlign w:val="bottom"/>
          </w:tcPr>
          <w:p>
            <w:pPr>
              <w:spacing w:after="0"/>
              <w:rPr>
                <w:sz w:val="1"/>
                <w:szCs w:val="1"/>
                <w:color w:val="auto"/>
              </w:rPr>
            </w:pPr>
          </w:p>
        </w:tc>
      </w:tr>
      <w:tr>
        <w:trPr>
          <w:trHeight w:val="212"/>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Net operating income (loss)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22,375</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13,929</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9,234</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55,087</w:t>
            </w:r>
          </w:p>
        </w:tc>
        <w:tc>
          <w:tcPr>
            <w:tcW w:w="0" w:type="dxa"/>
            <w:vAlign w:val="bottom"/>
          </w:tcPr>
          <w:p>
            <w:pPr>
              <w:spacing w:after="0"/>
              <w:rPr>
                <w:sz w:val="1"/>
                <w:szCs w:val="1"/>
                <w:color w:val="auto"/>
              </w:rPr>
            </w:pPr>
          </w:p>
        </w:tc>
      </w:tr>
      <w:tr>
        <w:trPr>
          <w:trHeight w:val="412"/>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180" w:type="dxa"/>
            <w:vAlign w:val="bottom"/>
          </w:tcPr>
          <w:p>
            <w:pPr>
              <w:ind w:left="220"/>
              <w:spacing w:after="0"/>
              <w:rPr>
                <w:sz w:val="20"/>
                <w:szCs w:val="20"/>
                <w:color w:val="auto"/>
              </w:rPr>
            </w:pPr>
            <w:r>
              <w:rPr>
                <w:rFonts w:ascii="Arial" w:cs="Arial" w:eastAsia="Arial" w:hAnsi="Arial"/>
                <w:sz w:val="14"/>
                <w:szCs w:val="14"/>
                <w:color w:val="auto"/>
              </w:rPr>
              <w:t>Development and management services</w:t>
            </w:r>
          </w:p>
        </w:tc>
        <w:tc>
          <w:tcPr>
            <w:tcW w:w="180" w:type="dxa"/>
            <w:vAlign w:val="bottom"/>
          </w:tcPr>
          <w:p>
            <w:pPr>
              <w:spacing w:after="0"/>
              <w:rPr>
                <w:sz w:val="14"/>
                <w:szCs w:val="14"/>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363</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90"/>
        </w:trPr>
        <w:tc>
          <w:tcPr>
            <w:tcW w:w="3180" w:type="dxa"/>
            <w:vAlign w:val="bottom"/>
          </w:tcPr>
          <w:p>
            <w:pPr>
              <w:ind w:left="440"/>
              <w:spacing w:after="0"/>
              <w:rPr>
                <w:sz w:val="20"/>
                <w:szCs w:val="20"/>
                <w:color w:val="auto"/>
              </w:rPr>
            </w:pPr>
            <w:r>
              <w:rPr>
                <w:rFonts w:ascii="Arial" w:cs="Arial" w:eastAsia="Arial" w:hAnsi="Arial"/>
                <w:sz w:val="14"/>
                <w:szCs w:val="14"/>
                <w:color w:val="auto"/>
              </w:rPr>
              <w:t>revenue</w:t>
            </w:r>
          </w:p>
        </w:tc>
        <w:tc>
          <w:tcPr>
            <w:tcW w:w="1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240"/>
              <w:spacing w:after="0"/>
              <w:rPr>
                <w:sz w:val="20"/>
                <w:szCs w:val="20"/>
                <w:color w:val="auto"/>
              </w:rPr>
            </w:pPr>
            <w:r>
              <w:rPr>
                <w:rFonts w:ascii="Arial" w:cs="Arial" w:eastAsia="Arial" w:hAnsi="Arial"/>
                <w:sz w:val="14"/>
                <w:szCs w:val="14"/>
                <w:color w:val="auto"/>
              </w:rPr>
              <w:t>Interest and other income</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639</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976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2,206</w:t>
            </w:r>
          </w:p>
        </w:tc>
        <w:tc>
          <w:tcPr>
            <w:tcW w:w="0" w:type="dxa"/>
            <w:vAlign w:val="bottom"/>
          </w:tcPr>
          <w:p>
            <w:pPr>
              <w:spacing w:after="0"/>
              <w:rPr>
                <w:sz w:val="1"/>
                <w:szCs w:val="1"/>
                <w:color w:val="auto"/>
              </w:rPr>
            </w:pPr>
          </w:p>
        </w:tc>
      </w:tr>
      <w:tr>
        <w:trPr>
          <w:trHeight w:val="216"/>
        </w:trPr>
        <w:tc>
          <w:tcPr>
            <w:tcW w:w="3180" w:type="dxa"/>
            <w:vAlign w:val="bottom"/>
          </w:tcPr>
          <w:p>
            <w:pPr>
              <w:ind w:left="240"/>
              <w:spacing w:after="0"/>
              <w:rPr>
                <w:sz w:val="20"/>
                <w:szCs w:val="20"/>
                <w:color w:val="auto"/>
              </w:rPr>
            </w:pPr>
            <w:r>
              <w:rPr>
                <w:rFonts w:ascii="Arial" w:cs="Arial" w:eastAsia="Arial" w:hAnsi="Arial"/>
                <w:sz w:val="14"/>
                <w:szCs w:val="14"/>
                <w:color w:val="auto"/>
              </w:rPr>
              <w:t>Interest expense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(9,488)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(5,052)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(14,850)</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(35,990)</w:t>
            </w:r>
          </w:p>
        </w:tc>
        <w:tc>
          <w:tcPr>
            <w:tcW w:w="0" w:type="dxa"/>
            <w:vAlign w:val="bottom"/>
          </w:tcPr>
          <w:p>
            <w:pPr>
              <w:spacing w:after="0"/>
              <w:rPr>
                <w:sz w:val="1"/>
                <w:szCs w:val="1"/>
                <w:color w:val="auto"/>
              </w:rPr>
            </w:pPr>
          </w:p>
        </w:tc>
      </w:tr>
      <w:tr>
        <w:trPr>
          <w:trHeight w:val="216"/>
        </w:trPr>
        <w:tc>
          <w:tcPr>
            <w:tcW w:w="3180" w:type="dxa"/>
            <w:vAlign w:val="bottom"/>
          </w:tcPr>
          <w:p>
            <w:pPr>
              <w:ind w:left="240"/>
              <w:spacing w:after="0"/>
              <w:rPr>
                <w:sz w:val="20"/>
                <w:szCs w:val="20"/>
                <w:color w:val="auto"/>
              </w:rPr>
            </w:pPr>
            <w:r>
              <w:rPr>
                <w:rFonts w:ascii="Arial" w:cs="Arial" w:eastAsia="Arial" w:hAnsi="Arial"/>
                <w:sz w:val="14"/>
                <w:szCs w:val="14"/>
                <w:color w:val="auto"/>
              </w:rPr>
              <w:t>Transaction costs</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16"/>
        </w:trPr>
        <w:tc>
          <w:tcPr>
            <w:tcW w:w="3180" w:type="dxa"/>
            <w:vAlign w:val="bottom"/>
          </w:tcPr>
          <w:p>
            <w:pPr>
              <w:ind w:left="240"/>
              <w:spacing w:after="0"/>
              <w:rPr>
                <w:sz w:val="20"/>
                <w:szCs w:val="20"/>
                <w:color w:val="auto"/>
              </w:rPr>
            </w:pPr>
            <w:r>
              <w:rPr>
                <w:rFonts w:ascii="Arial" w:cs="Arial" w:eastAsia="Arial" w:hAnsi="Arial"/>
                <w:sz w:val="14"/>
                <w:szCs w:val="14"/>
                <w:color w:val="auto"/>
              </w:rPr>
              <w:t>Depreciation and amortization expense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(8,734)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(10,984)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(29,589)</w:t>
            </w:r>
          </w:p>
        </w:tc>
        <w:tc>
          <w:tcPr>
            <w:tcW w:w="0" w:type="dxa"/>
            <w:vAlign w:val="bottom"/>
          </w:tcPr>
          <w:p>
            <w:pPr>
              <w:spacing w:after="0"/>
              <w:rPr>
                <w:sz w:val="1"/>
                <w:szCs w:val="1"/>
                <w:color w:val="auto"/>
              </w:rPr>
            </w:pPr>
          </w:p>
        </w:tc>
      </w:tr>
      <w:tr>
        <w:trPr>
          <w:trHeight w:val="220"/>
        </w:trPr>
        <w:tc>
          <w:tcPr>
            <w:tcW w:w="3180" w:type="dxa"/>
            <w:vAlign w:val="bottom"/>
          </w:tcPr>
          <w:p>
            <w:pPr>
              <w:ind w:left="240"/>
              <w:spacing w:after="0"/>
              <w:rPr>
                <w:sz w:val="20"/>
                <w:szCs w:val="20"/>
                <w:color w:val="auto"/>
              </w:rPr>
            </w:pPr>
            <w:r>
              <w:rPr>
                <w:rFonts w:ascii="Arial" w:cs="Arial" w:eastAsia="Arial" w:hAnsi="Arial"/>
                <w:sz w:val="14"/>
                <w:szCs w:val="14"/>
                <w:color w:val="auto"/>
              </w:rPr>
              <w:t>General and administrative expense</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10"/>
        </w:trPr>
        <w:tc>
          <w:tcPr>
            <w:tcW w:w="3180" w:type="dxa"/>
            <w:vAlign w:val="bottom"/>
          </w:tcPr>
          <w:p>
            <w:pPr>
              <w:ind w:left="560"/>
              <w:spacing w:after="0"/>
              <w:rPr>
                <w:sz w:val="20"/>
                <w:szCs w:val="20"/>
                <w:color w:val="auto"/>
              </w:rPr>
            </w:pPr>
            <w:r>
              <w:rPr>
                <w:rFonts w:ascii="Arial" w:cs="Arial" w:eastAsia="Arial" w:hAnsi="Arial"/>
                <w:sz w:val="14"/>
                <w:szCs w:val="14"/>
                <w:color w:val="auto"/>
              </w:rPr>
              <w:t>Total other income (expense)</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(17,843)</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(9,474)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(24,540)</w:t>
            </w:r>
          </w:p>
        </w:tc>
        <w:tc>
          <w:tcPr>
            <w:tcW w:w="1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(4,192)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(7,327)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(63,382)</w:t>
            </w:r>
          </w:p>
        </w:tc>
        <w:tc>
          <w:tcPr>
            <w:tcW w:w="0" w:type="dxa"/>
            <w:vAlign w:val="bottom"/>
          </w:tcPr>
          <w:p>
            <w:pPr>
              <w:spacing w:after="0"/>
              <w:rPr>
                <w:sz w:val="1"/>
                <w:szCs w:val="1"/>
                <w:color w:val="auto"/>
              </w:rPr>
            </w:pPr>
          </w:p>
        </w:tc>
      </w:tr>
      <w:tr>
        <w:trPr>
          <w:trHeight w:val="213"/>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4,532</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4,455</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(15,306)</w:t>
            </w:r>
          </w:p>
        </w:tc>
        <w:tc>
          <w:tcPr>
            <w:tcW w:w="18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(1,017)</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1,529</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(2,488)</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(8,295)</w:t>
            </w:r>
          </w:p>
        </w:tc>
        <w:tc>
          <w:tcPr>
            <w:tcW w:w="0" w:type="dxa"/>
            <w:vAlign w:val="bottom"/>
          </w:tcPr>
          <w:p>
            <w:pPr>
              <w:spacing w:after="0"/>
              <w:rPr>
                <w:sz w:val="1"/>
                <w:szCs w:val="1"/>
                <w:color w:val="auto"/>
              </w:rPr>
            </w:pPr>
          </w:p>
        </w:tc>
      </w:tr>
      <w:tr>
        <w:trPr>
          <w:trHeight w:val="21"/>
        </w:trPr>
        <w:tc>
          <w:tcPr>
            <w:tcW w:w="3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BXP’s share of select items:</w:t>
            </w: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6"/>
        </w:trPr>
        <w:tc>
          <w:tcPr>
            <w:tcW w:w="31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80" w:type="dxa"/>
            <w:vAlign w:val="bottom"/>
          </w:tcPr>
          <w:p>
            <w:pPr>
              <w:ind w:left="20"/>
              <w:spacing w:after="0"/>
              <w:rPr>
                <w:sz w:val="20"/>
                <w:szCs w:val="20"/>
                <w:color w:val="auto"/>
              </w:rPr>
            </w:pPr>
            <w:r>
              <w:rPr>
                <w:rFonts w:ascii="Arial" w:cs="Arial" w:eastAsia="Arial" w:hAnsi="Arial"/>
                <w:sz w:val="14"/>
                <w:szCs w:val="14"/>
                <w:color w:val="auto"/>
              </w:rPr>
              <w:t>BXP’s share of amortization of financing costs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240</w:t>
            </w:r>
          </w:p>
        </w:tc>
        <w:tc>
          <w:tcPr>
            <w:tcW w:w="18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53"/>
        </w:trPr>
        <w:tc>
          <w:tcPr>
            <w:tcW w:w="3180" w:type="dxa"/>
            <w:vAlign w:val="bottom"/>
          </w:tcPr>
          <w:p>
            <w:pPr>
              <w:ind w:left="20"/>
              <w:spacing w:after="0" w:line="153" w:lineRule="exact"/>
              <w:rPr>
                <w:sz w:val="20"/>
                <w:szCs w:val="20"/>
                <w:color w:val="auto"/>
              </w:rPr>
            </w:pPr>
            <w:r>
              <w:rPr>
                <w:rFonts w:ascii="Arial" w:cs="Arial" w:eastAsia="Arial" w:hAnsi="Arial"/>
                <w:sz w:val="14"/>
                <w:szCs w:val="14"/>
                <w:color w:val="auto"/>
              </w:rPr>
              <w:t>BXP’s share of hedge amortization, net of</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2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6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0"/>
        </w:trPr>
        <w:tc>
          <w:tcPr>
            <w:tcW w:w="3180" w:type="dxa"/>
            <w:vAlign w:val="bottom"/>
          </w:tcPr>
          <w:p>
            <w:pPr>
              <w:ind w:left="180"/>
              <w:spacing w:after="0"/>
              <w:rPr>
                <w:sz w:val="20"/>
                <w:szCs w:val="20"/>
                <w:color w:val="auto"/>
              </w:rPr>
            </w:pPr>
            <w:r>
              <w:rPr>
                <w:rFonts w:ascii="Arial" w:cs="Arial" w:eastAsia="Arial" w:hAnsi="Arial"/>
                <w:sz w:val="14"/>
                <w:szCs w:val="14"/>
                <w:color w:val="auto"/>
              </w:rPr>
              <w:t>costs</w:t>
            </w: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180" w:type="dxa"/>
            <w:vAlign w:val="bottom"/>
          </w:tcPr>
          <w:p>
            <w:pPr>
              <w:ind w:left="20"/>
              <w:spacing w:after="0"/>
              <w:rPr>
                <w:sz w:val="20"/>
                <w:szCs w:val="20"/>
                <w:color w:val="auto"/>
              </w:rPr>
            </w:pPr>
            <w:r>
              <w:rPr>
                <w:rFonts w:ascii="Arial" w:cs="Arial" w:eastAsia="Arial" w:hAnsi="Arial"/>
                <w:sz w:val="14"/>
                <w:szCs w:val="14"/>
                <w:color w:val="auto"/>
              </w:rPr>
              <w:t>BXP’s share of fair value interest adjustment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260</w:t>
            </w:r>
          </w:p>
        </w:tc>
        <w:tc>
          <w:tcPr>
            <w:tcW w:w="18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207"/>
        </w:trPr>
        <w:tc>
          <w:tcPr>
            <w:tcW w:w="3180" w:type="dxa"/>
            <w:vAlign w:val="bottom"/>
          </w:tcPr>
          <w:p>
            <w:pPr>
              <w:ind w:left="20"/>
              <w:spacing w:after="0"/>
              <w:rPr>
                <w:sz w:val="20"/>
                <w:szCs w:val="20"/>
                <w:color w:val="auto"/>
              </w:rPr>
            </w:pPr>
            <w:r>
              <w:rPr>
                <w:rFonts w:ascii="Arial" w:cs="Arial" w:eastAsia="Arial" w:hAnsi="Arial"/>
                <w:sz w:val="14"/>
                <w:szCs w:val="14"/>
                <w:color w:val="auto"/>
              </w:rPr>
              <w:t>BXP’s share of capitalized interest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w:t>
            </w:r>
          </w:p>
        </w:tc>
        <w:tc>
          <w:tcPr>
            <w:tcW w:w="180" w:type="dxa"/>
            <w:vAlign w:val="bottom"/>
          </w:tcPr>
          <w:p>
            <w:pPr>
              <w:spacing w:after="0"/>
              <w:rPr>
                <w:sz w:val="18"/>
                <w:szCs w:val="18"/>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53"/>
        </w:trPr>
        <w:tc>
          <w:tcPr>
            <w:tcW w:w="3180" w:type="dxa"/>
            <w:vAlign w:val="bottom"/>
          </w:tcPr>
          <w:p>
            <w:pPr>
              <w:ind w:left="20"/>
              <w:spacing w:after="0" w:line="153" w:lineRule="exact"/>
              <w:rPr>
                <w:sz w:val="20"/>
                <w:szCs w:val="20"/>
                <w:color w:val="auto"/>
              </w:rPr>
            </w:pPr>
            <w:r>
              <w:rPr>
                <w:rFonts w:ascii="Arial" w:cs="Arial" w:eastAsia="Arial" w:hAnsi="Arial"/>
                <w:sz w:val="14"/>
                <w:szCs w:val="14"/>
                <w:color w:val="auto"/>
              </w:rPr>
              <w:t>BXP’s share of non-cash termination income</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(3,601)</w:t>
            </w:r>
          </w:p>
        </w:tc>
        <w:tc>
          <w:tcPr>
            <w:tcW w:w="14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(155)</w:t>
            </w:r>
          </w:p>
        </w:tc>
        <w:tc>
          <w:tcPr>
            <w:tcW w:w="180" w:type="dxa"/>
            <w:vAlign w:val="bottom"/>
          </w:tcPr>
          <w:p>
            <w:pPr>
              <w:spacing w:after="0"/>
              <w:rPr>
                <w:sz w:val="13"/>
                <w:szCs w:val="13"/>
                <w:color w:val="auto"/>
              </w:rPr>
            </w:pPr>
          </w:p>
        </w:tc>
        <w:tc>
          <w:tcPr>
            <w:tcW w:w="2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(3,772)</w:t>
            </w:r>
          </w:p>
        </w:tc>
        <w:tc>
          <w:tcPr>
            <w:tcW w:w="0" w:type="dxa"/>
            <w:vAlign w:val="bottom"/>
          </w:tcPr>
          <w:p>
            <w:pPr>
              <w:spacing w:after="0"/>
              <w:rPr>
                <w:sz w:val="1"/>
                <w:szCs w:val="1"/>
                <w:color w:val="auto"/>
              </w:rPr>
            </w:pPr>
          </w:p>
        </w:tc>
      </w:tr>
      <w:tr>
        <w:trPr>
          <w:trHeight w:val="185"/>
        </w:trPr>
        <w:tc>
          <w:tcPr>
            <w:tcW w:w="3180" w:type="dxa"/>
            <w:vAlign w:val="bottom"/>
          </w:tcPr>
          <w:p>
            <w:pPr>
              <w:ind w:left="180"/>
              <w:spacing w:after="0"/>
              <w:rPr>
                <w:sz w:val="20"/>
                <w:szCs w:val="20"/>
                <w:color w:val="auto"/>
              </w:rPr>
            </w:pPr>
            <w:r>
              <w:rPr>
                <w:rFonts w:ascii="Arial" w:cs="Arial" w:eastAsia="Arial" w:hAnsi="Arial"/>
                <w:sz w:val="14"/>
                <w:szCs w:val="14"/>
                <w:color w:val="auto"/>
              </w:rPr>
              <w:t>adjustment</w:t>
            </w: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1"/>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Reconciliation of BXP’s share of EBITDA</w:t>
            </w:r>
            <w:r>
              <w:rPr>
                <w:rFonts w:ascii="Arial" w:cs="Arial" w:eastAsia="Arial" w:hAnsi="Arial"/>
                <w:sz w:val="14"/>
                <w:szCs w:val="14"/>
                <w:b w:val="1"/>
                <w:bCs w:val="1"/>
                <w:i w:val="1"/>
                <w:iCs w:val="1"/>
                <w:color w:val="auto"/>
              </w:rPr>
              <w:t>re</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180" w:type="dxa"/>
            <w:vAlign w:val="bottom"/>
          </w:tcPr>
          <w:p>
            <w:pPr>
              <w:ind w:left="20"/>
              <w:spacing w:after="0"/>
              <w:rPr>
                <w:sz w:val="20"/>
                <w:szCs w:val="20"/>
                <w:color w:val="auto"/>
              </w:rPr>
            </w:pPr>
            <w:r>
              <w:rPr>
                <w:rFonts w:ascii="Arial" w:cs="Arial" w:eastAsia="Arial" w:hAnsi="Arial"/>
                <w:sz w:val="14"/>
                <w:szCs w:val="14"/>
                <w:color w:val="auto"/>
              </w:rPr>
              <w:t>Income (loss) from unconsolidated joint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2,264</w:t>
            </w:r>
          </w:p>
        </w:tc>
        <w:tc>
          <w:tcPr>
            <w:tcW w:w="140" w:type="dxa"/>
            <w:vAlign w:val="bottom"/>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2,656</w:t>
            </w:r>
          </w:p>
        </w:tc>
        <w:tc>
          <w:tcPr>
            <w:tcW w:w="16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(2,717)</w:t>
            </w:r>
          </w:p>
        </w:tc>
        <w:tc>
          <w:tcPr>
            <w:tcW w:w="180" w:type="dxa"/>
            <w:vAlign w:val="bottom"/>
          </w:tcPr>
          <w:p>
            <w:pPr>
              <w:spacing w:after="0"/>
              <w:rPr>
                <w:sz w:val="13"/>
                <w:szCs w:val="13"/>
                <w:color w:val="auto"/>
              </w:rPr>
            </w:pPr>
          </w:p>
        </w:tc>
        <w:tc>
          <w:tcPr>
            <w:tcW w:w="28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(559)</w:t>
            </w:r>
          </w:p>
        </w:tc>
        <w:tc>
          <w:tcPr>
            <w:tcW w:w="140" w:type="dxa"/>
            <w:vAlign w:val="bottom"/>
          </w:tcPr>
          <w:p>
            <w:pPr>
              <w:spacing w:after="0"/>
              <w:rPr>
                <w:sz w:val="13"/>
                <w:szCs w:val="13"/>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130</w:t>
            </w:r>
          </w:p>
        </w:tc>
        <w:tc>
          <w:tcPr>
            <w:tcW w:w="16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(629)</w:t>
            </w:r>
          </w:p>
        </w:tc>
        <w:tc>
          <w:tcPr>
            <w:tcW w:w="16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1,145</w:t>
            </w:r>
          </w:p>
        </w:tc>
        <w:tc>
          <w:tcPr>
            <w:tcW w:w="0" w:type="dxa"/>
            <w:vAlign w:val="bottom"/>
          </w:tcPr>
          <w:p>
            <w:pPr>
              <w:spacing w:after="0"/>
              <w:rPr>
                <w:sz w:val="1"/>
                <w:szCs w:val="1"/>
                <w:color w:val="auto"/>
              </w:rPr>
            </w:pPr>
          </w:p>
        </w:tc>
      </w:tr>
      <w:tr>
        <w:trPr>
          <w:trHeight w:val="190"/>
        </w:trPr>
        <w:tc>
          <w:tcPr>
            <w:tcW w:w="3180" w:type="dxa"/>
            <w:vAlign w:val="bottom"/>
          </w:tcPr>
          <w:p>
            <w:pPr>
              <w:ind w:left="180"/>
              <w:spacing w:after="0"/>
              <w:rPr>
                <w:sz w:val="20"/>
                <w:szCs w:val="20"/>
                <w:color w:val="auto"/>
              </w:rPr>
            </w:pPr>
            <w:r>
              <w:rPr>
                <w:rFonts w:ascii="Arial" w:cs="Arial" w:eastAsia="Arial" w:hAnsi="Arial"/>
                <w:sz w:val="14"/>
                <w:szCs w:val="14"/>
                <w:color w:val="auto"/>
              </w:rPr>
              <w:t>ventures</w:t>
            </w: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rPr>
                <w:sz w:val="20"/>
                <w:szCs w:val="20"/>
                <w:color w:val="auto"/>
              </w:rPr>
            </w:pPr>
            <w:r>
              <w:rPr>
                <w:rFonts w:ascii="Arial" w:cs="Arial" w:eastAsia="Arial" w:hAnsi="Arial"/>
                <w:sz w:val="14"/>
                <w:szCs w:val="14"/>
                <w:color w:val="auto"/>
              </w:rPr>
              <w:t>Add:</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240"/>
              <w:spacing w:after="0"/>
              <w:rPr>
                <w:sz w:val="20"/>
                <w:szCs w:val="20"/>
                <w:color w:val="auto"/>
              </w:rPr>
            </w:pPr>
            <w:r>
              <w:rPr>
                <w:rFonts w:ascii="Arial" w:cs="Arial" w:eastAsia="Arial" w:hAnsi="Arial"/>
                <w:sz w:val="14"/>
                <w:szCs w:val="14"/>
                <w:color w:val="auto"/>
              </w:rPr>
              <w:t>BXP’s share of interest expense</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4,744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5,667</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14,804</w:t>
            </w:r>
          </w:p>
        </w:tc>
        <w:tc>
          <w:tcPr>
            <w:tcW w:w="0" w:type="dxa"/>
            <w:vAlign w:val="bottom"/>
          </w:tcPr>
          <w:p>
            <w:pPr>
              <w:spacing w:after="0"/>
              <w:rPr>
                <w:sz w:val="1"/>
                <w:szCs w:val="1"/>
                <w:color w:val="auto"/>
              </w:rPr>
            </w:pPr>
          </w:p>
        </w:tc>
      </w:tr>
      <w:tr>
        <w:trPr>
          <w:trHeight w:val="174"/>
        </w:trPr>
        <w:tc>
          <w:tcPr>
            <w:tcW w:w="3180" w:type="dxa"/>
            <w:vAlign w:val="bottom"/>
          </w:tcPr>
          <w:p>
            <w:pPr>
              <w:ind w:left="240"/>
              <w:spacing w:after="0"/>
              <w:rPr>
                <w:sz w:val="20"/>
                <w:szCs w:val="20"/>
                <w:color w:val="auto"/>
              </w:rPr>
            </w:pPr>
            <w:r>
              <w:rPr>
                <w:rFonts w:ascii="Arial" w:cs="Arial" w:eastAsia="Arial" w:hAnsi="Arial"/>
                <w:sz w:val="14"/>
                <w:szCs w:val="14"/>
                <w:color w:val="auto"/>
              </w:rPr>
              <w:t>BXP’s share of depreciation and</w:t>
            </w: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4,368</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2,025</w:t>
            </w:r>
          </w:p>
        </w:tc>
        <w:tc>
          <w:tcPr>
            <w:tcW w:w="16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15"/>
                <w:szCs w:val="15"/>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3,910</w:t>
            </w:r>
          </w:p>
        </w:tc>
        <w:tc>
          <w:tcPr>
            <w:tcW w:w="180" w:type="dxa"/>
            <w:vAlign w:val="bottom"/>
            <w:vMerge w:val="restart"/>
          </w:tcPr>
          <w:p>
            <w:pPr>
              <w:jc w:val="right"/>
              <w:ind w:right="13"/>
              <w:spacing w:after="0"/>
              <w:rPr>
                <w:sz w:val="20"/>
                <w:szCs w:val="20"/>
                <w:color w:val="auto"/>
              </w:rPr>
            </w:pPr>
            <w:r>
              <w:rPr>
                <w:rFonts w:ascii="Arial" w:cs="Arial" w:eastAsia="Arial" w:hAnsi="Arial"/>
                <w:sz w:val="9"/>
                <w:szCs w:val="9"/>
                <w:color w:val="auto"/>
              </w:rPr>
              <w:t>5</w:t>
            </w:r>
          </w:p>
        </w:tc>
        <w:tc>
          <w:tcPr>
            <w:tcW w:w="28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918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826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12,047</w:t>
            </w:r>
          </w:p>
        </w:tc>
        <w:tc>
          <w:tcPr>
            <w:tcW w:w="0" w:type="dxa"/>
            <w:vAlign w:val="bottom"/>
          </w:tcPr>
          <w:p>
            <w:pPr>
              <w:spacing w:after="0"/>
              <w:rPr>
                <w:sz w:val="1"/>
                <w:szCs w:val="1"/>
                <w:color w:val="auto"/>
              </w:rPr>
            </w:pPr>
          </w:p>
        </w:tc>
      </w:tr>
      <w:tr>
        <w:trPr>
          <w:trHeight w:val="185"/>
        </w:trPr>
        <w:tc>
          <w:tcPr>
            <w:tcW w:w="3180" w:type="dxa"/>
            <w:vAlign w:val="bottom"/>
          </w:tcPr>
          <w:p>
            <w:pPr>
              <w:ind w:left="400"/>
              <w:spacing w:after="0"/>
              <w:rPr>
                <w:sz w:val="20"/>
                <w:szCs w:val="20"/>
                <w:color w:val="auto"/>
              </w:rPr>
            </w:pPr>
            <w:r>
              <w:rPr>
                <w:rFonts w:ascii="Arial" w:cs="Arial" w:eastAsia="Arial" w:hAnsi="Arial"/>
                <w:sz w:val="14"/>
                <w:szCs w:val="14"/>
                <w:color w:val="auto"/>
              </w:rPr>
              <w:t>amortization expense</w:t>
            </w: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Arial" w:cs="Arial" w:eastAsia="Arial" w:hAnsi="Arial"/>
                <w:sz w:val="14"/>
                <w:szCs w:val="14"/>
                <w:color w:val="auto"/>
              </w:rPr>
              <w:t>BXP’s share of EBITDA</w:t>
            </w:r>
            <w:r>
              <w:rPr>
                <w:rFonts w:ascii="Arial" w:cs="Arial" w:eastAsia="Arial" w:hAnsi="Arial"/>
                <w:sz w:val="14"/>
                <w:szCs w:val="14"/>
                <w:i w:val="1"/>
                <w:iCs w:val="1"/>
                <w:color w:val="auto"/>
              </w:rPr>
              <w:t>re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11,376</w:t>
            </w: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7,207</w:t>
            </w:r>
          </w:p>
        </w:tc>
        <w:tc>
          <w:tcPr>
            <w:tcW w:w="160" w:type="dxa"/>
            <w:vAlign w:val="bottom"/>
          </w:tcPr>
          <w:p>
            <w:pPr>
              <w:jc w:val="right"/>
              <w:ind w:right="13"/>
              <w:spacing w:after="0"/>
              <w:rPr>
                <w:sz w:val="20"/>
                <w:szCs w:val="20"/>
                <w:color w:val="auto"/>
              </w:rPr>
            </w:pPr>
            <w:r>
              <w:rPr>
                <w:rFonts w:ascii="Arial" w:cs="Arial" w:eastAsia="Arial" w:hAnsi="Arial"/>
                <w:sz w:val="9"/>
                <w:szCs w:val="9"/>
                <w:color w:val="auto"/>
              </w:rPr>
              <w:t>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6,860</w:t>
            </w:r>
          </w:p>
        </w:tc>
        <w:tc>
          <w:tcPr>
            <w:tcW w:w="180" w:type="dxa"/>
            <w:vAlign w:val="bottom"/>
          </w:tcPr>
          <w:p>
            <w:pPr>
              <w:jc w:val="right"/>
              <w:ind w:right="13"/>
              <w:spacing w:after="0"/>
              <w:rPr>
                <w:sz w:val="20"/>
                <w:szCs w:val="20"/>
                <w:color w:val="auto"/>
              </w:rPr>
            </w:pPr>
            <w:r>
              <w:rPr>
                <w:rFonts w:ascii="Arial" w:cs="Arial" w:eastAsia="Arial" w:hAnsi="Arial"/>
                <w:sz w:val="9"/>
                <w:szCs w:val="9"/>
                <w:color w:val="auto"/>
              </w:rPr>
              <w:t>5</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(559)</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27,996</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64</w:t>
      </w:r>
    </w:p>
    <w:p>
      <w:pPr>
        <w:sectPr>
          <w:pgSz w:w="11900" w:h="16838" w:orient="portrait"/>
          <w:cols w:equalWidth="0" w:num="1">
            <w:col w:w="11240"/>
          </w:cols>
          <w:pgMar w:left="320" w:top="279" w:right="339" w:bottom="1440" w:gutter="0" w:footer="0" w:header="0"/>
        </w:sectPr>
      </w:pPr>
    </w:p>
    <w:bookmarkStart w:id="72" w:name="page73"/>
    <w:bookmarkEnd w:id="72"/>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 xml:space="preserve">UNCONSOLIDATED JOINT VENTURES </w:t>
      </w:r>
      <w:r>
        <w:rPr>
          <w:rFonts w:ascii="Arial" w:cs="Arial" w:eastAsia="Arial" w:hAnsi="Arial"/>
          <w:sz w:val="18"/>
          <w:szCs w:val="18"/>
          <w:b w:val="1"/>
          <w:bCs w:val="1"/>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0628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Reconciliation of BXP’s share of Net</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color w:val="auto"/>
              </w:rPr>
              <w:t>Washington,</w:t>
            </w:r>
          </w:p>
        </w:tc>
        <w:tc>
          <w:tcPr>
            <w:tcW w:w="120" w:type="dxa"/>
            <w:vAlign w:val="bottom"/>
          </w:tcPr>
          <w:p>
            <w:pPr>
              <w:spacing w:after="0"/>
              <w:rPr>
                <w:sz w:val="14"/>
                <w:szCs w:val="14"/>
                <w:color w:val="auto"/>
              </w:rPr>
            </w:pPr>
          </w:p>
        </w:tc>
        <w:tc>
          <w:tcPr>
            <w:tcW w:w="1140" w:type="dxa"/>
            <w:vAlign w:val="bottom"/>
          </w:tcPr>
          <w:p>
            <w:pPr>
              <w:jc w:val="center"/>
              <w:ind w:right="48"/>
              <w:spacing w:after="0"/>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color w:val="auto"/>
              </w:rPr>
              <w:t>Boston</w:t>
            </w:r>
          </w:p>
        </w:tc>
        <w:tc>
          <w:tcPr>
            <w:tcW w:w="140" w:type="dxa"/>
            <w:vAlign w:val="bottom"/>
            <w:vMerge w:val="restart"/>
          </w:tcPr>
          <w:p>
            <w:pPr>
              <w:spacing w:after="0"/>
              <w:rPr>
                <w:sz w:val="12"/>
                <w:szCs w:val="12"/>
                <w:color w:val="auto"/>
              </w:rPr>
            </w:pPr>
          </w:p>
        </w:tc>
        <w:tc>
          <w:tcPr>
            <w:tcW w:w="960" w:type="dxa"/>
            <w:vAlign w:val="bottom"/>
            <w:gridSpan w:val="2"/>
            <w:vMerge w:val="restart"/>
          </w:tcPr>
          <w:p>
            <w:pPr>
              <w:jc w:val="right"/>
              <w:ind w:right="8"/>
              <w:spacing w:after="0"/>
              <w:rPr>
                <w:sz w:val="20"/>
                <w:szCs w:val="20"/>
                <w:color w:val="auto"/>
              </w:rPr>
            </w:pPr>
            <w:r>
              <w:rPr>
                <w:rFonts w:ascii="Arial" w:cs="Arial" w:eastAsia="Arial" w:hAnsi="Arial"/>
                <w:sz w:val="14"/>
                <w:szCs w:val="14"/>
                <w:color w:val="auto"/>
              </w:rPr>
              <w:t>Los Angeles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ind w:right="88"/>
              <w:spacing w:after="0"/>
              <w:rPr>
                <w:sz w:val="20"/>
                <w:szCs w:val="20"/>
                <w:color w:val="auto"/>
              </w:rPr>
            </w:pPr>
            <w:r>
              <w:rPr>
                <w:rFonts w:ascii="Arial" w:cs="Arial" w:eastAsia="Arial" w:hAnsi="Arial"/>
                <w:sz w:val="14"/>
                <w:szCs w:val="14"/>
                <w:color w:val="auto"/>
              </w:rPr>
              <w:t>New York</w:t>
            </w:r>
          </w:p>
        </w:tc>
        <w:tc>
          <w:tcPr>
            <w:tcW w:w="160" w:type="dxa"/>
            <w:vAlign w:val="bottom"/>
          </w:tcPr>
          <w:p>
            <w:pPr>
              <w:spacing w:after="0"/>
              <w:rPr>
                <w:sz w:val="12"/>
                <w:szCs w:val="12"/>
                <w:color w:val="auto"/>
              </w:rPr>
            </w:pPr>
          </w:p>
        </w:tc>
        <w:tc>
          <w:tcPr>
            <w:tcW w:w="960" w:type="dxa"/>
            <w:vAlign w:val="bottom"/>
            <w:gridSpan w:val="2"/>
            <w:vMerge w:val="restart"/>
          </w:tcPr>
          <w:p>
            <w:pPr>
              <w:ind w:left="20"/>
              <w:spacing w:after="0"/>
              <w:rPr>
                <w:sz w:val="20"/>
                <w:szCs w:val="20"/>
                <w:color w:val="auto"/>
              </w:rPr>
            </w:pPr>
            <w:r>
              <w:rPr>
                <w:rFonts w:ascii="Arial" w:cs="Arial" w:eastAsia="Arial" w:hAnsi="Arial"/>
                <w:sz w:val="14"/>
                <w:szCs w:val="14"/>
                <w:color w:val="auto"/>
              </w:rPr>
              <w:t>San Francisco</w:t>
            </w:r>
          </w:p>
        </w:tc>
        <w:tc>
          <w:tcPr>
            <w:tcW w:w="1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color w:val="auto"/>
              </w:rPr>
              <w:t>Seattle</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8"/>
              <w:spacing w:after="0" w:line="145" w:lineRule="exact"/>
              <w:rPr>
                <w:sz w:val="20"/>
                <w:szCs w:val="20"/>
                <w:color w:val="auto"/>
              </w:rPr>
            </w:pPr>
            <w:r>
              <w:rPr>
                <w:rFonts w:ascii="Arial" w:cs="Arial" w:eastAsia="Arial" w:hAnsi="Arial"/>
                <w:sz w:val="14"/>
                <w:szCs w:val="14"/>
                <w:color w:val="auto"/>
              </w:rPr>
              <w:t>Unconsolidated</w:t>
            </w:r>
          </w:p>
        </w:tc>
        <w:tc>
          <w:tcPr>
            <w:tcW w:w="0" w:type="dxa"/>
            <w:vAlign w:val="bottom"/>
          </w:tcPr>
          <w:p>
            <w:pPr>
              <w:spacing w:after="0"/>
              <w:rPr>
                <w:sz w:val="1"/>
                <w:szCs w:val="1"/>
                <w:color w:val="auto"/>
              </w:rPr>
            </w:pPr>
          </w:p>
        </w:tc>
      </w:tr>
      <w:tr>
        <w:trPr>
          <w:trHeight w:val="189"/>
        </w:trPr>
        <w:tc>
          <w:tcPr>
            <w:tcW w:w="3200" w:type="dxa"/>
            <w:vAlign w:val="bottom"/>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960" w:type="dxa"/>
            <w:vAlign w:val="bottom"/>
            <w:tcBorders>
              <w:bottom w:val="single" w:sz="8" w:color="auto"/>
            </w:tcBorders>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DC</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Joint Ventures</w:t>
            </w:r>
          </w:p>
        </w:tc>
        <w:tc>
          <w:tcPr>
            <w:tcW w:w="0" w:type="dxa"/>
            <w:vAlign w:val="bottom"/>
          </w:tcPr>
          <w:p>
            <w:pPr>
              <w:spacing w:after="0"/>
              <w:rPr>
                <w:sz w:val="1"/>
                <w:szCs w:val="1"/>
                <w:color w:val="auto"/>
              </w:rPr>
            </w:pPr>
          </w:p>
        </w:tc>
      </w:tr>
      <w:tr>
        <w:trPr>
          <w:trHeight w:val="227"/>
        </w:trPr>
        <w:tc>
          <w:tcPr>
            <w:tcW w:w="3200" w:type="dxa"/>
            <w:vAlign w:val="bottom"/>
          </w:tcPr>
          <w:p>
            <w:pPr>
              <w:ind w:left="20"/>
              <w:spacing w:after="0"/>
              <w:rPr>
                <w:sz w:val="20"/>
                <w:szCs w:val="20"/>
                <w:color w:val="auto"/>
              </w:rPr>
            </w:pPr>
            <w:r>
              <w:rPr>
                <w:rFonts w:ascii="Arial" w:cs="Arial" w:eastAsia="Arial" w:hAnsi="Arial"/>
                <w:sz w:val="14"/>
                <w:szCs w:val="14"/>
                <w:color w:val="auto"/>
              </w:rPr>
              <w:t xml:space="preserve">BXP’s share of rental revenue </w:t>
            </w:r>
            <w:r>
              <w:rPr>
                <w:rFonts w:ascii="Arial" w:cs="Arial" w:eastAsia="Arial" w:hAnsi="Arial"/>
                <w:sz w:val="18"/>
                <w:szCs w:val="18"/>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16,664</w:t>
            </w:r>
          </w:p>
        </w:tc>
        <w:tc>
          <w:tcPr>
            <w:tcW w:w="14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11,184</w:t>
            </w:r>
          </w:p>
        </w:tc>
        <w:tc>
          <w:tcPr>
            <w:tcW w:w="1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12,659</w:t>
            </w:r>
          </w:p>
        </w:tc>
        <w:tc>
          <w:tcPr>
            <w:tcW w:w="160" w:type="dxa"/>
            <w:vAlign w:val="bottom"/>
            <w:vMerge w:val="continue"/>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3,068</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2,836</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46,411</w:t>
            </w:r>
          </w:p>
        </w:tc>
        <w:tc>
          <w:tcPr>
            <w:tcW w:w="0" w:type="dxa"/>
            <w:vAlign w:val="bottom"/>
          </w:tcPr>
          <w:p>
            <w:pPr>
              <w:spacing w:after="0"/>
              <w:rPr>
                <w:sz w:val="1"/>
                <w:szCs w:val="1"/>
                <w:color w:val="auto"/>
              </w:rPr>
            </w:pPr>
          </w:p>
        </w:tc>
      </w:tr>
      <w:tr>
        <w:trPr>
          <w:trHeight w:val="194"/>
        </w:trPr>
        <w:tc>
          <w:tcPr>
            <w:tcW w:w="3200" w:type="dxa"/>
            <w:vAlign w:val="bottom"/>
          </w:tcPr>
          <w:p>
            <w:pPr>
              <w:ind w:left="20"/>
              <w:spacing w:after="0"/>
              <w:rPr>
                <w:sz w:val="20"/>
                <w:szCs w:val="20"/>
                <w:color w:val="auto"/>
              </w:rPr>
            </w:pPr>
            <w:r>
              <w:rPr>
                <w:rFonts w:ascii="Arial" w:cs="Arial" w:eastAsia="Arial" w:hAnsi="Arial"/>
                <w:sz w:val="14"/>
                <w:szCs w:val="14"/>
                <w:color w:val="auto"/>
              </w:rPr>
              <w:t>BXP’s share of operating expenses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5,476</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4,109</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7,907</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1,140</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20,819</w:t>
            </w:r>
          </w:p>
        </w:tc>
        <w:tc>
          <w:tcPr>
            <w:tcW w:w="0" w:type="dxa"/>
            <w:vAlign w:val="bottom"/>
          </w:tcPr>
          <w:p>
            <w:pPr>
              <w:spacing w:after="0"/>
              <w:rPr>
                <w:sz w:val="1"/>
                <w:szCs w:val="1"/>
                <w:color w:val="auto"/>
              </w:rPr>
            </w:pPr>
          </w:p>
        </w:tc>
      </w:tr>
      <w:tr>
        <w:trPr>
          <w:trHeight w:val="206"/>
        </w:trPr>
        <w:tc>
          <w:tcPr>
            <w:tcW w:w="3200" w:type="dxa"/>
            <w:vAlign w:val="bottom"/>
          </w:tcPr>
          <w:p>
            <w:pPr>
              <w:ind w:left="20"/>
              <w:spacing w:after="0"/>
              <w:rPr>
                <w:sz w:val="20"/>
                <w:szCs w:val="20"/>
                <w:color w:val="auto"/>
              </w:rPr>
            </w:pPr>
            <w:r>
              <w:rPr>
                <w:rFonts w:ascii="Arial" w:cs="Arial" w:eastAsia="Arial" w:hAnsi="Arial"/>
                <w:sz w:val="14"/>
                <w:szCs w:val="14"/>
                <w:color w:val="auto"/>
              </w:rPr>
              <w:t>BXP’s share of net operating income (loss)</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11,188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7,075</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4,752</w:t>
            </w:r>
          </w:p>
        </w:tc>
        <w:tc>
          <w:tcPr>
            <w:tcW w:w="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25,592</w:t>
            </w:r>
          </w:p>
        </w:tc>
        <w:tc>
          <w:tcPr>
            <w:tcW w:w="0" w:type="dxa"/>
            <w:vAlign w:val="bottom"/>
          </w:tcPr>
          <w:p>
            <w:pPr>
              <w:spacing w:after="0"/>
              <w:rPr>
                <w:sz w:val="1"/>
                <w:szCs w:val="1"/>
                <w:color w:val="auto"/>
              </w:rPr>
            </w:pPr>
          </w:p>
        </w:tc>
      </w:tr>
      <w:tr>
        <w:trPr>
          <w:trHeight w:val="216"/>
        </w:trPr>
        <w:tc>
          <w:tcPr>
            <w:tcW w:w="3200" w:type="dxa"/>
            <w:vAlign w:val="bottom"/>
          </w:tcPr>
          <w:p>
            <w:pPr>
              <w:ind w:left="20"/>
              <w:spacing w:after="0"/>
              <w:rPr>
                <w:sz w:val="20"/>
                <w:szCs w:val="20"/>
                <w:color w:val="auto"/>
              </w:rPr>
            </w:pPr>
            <w:r>
              <w:rPr>
                <w:rFonts w:ascii="Arial" w:cs="Arial" w:eastAsia="Arial" w:hAnsi="Arial"/>
                <w:sz w:val="14"/>
                <w:szCs w:val="14"/>
                <w:color w:val="auto"/>
              </w:rPr>
              <w:t>Less: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termination income</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2,287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1,396</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3,667</w:t>
            </w:r>
          </w:p>
        </w:tc>
        <w:tc>
          <w:tcPr>
            <w:tcW w:w="0" w:type="dxa"/>
            <w:vAlign w:val="bottom"/>
          </w:tcPr>
          <w:p>
            <w:pPr>
              <w:spacing w:after="0"/>
              <w:rPr>
                <w:sz w:val="1"/>
                <w:szCs w:val="1"/>
                <w:color w:val="auto"/>
              </w:rPr>
            </w:pPr>
          </w:p>
        </w:tc>
      </w:tr>
      <w:tr>
        <w:trPr>
          <w:trHeight w:val="153"/>
        </w:trPr>
        <w:tc>
          <w:tcPr>
            <w:tcW w:w="3200" w:type="dxa"/>
            <w:vAlign w:val="bottom"/>
          </w:tcPr>
          <w:p>
            <w:pPr>
              <w:ind w:left="20"/>
              <w:spacing w:after="0" w:line="153" w:lineRule="exact"/>
              <w:rPr>
                <w:sz w:val="20"/>
                <w:szCs w:val="20"/>
                <w:color w:val="auto"/>
              </w:rPr>
            </w:pPr>
            <w:r>
              <w:rPr>
                <w:rFonts w:ascii="Arial" w:cs="Arial" w:eastAsia="Arial" w:hAnsi="Arial"/>
                <w:sz w:val="14"/>
                <w:szCs w:val="14"/>
                <w:color w:val="auto"/>
              </w:rPr>
              <w:t>BXP’s share of net operating income (loss)</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8,901</w:t>
            </w:r>
          </w:p>
        </w:tc>
        <w:tc>
          <w:tcPr>
            <w:tcW w:w="1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7,075</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3,356</w:t>
            </w:r>
          </w:p>
        </w:tc>
        <w:tc>
          <w:tcPr>
            <w:tcW w:w="16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(556)</w:t>
            </w: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1,928</w:t>
            </w: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1,221</w:t>
            </w: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21,925</w:t>
            </w:r>
          </w:p>
        </w:tc>
        <w:tc>
          <w:tcPr>
            <w:tcW w:w="0" w:type="dxa"/>
            <w:vAlign w:val="bottom"/>
          </w:tcPr>
          <w:p>
            <w:pPr>
              <w:spacing w:after="0"/>
              <w:rPr>
                <w:sz w:val="1"/>
                <w:szCs w:val="1"/>
                <w:color w:val="auto"/>
              </w:rPr>
            </w:pPr>
          </w:p>
        </w:tc>
      </w:tr>
      <w:tr>
        <w:trPr>
          <w:trHeight w:val="190"/>
        </w:trPr>
        <w:tc>
          <w:tcPr>
            <w:tcW w:w="3200" w:type="dxa"/>
            <w:vAlign w:val="bottom"/>
          </w:tcPr>
          <w:p>
            <w:pPr>
              <w:ind w:left="180"/>
              <w:spacing w:after="0"/>
              <w:rPr>
                <w:sz w:val="20"/>
                <w:szCs w:val="20"/>
                <w:color w:val="auto"/>
              </w:rPr>
            </w:pPr>
            <w:r>
              <w:rPr>
                <w:rFonts w:ascii="Arial" w:cs="Arial" w:eastAsia="Arial" w:hAnsi="Arial"/>
                <w:sz w:val="14"/>
                <w:szCs w:val="14"/>
                <w:color w:val="auto"/>
              </w:rPr>
              <w:t>(excluding termination income)</w:t>
            </w: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rPr>
                <w:sz w:val="20"/>
                <w:szCs w:val="20"/>
                <w:color w:val="auto"/>
              </w:rPr>
            </w:pPr>
            <w:r>
              <w:rPr>
                <w:rFonts w:ascii="Arial" w:cs="Arial" w:eastAsia="Arial" w:hAnsi="Arial"/>
                <w:sz w:val="14"/>
                <w:szCs w:val="14"/>
                <w:color w:val="auto"/>
              </w:rPr>
              <w:t>Less:</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straight-line rent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(372)</w:t>
            </w:r>
          </w:p>
        </w:tc>
        <w:tc>
          <w:tcPr>
            <w:tcW w:w="1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4,905</w:t>
            </w:r>
          </w:p>
        </w:tc>
        <w:tc>
          <w:tcPr>
            <w:tcW w:w="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4,509</w:t>
            </w:r>
          </w:p>
        </w:tc>
        <w:tc>
          <w:tcPr>
            <w:tcW w:w="0" w:type="dxa"/>
            <w:vAlign w:val="bottom"/>
          </w:tcPr>
          <w:p>
            <w:pPr>
              <w:spacing w:after="0"/>
              <w:rPr>
                <w:sz w:val="1"/>
                <w:szCs w:val="1"/>
                <w:color w:val="auto"/>
              </w:rPr>
            </w:pPr>
          </w:p>
        </w:tc>
      </w:tr>
      <w:tr>
        <w:trPr>
          <w:trHeight w:val="233"/>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fair value lease revenue</w:t>
            </w:r>
          </w:p>
        </w:tc>
        <w:tc>
          <w:tcPr>
            <w:tcW w:w="1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45</w:t>
            </w:r>
          </w:p>
        </w:tc>
        <w:tc>
          <w:tcPr>
            <w:tcW w:w="160" w:type="dxa"/>
            <w:vAlign w:val="bottom"/>
          </w:tcPr>
          <w:p>
            <w:pPr>
              <w:jc w:val="right"/>
              <w:spacing w:after="0"/>
              <w:rPr>
                <w:sz w:val="20"/>
                <w:szCs w:val="20"/>
                <w:color w:val="auto"/>
              </w:rPr>
            </w:pPr>
            <w:r>
              <w:rPr>
                <w:rFonts w:ascii="Arial" w:cs="Arial" w:eastAsia="Arial" w:hAnsi="Arial"/>
                <w:sz w:val="9"/>
                <w:szCs w:val="9"/>
                <w:color w:val="auto"/>
              </w:rPr>
              <w:t>5</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320</w:t>
            </w:r>
          </w:p>
        </w:tc>
        <w:tc>
          <w:tcPr>
            <w:tcW w:w="160" w:type="dxa"/>
            <w:vAlign w:val="bottom"/>
          </w:tcPr>
          <w:p>
            <w:pPr>
              <w:jc w:val="right"/>
              <w:spacing w:after="0"/>
              <w:rPr>
                <w:sz w:val="20"/>
                <w:szCs w:val="20"/>
                <w:color w:val="auto"/>
              </w:rPr>
            </w:pPr>
            <w:r>
              <w:rPr>
                <w:rFonts w:ascii="Arial" w:cs="Arial" w:eastAsia="Arial" w:hAnsi="Arial"/>
                <w:sz w:val="9"/>
                <w:szCs w:val="9"/>
                <w:color w:val="auto"/>
              </w:rPr>
              <w:t>5</w:t>
            </w:r>
          </w:p>
        </w:tc>
        <w:tc>
          <w:tcPr>
            <w:tcW w:w="36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74"/>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amortization and accretion</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0"/>
        </w:trPr>
        <w:tc>
          <w:tcPr>
            <w:tcW w:w="3200" w:type="dxa"/>
            <w:vAlign w:val="bottom"/>
          </w:tcPr>
          <w:p>
            <w:pPr>
              <w:ind w:left="400"/>
              <w:spacing w:after="0"/>
              <w:rPr>
                <w:sz w:val="20"/>
                <w:szCs w:val="20"/>
                <w:color w:val="auto"/>
              </w:rPr>
            </w:pPr>
            <w:r>
              <w:rPr>
                <w:rFonts w:ascii="Arial" w:cs="Arial" w:eastAsia="Arial" w:hAnsi="Arial"/>
                <w:sz w:val="14"/>
                <w:szCs w:val="14"/>
                <w:color w:val="auto"/>
              </w:rPr>
              <w:t>related to sales type lease</w:t>
            </w: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0" w:type="dxa"/>
            <w:vAlign w:val="bottom"/>
          </w:tcPr>
          <w:p>
            <w:pPr>
              <w:ind w:left="20"/>
              <w:spacing w:after="0"/>
              <w:rPr>
                <w:sz w:val="20"/>
                <w:szCs w:val="20"/>
                <w:color w:val="auto"/>
              </w:rPr>
            </w:pPr>
            <w:r>
              <w:rPr>
                <w:rFonts w:ascii="Arial" w:cs="Arial" w:eastAsia="Arial" w:hAnsi="Arial"/>
                <w:sz w:val="14"/>
                <w:szCs w:val="14"/>
                <w:color w:val="auto"/>
              </w:rPr>
              <w:t>Add:</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200" w:type="dxa"/>
            <w:vAlign w:val="bottom"/>
          </w:tcPr>
          <w:p>
            <w:pPr>
              <w:ind w:left="280"/>
              <w:spacing w:after="0"/>
              <w:rPr>
                <w:sz w:val="20"/>
                <w:szCs w:val="20"/>
                <w:color w:val="auto"/>
              </w:rPr>
            </w:pPr>
            <w:r>
              <w:rPr>
                <w:rFonts w:ascii="Arial" w:cs="Arial" w:eastAsia="Arial" w:hAnsi="Arial"/>
                <w:sz w:val="14"/>
                <w:szCs w:val="14"/>
                <w:color w:val="auto"/>
              </w:rPr>
              <w:t>BXP’s share of straight-line ground rent</w:t>
            </w:r>
          </w:p>
        </w:tc>
        <w:tc>
          <w:tcPr>
            <w:tcW w:w="160" w:type="dxa"/>
            <w:vAlign w:val="bottom"/>
          </w:tcPr>
          <w:p>
            <w:pPr>
              <w:spacing w:after="0"/>
              <w:rPr>
                <w:sz w:val="15"/>
                <w:szCs w:val="15"/>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120</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90"/>
        </w:trPr>
        <w:tc>
          <w:tcPr>
            <w:tcW w:w="3200" w:type="dxa"/>
            <w:vAlign w:val="bottom"/>
          </w:tcPr>
          <w:p>
            <w:pPr>
              <w:ind w:left="400"/>
              <w:spacing w:after="0"/>
              <w:rPr>
                <w:sz w:val="20"/>
                <w:szCs w:val="20"/>
                <w:color w:val="auto"/>
              </w:rPr>
            </w:pPr>
            <w:r>
              <w:rPr>
                <w:rFonts w:ascii="Arial" w:cs="Arial" w:eastAsia="Arial" w:hAnsi="Arial"/>
                <w:sz w:val="14"/>
                <w:szCs w:val="14"/>
                <w:color w:val="auto"/>
              </w:rPr>
              <w:t>expense adjustment</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lease transaction costs that</w:t>
            </w:r>
          </w:p>
        </w:tc>
        <w:tc>
          <w:tcPr>
            <w:tcW w:w="160" w:type="dxa"/>
            <w:vAlign w:val="bottom"/>
          </w:tcPr>
          <w:p>
            <w:pPr>
              <w:spacing w:after="0"/>
              <w:rPr>
                <w:sz w:val="13"/>
                <w:szCs w:val="13"/>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149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85"/>
        </w:trPr>
        <w:tc>
          <w:tcPr>
            <w:tcW w:w="3200" w:type="dxa"/>
            <w:vAlign w:val="bottom"/>
          </w:tcPr>
          <w:p>
            <w:pPr>
              <w:ind w:left="400"/>
              <w:spacing w:after="0"/>
              <w:rPr>
                <w:sz w:val="20"/>
                <w:szCs w:val="20"/>
                <w:color w:val="auto"/>
              </w:rPr>
            </w:pPr>
            <w:r>
              <w:rPr>
                <w:rFonts w:ascii="Arial" w:cs="Arial" w:eastAsia="Arial" w:hAnsi="Arial"/>
                <w:sz w:val="14"/>
                <w:szCs w:val="14"/>
                <w:color w:val="auto"/>
              </w:rPr>
              <w:t>qualify as rent inducements</w:t>
            </w:r>
          </w:p>
        </w:tc>
        <w:tc>
          <w:tcPr>
            <w:tcW w:w="1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200" w:type="dxa"/>
            <w:vAlign w:val="bottom"/>
          </w:tcPr>
          <w:p>
            <w:pPr>
              <w:ind w:left="20"/>
              <w:spacing w:after="0" w:line="147" w:lineRule="exact"/>
              <w:rPr>
                <w:sz w:val="20"/>
                <w:szCs w:val="20"/>
                <w:color w:val="auto"/>
              </w:rPr>
            </w:pPr>
            <w:r>
              <w:rPr>
                <w:rFonts w:ascii="Arial" w:cs="Arial" w:eastAsia="Arial" w:hAnsi="Arial"/>
                <w:sz w:val="14"/>
                <w:szCs w:val="14"/>
                <w:color w:val="auto"/>
              </w:rPr>
              <w:t>BXP’s share of net operating income (loss) -</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8,933</w:t>
            </w:r>
          </w:p>
        </w:tc>
        <w:tc>
          <w:tcPr>
            <w:tcW w:w="140" w:type="dxa"/>
            <w:vAlign w:val="bottom"/>
          </w:tcPr>
          <w:p>
            <w:pPr>
              <w:spacing w:after="0"/>
              <w:rPr>
                <w:sz w:val="12"/>
                <w:szCs w:val="12"/>
                <w:color w:val="auto"/>
              </w:rPr>
            </w:pPr>
          </w:p>
        </w:tc>
        <w:tc>
          <w:tcPr>
            <w:tcW w:w="2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7,551</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(1,749)</w:t>
            </w:r>
          </w:p>
        </w:tc>
        <w:tc>
          <w:tcPr>
            <w:tcW w:w="160" w:type="dxa"/>
            <w:vAlign w:val="bottom"/>
            <w:vMerge w:val="restart"/>
          </w:tcPr>
          <w:p>
            <w:pPr>
              <w:jc w:val="right"/>
              <w:spacing w:after="0"/>
              <w:rPr>
                <w:sz w:val="20"/>
                <w:szCs w:val="20"/>
                <w:color w:val="auto"/>
              </w:rPr>
            </w:pPr>
            <w:r>
              <w:rPr>
                <w:rFonts w:ascii="Arial" w:cs="Arial" w:eastAsia="Arial" w:hAnsi="Arial"/>
                <w:sz w:val="9"/>
                <w:szCs w:val="9"/>
                <w:color w:val="auto"/>
              </w:rPr>
              <w:t>5</w:t>
            </w:r>
          </w:p>
        </w:tc>
        <w:tc>
          <w:tcPr>
            <w:tcW w:w="36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(556)</w:t>
            </w:r>
          </w:p>
        </w:tc>
        <w:tc>
          <w:tcPr>
            <w:tcW w:w="160" w:type="dxa"/>
            <w:vAlign w:val="bottom"/>
          </w:tcPr>
          <w:p>
            <w:pPr>
              <w:spacing w:after="0"/>
              <w:rPr>
                <w:sz w:val="12"/>
                <w:szCs w:val="12"/>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1,600</w:t>
            </w:r>
          </w:p>
        </w:tc>
        <w:tc>
          <w:tcPr>
            <w:tcW w:w="16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1,182</w:t>
            </w:r>
          </w:p>
        </w:tc>
        <w:tc>
          <w:tcPr>
            <w:tcW w:w="16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16,961</w:t>
            </w:r>
          </w:p>
        </w:tc>
        <w:tc>
          <w:tcPr>
            <w:tcW w:w="0" w:type="dxa"/>
            <w:vAlign w:val="bottom"/>
          </w:tcPr>
          <w:p>
            <w:pPr>
              <w:spacing w:after="0"/>
              <w:rPr>
                <w:sz w:val="1"/>
                <w:szCs w:val="1"/>
                <w:color w:val="auto"/>
              </w:rPr>
            </w:pPr>
          </w:p>
        </w:tc>
      </w:tr>
      <w:tr>
        <w:trPr>
          <w:trHeight w:val="163"/>
        </w:trPr>
        <w:tc>
          <w:tcPr>
            <w:tcW w:w="3200" w:type="dxa"/>
            <w:vAlign w:val="bottom"/>
          </w:tcPr>
          <w:p>
            <w:pPr>
              <w:ind w:left="180"/>
              <w:spacing w:after="0" w:line="158" w:lineRule="exact"/>
              <w:rPr>
                <w:sz w:val="20"/>
                <w:szCs w:val="20"/>
                <w:color w:val="auto"/>
              </w:rPr>
            </w:pPr>
            <w:r>
              <w:rPr>
                <w:rFonts w:ascii="Arial" w:cs="Arial" w:eastAsia="Arial" w:hAnsi="Arial"/>
                <w:sz w:val="14"/>
                <w:szCs w:val="14"/>
                <w:color w:val="auto"/>
              </w:rPr>
              <w:t>cash (excluding termination income)</w:t>
            </w:r>
          </w:p>
        </w:tc>
        <w:tc>
          <w:tcPr>
            <w:tcW w:w="16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Borders>
              <w:bottom w:val="single" w:sz="8" w:color="auto"/>
            </w:tcBorders>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36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11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32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Reconciliation of BXP’s share of Revenue</w:t>
            </w: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3200" w:type="dxa"/>
            <w:vAlign w:val="bottom"/>
            <w:tcBorders>
              <w:bottom w:val="single" w:sz="8" w:color="auto"/>
            </w:tcBorders>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200" w:type="dxa"/>
            <w:vAlign w:val="bottom"/>
          </w:tcPr>
          <w:p>
            <w:pPr>
              <w:ind w:left="20"/>
              <w:spacing w:after="0"/>
              <w:rPr>
                <w:sz w:val="20"/>
                <w:szCs w:val="20"/>
                <w:color w:val="auto"/>
              </w:rPr>
            </w:pPr>
            <w:r>
              <w:rPr>
                <w:rFonts w:ascii="Arial" w:cs="Arial" w:eastAsia="Arial" w:hAnsi="Arial"/>
                <w:sz w:val="14"/>
                <w:szCs w:val="14"/>
                <w:color w:val="auto"/>
              </w:rPr>
              <w:t xml:space="preserve">BXP’s share of rental revenue </w:t>
            </w:r>
            <w:r>
              <w:rPr>
                <w:rFonts w:ascii="Arial" w:cs="Arial" w:eastAsia="Arial" w:hAnsi="Arial"/>
                <w:sz w:val="18"/>
                <w:szCs w:val="18"/>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16,664</w:t>
            </w:r>
          </w:p>
        </w:tc>
        <w:tc>
          <w:tcPr>
            <w:tcW w:w="140" w:type="dxa"/>
            <w:vAlign w:val="bottom"/>
          </w:tcPr>
          <w:p>
            <w:pPr>
              <w:spacing w:after="0"/>
              <w:rPr>
                <w:sz w:val="19"/>
                <w:szCs w:val="19"/>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11,184</w:t>
            </w:r>
          </w:p>
        </w:tc>
        <w:tc>
          <w:tcPr>
            <w:tcW w:w="160" w:type="dxa"/>
            <w:vAlign w:val="bottom"/>
          </w:tcPr>
          <w:p>
            <w:pPr>
              <w:jc w:val="right"/>
              <w:spacing w:after="0"/>
              <w:rPr>
                <w:sz w:val="20"/>
                <w:szCs w:val="20"/>
                <w:color w:val="auto"/>
              </w:rPr>
            </w:pPr>
            <w:r>
              <w:rPr>
                <w:rFonts w:ascii="Arial" w:cs="Arial" w:eastAsia="Arial" w:hAnsi="Arial"/>
                <w:sz w:val="9"/>
                <w:szCs w:val="9"/>
                <w:color w:val="auto"/>
              </w:rPr>
              <w:t>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12,659</w:t>
            </w:r>
          </w:p>
        </w:tc>
        <w:tc>
          <w:tcPr>
            <w:tcW w:w="160" w:type="dxa"/>
            <w:vAlign w:val="bottom"/>
          </w:tcPr>
          <w:p>
            <w:pPr>
              <w:jc w:val="right"/>
              <w:spacing w:after="0"/>
              <w:rPr>
                <w:sz w:val="20"/>
                <w:szCs w:val="20"/>
                <w:color w:val="auto"/>
              </w:rPr>
            </w:pPr>
            <w:r>
              <w:rPr>
                <w:rFonts w:ascii="Arial" w:cs="Arial" w:eastAsia="Arial" w:hAnsi="Arial"/>
                <w:sz w:val="9"/>
                <w:szCs w:val="9"/>
                <w:color w:val="auto"/>
              </w:rPr>
              <w:t>5</w:t>
            </w: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3,068</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2,836</w:t>
            </w: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46,411</w:t>
            </w:r>
          </w:p>
        </w:tc>
        <w:tc>
          <w:tcPr>
            <w:tcW w:w="0" w:type="dxa"/>
            <w:vAlign w:val="bottom"/>
          </w:tcPr>
          <w:p>
            <w:pPr>
              <w:spacing w:after="0"/>
              <w:rPr>
                <w:sz w:val="1"/>
                <w:szCs w:val="1"/>
                <w:color w:val="auto"/>
              </w:rPr>
            </w:pPr>
          </w:p>
        </w:tc>
      </w:tr>
      <w:tr>
        <w:trPr>
          <w:trHeight w:val="190"/>
        </w:trPr>
        <w:tc>
          <w:tcPr>
            <w:tcW w:w="3200" w:type="dxa"/>
            <w:vAlign w:val="bottom"/>
          </w:tcPr>
          <w:p>
            <w:pPr>
              <w:ind w:left="20"/>
              <w:spacing w:after="0"/>
              <w:rPr>
                <w:sz w:val="20"/>
                <w:szCs w:val="20"/>
                <w:color w:val="auto"/>
              </w:rPr>
            </w:pPr>
            <w:r>
              <w:rPr>
                <w:rFonts w:ascii="Arial" w:cs="Arial" w:eastAsia="Arial" w:hAnsi="Arial"/>
                <w:sz w:val="14"/>
                <w:szCs w:val="14"/>
                <w:color w:val="auto"/>
              </w:rPr>
              <w:t>Add:</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3200" w:type="dxa"/>
            <w:vAlign w:val="bottom"/>
          </w:tcPr>
          <w:p>
            <w:pPr>
              <w:ind w:left="240"/>
              <w:spacing w:after="0"/>
              <w:rPr>
                <w:sz w:val="20"/>
                <w:szCs w:val="20"/>
                <w:color w:val="auto"/>
              </w:rPr>
            </w:pPr>
            <w:r>
              <w:rPr>
                <w:rFonts w:ascii="Arial" w:cs="Arial" w:eastAsia="Arial" w:hAnsi="Arial"/>
                <w:sz w:val="14"/>
                <w:szCs w:val="14"/>
                <w:color w:val="auto"/>
              </w:rPr>
              <w:t>BXP’s share of development and</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181</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185"/>
        </w:trPr>
        <w:tc>
          <w:tcPr>
            <w:tcW w:w="3200" w:type="dxa"/>
            <w:vAlign w:val="bottom"/>
          </w:tcPr>
          <w:p>
            <w:pPr>
              <w:ind w:left="400"/>
              <w:spacing w:after="0"/>
              <w:rPr>
                <w:sz w:val="20"/>
                <w:szCs w:val="20"/>
                <w:color w:val="auto"/>
              </w:rPr>
            </w:pPr>
            <w:r>
              <w:rPr>
                <w:rFonts w:ascii="Arial" w:cs="Arial" w:eastAsia="Arial" w:hAnsi="Arial"/>
                <w:sz w:val="14"/>
                <w:szCs w:val="14"/>
                <w:color w:val="auto"/>
              </w:rPr>
              <w:t>management services revenue</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Arial" w:cs="Arial" w:eastAsia="Arial" w:hAnsi="Arial"/>
                <w:sz w:val="14"/>
                <w:szCs w:val="14"/>
                <w:color w:val="auto"/>
              </w:rPr>
              <w:t>BXP’s share of 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16,664</w:t>
            </w:r>
          </w:p>
        </w:tc>
        <w:tc>
          <w:tcPr>
            <w:tcW w:w="14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11,220</w:t>
            </w:r>
          </w:p>
        </w:tc>
        <w:tc>
          <w:tcPr>
            <w:tcW w:w="160" w:type="dxa"/>
            <w:vAlign w:val="bottom"/>
          </w:tcPr>
          <w:p>
            <w:pPr>
              <w:jc w:val="right"/>
              <w:spacing w:after="0"/>
              <w:rPr>
                <w:sz w:val="20"/>
                <w:szCs w:val="20"/>
                <w:color w:val="auto"/>
              </w:rPr>
            </w:pPr>
            <w:r>
              <w:rPr>
                <w:rFonts w:ascii="Arial" w:cs="Arial" w:eastAsia="Arial" w:hAnsi="Arial"/>
                <w:sz w:val="9"/>
                <w:szCs w:val="9"/>
                <w:color w:val="auto"/>
              </w:rPr>
              <w:t>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12,840</w:t>
            </w:r>
          </w:p>
        </w:tc>
        <w:tc>
          <w:tcPr>
            <w:tcW w:w="160" w:type="dxa"/>
            <w:vAlign w:val="bottom"/>
          </w:tcPr>
          <w:p>
            <w:pPr>
              <w:jc w:val="right"/>
              <w:spacing w:after="0"/>
              <w:rPr>
                <w:sz w:val="20"/>
                <w:szCs w:val="20"/>
                <w:color w:val="auto"/>
              </w:rPr>
            </w:pPr>
            <w:r>
              <w:rPr>
                <w:rFonts w:ascii="Arial" w:cs="Arial" w:eastAsia="Arial" w:hAnsi="Arial"/>
                <w:sz w:val="9"/>
                <w:szCs w:val="9"/>
                <w:color w:val="auto"/>
              </w:rPr>
              <w:t>5</w:t>
            </w: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3,068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2,836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46,628</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3" w:lineRule="exact"/>
        <w:rPr>
          <w:sz w:val="20"/>
          <w:szCs w:val="20"/>
          <w:color w:val="auto"/>
        </w:rPr>
      </w:pPr>
    </w:p>
    <w:p>
      <w:pPr>
        <w:ind w:left="80" w:hanging="72"/>
        <w:spacing w:after="0"/>
        <w:tabs>
          <w:tab w:leader="none" w:pos="80" w:val="left"/>
        </w:tabs>
        <w:numPr>
          <w:ilvl w:val="0"/>
          <w:numId w:val="131"/>
        </w:numPr>
        <w:rPr>
          <w:rFonts w:ascii="Arial" w:cs="Arial" w:eastAsia="Arial" w:hAnsi="Arial"/>
          <w:sz w:val="19"/>
          <w:szCs w:val="19"/>
          <w:color w:val="auto"/>
          <w:vertAlign w:val="superscript"/>
        </w:rPr>
      </w:pPr>
      <w:r>
        <w:rPr>
          <w:rFonts w:ascii="Arial" w:cs="Arial" w:eastAsia="Arial" w:hAnsi="Arial"/>
          <w:sz w:val="14"/>
          <w:szCs w:val="14"/>
          <w:color w:val="auto"/>
        </w:rPr>
        <w:t>For information on the properties included for each region and the Company’s percentage ownership in each property, see pages 21-24.</w:t>
      </w:r>
    </w:p>
    <w:p>
      <w:pPr>
        <w:spacing w:after="0" w:line="26"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2 </w:t>
      </w:r>
      <w:r>
        <w:rPr>
          <w:rFonts w:ascii="Arial" w:cs="Arial" w:eastAsia="Arial" w:hAnsi="Arial"/>
          <w:sz w:val="14"/>
          <w:szCs w:val="14"/>
          <w:color w:val="auto"/>
        </w:rPr>
        <w:t>Lease revenue includes recoveries and service income from clients.</w:t>
      </w:r>
    </w:p>
    <w:p>
      <w:pPr>
        <w:spacing w:after="0" w:line="38"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See the Definitions and Reconciliations sections of this Supplemental package starting on page 56.</w:t>
      </w:r>
    </w:p>
    <w:p>
      <w:pPr>
        <w:spacing w:after="0" w:line="11"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9"/>
          <w:szCs w:val="9"/>
          <w:color w:val="auto"/>
        </w:rPr>
        <w:t xml:space="preserve">4 </w:t>
      </w:r>
      <w:r>
        <w:rPr>
          <w:rFonts w:ascii="Arial" w:cs="Arial" w:eastAsia="Arial" w:hAnsi="Arial"/>
          <w:sz w:val="14"/>
          <w:szCs w:val="14"/>
          <w:color w:val="auto"/>
        </w:rPr>
        <w:t>Includes approximately $240 of straight-line ground rent expense.</w:t>
      </w:r>
    </w:p>
    <w:p>
      <w:pPr>
        <w:spacing w:after="0" w:line="38" w:lineRule="exact"/>
        <w:rPr>
          <w:rFonts w:ascii="Arial" w:cs="Arial" w:eastAsia="Arial" w:hAnsi="Arial"/>
          <w:sz w:val="19"/>
          <w:szCs w:val="19"/>
          <w:color w:val="auto"/>
          <w:vertAlign w:val="superscript"/>
        </w:rPr>
      </w:pPr>
    </w:p>
    <w:p>
      <w:pPr>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The Company’s purchase price allocation under ASC 805 for certain joint ventures differs from the historical basis of the venture.</w:t>
      </w: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65</w:t>
      </w:r>
    </w:p>
    <w:p>
      <w:pPr>
        <w:sectPr>
          <w:pgSz w:w="11900" w:h="16838" w:orient="portrait"/>
          <w:cols w:equalWidth="0" w:num="1">
            <w:col w:w="11240"/>
          </w:cols>
          <w:pgMar w:left="320" w:top="279" w:right="339" w:bottom="1440" w:gutter="0" w:footer="0" w:header="0"/>
          <w:type w:val="continuous"/>
        </w:sectPr>
      </w:pPr>
    </w:p>
    <w:bookmarkStart w:id="73" w:name="page74"/>
    <w:bookmarkEnd w:id="73"/>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Reconciliations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Reconciliation of Net income attributable to BXP, Inc. to</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BXP’s Share of same property net operating income (NOI)</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(dollars in thousands)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80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10"/>
        </w:trPr>
        <w:tc>
          <w:tcPr>
            <w:tcW w:w="8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30-Jun-26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30-Jun-25</w:t>
            </w:r>
          </w:p>
        </w:tc>
        <w:tc>
          <w:tcPr>
            <w:tcW w:w="0" w:type="dxa"/>
            <w:vAlign w:val="bottom"/>
          </w:tcPr>
          <w:p>
            <w:pPr>
              <w:spacing w:after="0"/>
              <w:rPr>
                <w:sz w:val="1"/>
                <w:szCs w:val="1"/>
                <w:color w:val="auto"/>
              </w:rPr>
            </w:pPr>
          </w:p>
        </w:tc>
      </w:tr>
      <w:tr>
        <w:trPr>
          <w:trHeight w:val="203"/>
        </w:trPr>
        <w:tc>
          <w:tcPr>
            <w:tcW w:w="8040" w:type="dxa"/>
            <w:vAlign w:val="bottom"/>
          </w:tcPr>
          <w:p>
            <w:pPr>
              <w:spacing w:after="0"/>
              <w:rPr>
                <w:sz w:val="20"/>
                <w:szCs w:val="20"/>
                <w:color w:val="auto"/>
              </w:rPr>
            </w:pPr>
            <w:r>
              <w:rPr>
                <w:rFonts w:ascii="Arial" w:cs="Arial" w:eastAsia="Arial" w:hAnsi="Arial"/>
                <w:sz w:val="14"/>
                <w:szCs w:val="14"/>
                <w:color w:val="auto"/>
              </w:rPr>
              <w:t>Net income attributable to BXP, Inc.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68,564</w:t>
            </w:r>
          </w:p>
        </w:tc>
        <w:tc>
          <w:tcPr>
            <w:tcW w:w="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88,977</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4"/>
                <w:szCs w:val="14"/>
                <w:color w:val="auto"/>
              </w:rPr>
              <w:t>Net income attributable to noncontrolling interests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24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7,779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10,064</w:t>
            </w:r>
          </w:p>
        </w:tc>
        <w:tc>
          <w:tcPr>
            <w:tcW w:w="0" w:type="dxa"/>
            <w:vAlign w:val="bottom"/>
          </w:tcPr>
          <w:p>
            <w:pPr>
              <w:spacing w:after="0"/>
              <w:rPr>
                <w:sz w:val="1"/>
                <w:szCs w:val="1"/>
                <w:color w:val="auto"/>
              </w:rPr>
            </w:pPr>
          </w:p>
        </w:tc>
      </w:tr>
      <w:tr>
        <w:trPr>
          <w:trHeight w:val="220"/>
        </w:trPr>
        <w:tc>
          <w:tcPr>
            <w:tcW w:w="8040" w:type="dxa"/>
            <w:vAlign w:val="bottom"/>
          </w:tcPr>
          <w:p>
            <w:pPr>
              <w:ind w:left="240"/>
              <w:spacing w:after="0"/>
              <w:rPr>
                <w:sz w:val="20"/>
                <w:szCs w:val="20"/>
                <w:color w:val="auto"/>
              </w:rPr>
            </w:pPr>
            <w:r>
              <w:rPr>
                <w:rFonts w:ascii="Arial" w:cs="Arial" w:eastAsia="Arial" w:hAnsi="Arial"/>
                <w:sz w:val="14"/>
                <w:szCs w:val="14"/>
                <w:color w:val="auto"/>
              </w:rPr>
              <w:t>Noncontrolling interest in property partnerships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26,121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20,100</w:t>
            </w:r>
          </w:p>
        </w:tc>
        <w:tc>
          <w:tcPr>
            <w:tcW w:w="0" w:type="dxa"/>
            <w:vAlign w:val="bottom"/>
          </w:tcPr>
          <w:p>
            <w:pPr>
              <w:spacing w:after="0"/>
              <w:rPr>
                <w:sz w:val="1"/>
                <w:szCs w:val="1"/>
                <w:color w:val="auto"/>
              </w:rPr>
            </w:pPr>
          </w:p>
        </w:tc>
      </w:tr>
      <w:tr>
        <w:trPr>
          <w:trHeight w:val="205"/>
        </w:trPr>
        <w:tc>
          <w:tcPr>
            <w:tcW w:w="8040" w:type="dxa"/>
            <w:vAlign w:val="bottom"/>
          </w:tcPr>
          <w:p>
            <w:pPr>
              <w:spacing w:after="0"/>
              <w:rPr>
                <w:sz w:val="20"/>
                <w:szCs w:val="20"/>
                <w:color w:val="auto"/>
              </w:rPr>
            </w:pPr>
            <w:r>
              <w:rPr>
                <w:rFonts w:ascii="Arial" w:cs="Arial" w:eastAsia="Arial" w:hAnsi="Arial"/>
                <w:sz w:val="14"/>
                <w:szCs w:val="14"/>
                <w:color w:val="auto"/>
              </w:rPr>
              <w:t>Net income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102,464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119,141</w:t>
            </w:r>
          </w:p>
        </w:tc>
        <w:tc>
          <w:tcPr>
            <w:tcW w:w="0" w:type="dxa"/>
            <w:vAlign w:val="bottom"/>
          </w:tcPr>
          <w:p>
            <w:pPr>
              <w:spacing w:after="0"/>
              <w:rPr>
                <w:sz w:val="1"/>
                <w:szCs w:val="1"/>
                <w:color w:val="auto"/>
              </w:rPr>
            </w:pPr>
          </w:p>
        </w:tc>
      </w:tr>
      <w:tr>
        <w:trPr>
          <w:trHeight w:val="216"/>
        </w:trPr>
        <w:tc>
          <w:tcPr>
            <w:tcW w:w="8040" w:type="dxa"/>
            <w:vAlign w:val="bottom"/>
          </w:tcPr>
          <w:p>
            <w:pPr>
              <w:ind w:left="24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50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153,425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162,783</w:t>
            </w:r>
          </w:p>
        </w:tc>
        <w:tc>
          <w:tcPr>
            <w:tcW w:w="0" w:type="dxa"/>
            <w:vAlign w:val="bottom"/>
          </w:tcPr>
          <w:p>
            <w:pPr>
              <w:spacing w:after="0"/>
              <w:rPr>
                <w:sz w:val="1"/>
                <w:szCs w:val="1"/>
                <w:color w:val="auto"/>
              </w:rPr>
            </w:pPr>
          </w:p>
        </w:tc>
      </w:tr>
      <w:tr>
        <w:trPr>
          <w:trHeight w:val="216"/>
        </w:trPr>
        <w:tc>
          <w:tcPr>
            <w:tcW w:w="8040" w:type="dxa"/>
            <w:vAlign w:val="bottom"/>
          </w:tcPr>
          <w:p>
            <w:pPr>
              <w:ind w:left="500"/>
              <w:spacing w:after="0"/>
              <w:rPr>
                <w:sz w:val="20"/>
                <w:szCs w:val="20"/>
                <w:color w:val="auto"/>
              </w:rPr>
            </w:pPr>
            <w:r>
              <w:rPr>
                <w:rFonts w:ascii="Arial" w:cs="Arial" w:eastAsia="Arial" w:hAnsi="Arial"/>
                <w:sz w:val="14"/>
                <w:szCs w:val="14"/>
                <w:color w:val="auto"/>
              </w:rPr>
              <w:t>Impairment loss</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18,036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040" w:type="dxa"/>
            <w:vAlign w:val="bottom"/>
          </w:tcPr>
          <w:p>
            <w:pPr>
              <w:ind w:left="500"/>
              <w:spacing w:after="0"/>
              <w:rPr>
                <w:sz w:val="20"/>
                <w:szCs w:val="20"/>
                <w:color w:val="auto"/>
              </w:rPr>
            </w:pPr>
            <w:r>
              <w:rPr>
                <w:rFonts w:ascii="Arial" w:cs="Arial" w:eastAsia="Arial" w:hAnsi="Arial"/>
                <w:sz w:val="14"/>
                <w:szCs w:val="14"/>
                <w:color w:val="auto"/>
              </w:rPr>
              <w:t>Unrealized loss on non-real estate investment</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6"/>
        </w:trPr>
        <w:tc>
          <w:tcPr>
            <w:tcW w:w="8040" w:type="dxa"/>
            <w:vAlign w:val="bottom"/>
          </w:tcPr>
          <w:p>
            <w:pPr>
              <w:ind w:left="500"/>
              <w:spacing w:after="0"/>
              <w:rPr>
                <w:sz w:val="20"/>
                <w:szCs w:val="20"/>
                <w:color w:val="auto"/>
              </w:rPr>
            </w:pPr>
            <w:r>
              <w:rPr>
                <w:rFonts w:ascii="Arial" w:cs="Arial" w:eastAsia="Arial" w:hAnsi="Arial"/>
                <w:sz w:val="14"/>
                <w:szCs w:val="14"/>
                <w:color w:val="auto"/>
              </w:rPr>
              <w:t>Loss from unconsolidated joint ventures</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2,448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3,324</w:t>
            </w:r>
          </w:p>
        </w:tc>
        <w:tc>
          <w:tcPr>
            <w:tcW w:w="0" w:type="dxa"/>
            <w:vAlign w:val="bottom"/>
          </w:tcPr>
          <w:p>
            <w:pPr>
              <w:spacing w:after="0"/>
              <w:rPr>
                <w:sz w:val="1"/>
                <w:szCs w:val="1"/>
                <w:color w:val="auto"/>
              </w:rPr>
            </w:pPr>
          </w:p>
        </w:tc>
      </w:tr>
      <w:tr>
        <w:trPr>
          <w:trHeight w:val="216"/>
        </w:trPr>
        <w:tc>
          <w:tcPr>
            <w:tcW w:w="8040" w:type="dxa"/>
            <w:vAlign w:val="bottom"/>
          </w:tcPr>
          <w:p>
            <w:pPr>
              <w:ind w:left="50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236,977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223,819</w:t>
            </w:r>
          </w:p>
        </w:tc>
        <w:tc>
          <w:tcPr>
            <w:tcW w:w="0" w:type="dxa"/>
            <w:vAlign w:val="bottom"/>
          </w:tcPr>
          <w:p>
            <w:pPr>
              <w:spacing w:after="0"/>
              <w:rPr>
                <w:sz w:val="1"/>
                <w:szCs w:val="1"/>
                <w:color w:val="auto"/>
              </w:rPr>
            </w:pPr>
          </w:p>
        </w:tc>
      </w:tr>
      <w:tr>
        <w:trPr>
          <w:trHeight w:val="216"/>
        </w:trPr>
        <w:tc>
          <w:tcPr>
            <w:tcW w:w="8040" w:type="dxa"/>
            <w:vAlign w:val="bottom"/>
          </w:tcPr>
          <w:p>
            <w:pPr>
              <w:ind w:left="500"/>
              <w:spacing w:after="0"/>
              <w:rPr>
                <w:sz w:val="20"/>
                <w:szCs w:val="20"/>
                <w:color w:val="auto"/>
              </w:rPr>
            </w:pPr>
            <w:r>
              <w:rPr>
                <w:rFonts w:ascii="Arial" w:cs="Arial" w:eastAsia="Arial" w:hAnsi="Arial"/>
                <w:sz w:val="14"/>
                <w:szCs w:val="14"/>
                <w:color w:val="auto"/>
              </w:rPr>
              <w:t>Transaction costs</w:t>
            </w:r>
          </w:p>
        </w:tc>
        <w:tc>
          <w:tcPr>
            <w:tcW w:w="26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16"/>
        </w:trPr>
        <w:tc>
          <w:tcPr>
            <w:tcW w:w="8040" w:type="dxa"/>
            <w:vAlign w:val="bottom"/>
          </w:tcPr>
          <w:p>
            <w:pPr>
              <w:ind w:left="500"/>
              <w:spacing w:after="0"/>
              <w:rPr>
                <w:sz w:val="20"/>
                <w:szCs w:val="20"/>
                <w:color w:val="auto"/>
              </w:rPr>
            </w:pPr>
            <w:r>
              <w:rPr>
                <w:rFonts w:ascii="Arial" w:cs="Arial" w:eastAsia="Arial" w:hAnsi="Arial"/>
                <w:sz w:val="14"/>
                <w:szCs w:val="14"/>
                <w:color w:val="auto"/>
              </w:rPr>
              <w:t>Payroll and related costs from management services contracts</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3,901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4,104</w:t>
            </w:r>
          </w:p>
        </w:tc>
        <w:tc>
          <w:tcPr>
            <w:tcW w:w="0" w:type="dxa"/>
            <w:vAlign w:val="bottom"/>
          </w:tcPr>
          <w:p>
            <w:pPr>
              <w:spacing w:after="0"/>
              <w:rPr>
                <w:sz w:val="1"/>
                <w:szCs w:val="1"/>
                <w:color w:val="auto"/>
              </w:rPr>
            </w:pPr>
          </w:p>
        </w:tc>
      </w:tr>
      <w:tr>
        <w:trPr>
          <w:trHeight w:val="216"/>
        </w:trPr>
        <w:tc>
          <w:tcPr>
            <w:tcW w:w="8040" w:type="dxa"/>
            <w:vAlign w:val="bottom"/>
          </w:tcPr>
          <w:p>
            <w:pPr>
              <w:ind w:left="500"/>
              <w:spacing w:after="0"/>
              <w:rPr>
                <w:sz w:val="20"/>
                <w:szCs w:val="20"/>
                <w:color w:val="auto"/>
              </w:rPr>
            </w:pPr>
            <w:r>
              <w:rPr>
                <w:rFonts w:ascii="Arial" w:cs="Arial" w:eastAsia="Arial" w:hAnsi="Arial"/>
                <w:sz w:val="14"/>
                <w:szCs w:val="14"/>
                <w:color w:val="auto"/>
              </w:rPr>
              <w:t>General and administrative expense</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50,444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42,516</w:t>
            </w:r>
          </w:p>
        </w:tc>
        <w:tc>
          <w:tcPr>
            <w:tcW w:w="0" w:type="dxa"/>
            <w:vAlign w:val="bottom"/>
          </w:tcPr>
          <w:p>
            <w:pPr>
              <w:spacing w:after="0"/>
              <w:rPr>
                <w:sz w:val="1"/>
                <w:szCs w:val="1"/>
                <w:color w:val="auto"/>
              </w:rPr>
            </w:pPr>
          </w:p>
        </w:tc>
      </w:tr>
      <w:tr>
        <w:trPr>
          <w:trHeight w:val="216"/>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500"/>
              <w:spacing w:after="0"/>
              <w:rPr>
                <w:sz w:val="20"/>
                <w:szCs w:val="20"/>
                <w:color w:val="auto"/>
              </w:rPr>
            </w:pPr>
            <w:r>
              <w:rPr>
                <w:rFonts w:ascii="Arial" w:cs="Arial" w:eastAsia="Arial" w:hAnsi="Arial"/>
                <w:sz w:val="14"/>
                <w:szCs w:val="14"/>
                <w:color w:val="auto"/>
              </w:rPr>
              <w:t>Interest and other income</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6,137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8,063</w:t>
            </w:r>
          </w:p>
        </w:tc>
        <w:tc>
          <w:tcPr>
            <w:tcW w:w="0" w:type="dxa"/>
            <w:vAlign w:val="bottom"/>
          </w:tcPr>
          <w:p>
            <w:pPr>
              <w:spacing w:after="0"/>
              <w:rPr>
                <w:sz w:val="1"/>
                <w:szCs w:val="1"/>
                <w:color w:val="auto"/>
              </w:rPr>
            </w:pPr>
          </w:p>
        </w:tc>
      </w:tr>
      <w:tr>
        <w:trPr>
          <w:trHeight w:val="216"/>
        </w:trPr>
        <w:tc>
          <w:tcPr>
            <w:tcW w:w="8040" w:type="dxa"/>
            <w:vAlign w:val="bottom"/>
          </w:tcPr>
          <w:p>
            <w:pPr>
              <w:ind w:left="500"/>
              <w:spacing w:after="0"/>
              <w:rPr>
                <w:sz w:val="20"/>
                <w:szCs w:val="20"/>
                <w:color w:val="auto"/>
              </w:rPr>
            </w:pPr>
            <w:r>
              <w:rPr>
                <w:rFonts w:ascii="Arial" w:cs="Arial" w:eastAsia="Arial" w:hAnsi="Arial"/>
                <w:sz w:val="14"/>
                <w:szCs w:val="14"/>
                <w:color w:val="auto"/>
              </w:rPr>
              <w:t>Gains from investments in securities</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4,385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216"/>
        </w:trPr>
        <w:tc>
          <w:tcPr>
            <w:tcW w:w="8040" w:type="dxa"/>
            <w:vAlign w:val="bottom"/>
          </w:tcPr>
          <w:p>
            <w:pPr>
              <w:ind w:left="500"/>
              <w:spacing w:after="0"/>
              <w:rPr>
                <w:sz w:val="20"/>
                <w:szCs w:val="20"/>
                <w:color w:val="auto"/>
              </w:rPr>
            </w:pPr>
            <w:r>
              <w:rPr>
                <w:rFonts w:ascii="Arial" w:cs="Arial" w:eastAsia="Arial" w:hAnsi="Arial"/>
                <w:sz w:val="14"/>
                <w:szCs w:val="14"/>
                <w:color w:val="auto"/>
              </w:rPr>
              <w:t>Gains on sales of real estate</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6,997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18,390</w:t>
            </w:r>
          </w:p>
        </w:tc>
        <w:tc>
          <w:tcPr>
            <w:tcW w:w="0" w:type="dxa"/>
            <w:vAlign w:val="bottom"/>
          </w:tcPr>
          <w:p>
            <w:pPr>
              <w:spacing w:after="0"/>
              <w:rPr>
                <w:sz w:val="1"/>
                <w:szCs w:val="1"/>
                <w:color w:val="auto"/>
              </w:rPr>
            </w:pPr>
          </w:p>
        </w:tc>
      </w:tr>
      <w:tr>
        <w:trPr>
          <w:trHeight w:val="216"/>
        </w:trPr>
        <w:tc>
          <w:tcPr>
            <w:tcW w:w="8040" w:type="dxa"/>
            <w:vAlign w:val="bottom"/>
          </w:tcPr>
          <w:p>
            <w:pPr>
              <w:ind w:left="50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3,901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4,104</w:t>
            </w:r>
          </w:p>
        </w:tc>
        <w:tc>
          <w:tcPr>
            <w:tcW w:w="0" w:type="dxa"/>
            <w:vAlign w:val="bottom"/>
          </w:tcPr>
          <w:p>
            <w:pPr>
              <w:spacing w:after="0"/>
              <w:rPr>
                <w:sz w:val="1"/>
                <w:szCs w:val="1"/>
                <w:color w:val="auto"/>
              </w:rPr>
            </w:pPr>
          </w:p>
        </w:tc>
      </w:tr>
      <w:tr>
        <w:trPr>
          <w:trHeight w:val="220"/>
        </w:trPr>
        <w:tc>
          <w:tcPr>
            <w:tcW w:w="8040" w:type="dxa"/>
            <w:vAlign w:val="bottom"/>
          </w:tcPr>
          <w:p>
            <w:pPr>
              <w:ind w:left="500"/>
              <w:spacing w:after="0"/>
              <w:rPr>
                <w:sz w:val="20"/>
                <w:szCs w:val="20"/>
                <w:color w:val="auto"/>
              </w:rPr>
            </w:pPr>
            <w:r>
              <w:rPr>
                <w:rFonts w:ascii="Arial" w:cs="Arial" w:eastAsia="Arial" w:hAnsi="Arial"/>
                <w:sz w:val="14"/>
                <w:szCs w:val="14"/>
                <w:color w:val="auto"/>
              </w:rPr>
              <w:t>Development and management services revenue</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7,633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8,846</w:t>
            </w:r>
          </w:p>
        </w:tc>
        <w:tc>
          <w:tcPr>
            <w:tcW w:w="0" w:type="dxa"/>
            <w:vAlign w:val="bottom"/>
          </w:tcPr>
          <w:p>
            <w:pPr>
              <w:spacing w:after="0"/>
              <w:rPr>
                <w:sz w:val="1"/>
                <w:szCs w:val="1"/>
                <w:color w:val="auto"/>
              </w:rPr>
            </w:pPr>
          </w:p>
        </w:tc>
      </w:tr>
      <w:tr>
        <w:trPr>
          <w:trHeight w:val="205"/>
        </w:trPr>
        <w:tc>
          <w:tcPr>
            <w:tcW w:w="8040" w:type="dxa"/>
            <w:vAlign w:val="bottom"/>
          </w:tcPr>
          <w:p>
            <w:pPr>
              <w:spacing w:after="0"/>
              <w:rPr>
                <w:sz w:val="20"/>
                <w:szCs w:val="20"/>
                <w:color w:val="auto"/>
              </w:rPr>
            </w:pPr>
            <w:r>
              <w:rPr>
                <w:rFonts w:ascii="Arial" w:cs="Arial" w:eastAsia="Arial" w:hAnsi="Arial"/>
                <w:sz w:val="14"/>
                <w:szCs w:val="14"/>
                <w:color w:val="auto"/>
              </w:rPr>
              <w:t>Net Operating Income (NOI)</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538,655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514,080</w:t>
            </w:r>
          </w:p>
        </w:tc>
        <w:tc>
          <w:tcPr>
            <w:tcW w:w="0" w:type="dxa"/>
            <w:vAlign w:val="bottom"/>
          </w:tcPr>
          <w:p>
            <w:pPr>
              <w:spacing w:after="0"/>
              <w:rPr>
                <w:sz w:val="1"/>
                <w:szCs w:val="1"/>
                <w:color w:val="auto"/>
              </w:rPr>
            </w:pPr>
          </w:p>
        </w:tc>
      </w:tr>
      <w:tr>
        <w:trPr>
          <w:trHeight w:val="216"/>
        </w:trPr>
        <w:tc>
          <w:tcPr>
            <w:tcW w:w="8040" w:type="dxa"/>
            <w:vAlign w:val="bottom"/>
          </w:tcPr>
          <w:p>
            <w:pPr>
              <w:ind w:left="24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500"/>
              <w:spacing w:after="0"/>
              <w:rPr>
                <w:sz w:val="20"/>
                <w:szCs w:val="20"/>
                <w:color w:val="auto"/>
              </w:rPr>
            </w:pPr>
            <w:r>
              <w:rPr>
                <w:rFonts w:ascii="Arial" w:cs="Arial" w:eastAsia="Arial" w:hAnsi="Arial"/>
                <w:sz w:val="14"/>
                <w:szCs w:val="14"/>
                <w:color w:val="auto"/>
              </w:rPr>
              <w:t>BXP’s share of NOI from unconsolidated joint ventures</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22,028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31,029</w:t>
            </w:r>
          </w:p>
        </w:tc>
        <w:tc>
          <w:tcPr>
            <w:tcW w:w="0" w:type="dxa"/>
            <w:vAlign w:val="bottom"/>
          </w:tcPr>
          <w:p>
            <w:pPr>
              <w:spacing w:after="0"/>
              <w:rPr>
                <w:sz w:val="1"/>
                <w:szCs w:val="1"/>
                <w:color w:val="auto"/>
              </w:rPr>
            </w:pPr>
          </w:p>
        </w:tc>
      </w:tr>
      <w:tr>
        <w:trPr>
          <w:trHeight w:val="216"/>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40" w:type="dxa"/>
            <w:vAlign w:val="bottom"/>
          </w:tcPr>
          <w:p>
            <w:pPr>
              <w:ind w:left="500"/>
              <w:spacing w:after="0"/>
              <w:rPr>
                <w:sz w:val="20"/>
                <w:szCs w:val="20"/>
                <w:color w:val="auto"/>
              </w:rPr>
            </w:pPr>
            <w:r>
              <w:rPr>
                <w:rFonts w:ascii="Arial" w:cs="Arial" w:eastAsia="Arial" w:hAnsi="Arial"/>
                <w:sz w:val="14"/>
                <w:szCs w:val="14"/>
                <w:color w:val="auto"/>
              </w:rPr>
              <w:t>Partners’ share of NOI from consolidated joint ventures (after income allocation to private REIT shareholders)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60,335</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51,562</w:t>
            </w:r>
          </w:p>
        </w:tc>
        <w:tc>
          <w:tcPr>
            <w:tcW w:w="0" w:type="dxa"/>
            <w:vAlign w:val="bottom"/>
          </w:tcPr>
          <w:p>
            <w:pPr>
              <w:spacing w:after="0"/>
              <w:rPr>
                <w:sz w:val="1"/>
                <w:szCs w:val="1"/>
                <w:color w:val="auto"/>
              </w:rPr>
            </w:pPr>
          </w:p>
        </w:tc>
      </w:tr>
      <w:tr>
        <w:trPr>
          <w:trHeight w:val="205"/>
        </w:trPr>
        <w:tc>
          <w:tcPr>
            <w:tcW w:w="8040" w:type="dxa"/>
            <w:vAlign w:val="bottom"/>
          </w:tcPr>
          <w:p>
            <w:pPr>
              <w:spacing w:after="0"/>
              <w:rPr>
                <w:sz w:val="20"/>
                <w:szCs w:val="20"/>
                <w:color w:val="auto"/>
              </w:rPr>
            </w:pPr>
            <w:r>
              <w:rPr>
                <w:rFonts w:ascii="Arial" w:cs="Arial" w:eastAsia="Arial" w:hAnsi="Arial"/>
                <w:sz w:val="14"/>
                <w:szCs w:val="14"/>
                <w:color w:val="auto"/>
              </w:rPr>
              <w:t>BXP’s Share of NOI</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500,348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493,547</w:t>
            </w:r>
          </w:p>
        </w:tc>
        <w:tc>
          <w:tcPr>
            <w:tcW w:w="0" w:type="dxa"/>
            <w:vAlign w:val="bottom"/>
          </w:tcPr>
          <w:p>
            <w:pPr>
              <w:spacing w:after="0"/>
              <w:rPr>
                <w:sz w:val="1"/>
                <w:szCs w:val="1"/>
                <w:color w:val="auto"/>
              </w:rPr>
            </w:pPr>
          </w:p>
        </w:tc>
      </w:tr>
      <w:tr>
        <w:trPr>
          <w:trHeight w:val="216"/>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500"/>
              <w:spacing w:after="0"/>
              <w:rPr>
                <w:sz w:val="20"/>
                <w:szCs w:val="20"/>
                <w:color w:val="auto"/>
              </w:rPr>
            </w:pPr>
            <w:r>
              <w:rPr>
                <w:rFonts w:ascii="Arial" w:cs="Arial" w:eastAsia="Arial" w:hAnsi="Arial"/>
                <w:sz w:val="14"/>
                <w:szCs w:val="14"/>
                <w:color w:val="auto"/>
              </w:rPr>
              <w:t>Termination income</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2,828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216"/>
        </w:trPr>
        <w:tc>
          <w:tcPr>
            <w:tcW w:w="8040" w:type="dxa"/>
            <w:vAlign w:val="bottom"/>
          </w:tcPr>
          <w:p>
            <w:pPr>
              <w:ind w:left="500"/>
              <w:spacing w:after="0"/>
              <w:rPr>
                <w:sz w:val="20"/>
                <w:szCs w:val="20"/>
                <w:color w:val="auto"/>
              </w:rPr>
            </w:pPr>
            <w:r>
              <w:rPr>
                <w:rFonts w:ascii="Arial" w:cs="Arial" w:eastAsia="Arial" w:hAnsi="Arial"/>
                <w:sz w:val="14"/>
                <w:szCs w:val="14"/>
                <w:color w:val="auto"/>
              </w:rPr>
              <w:t>BXP’s share of termination income from unconsolidated joint ventures</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16"/>
        </w:trPr>
        <w:tc>
          <w:tcPr>
            <w:tcW w:w="8040" w:type="dxa"/>
            <w:vAlign w:val="bottom"/>
          </w:tcPr>
          <w:p>
            <w:pPr>
              <w:ind w:left="24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40" w:type="dxa"/>
            <w:vAlign w:val="bottom"/>
          </w:tcPr>
          <w:p>
            <w:pPr>
              <w:ind w:left="500"/>
              <w:spacing w:after="0"/>
              <w:rPr>
                <w:sz w:val="20"/>
                <w:szCs w:val="20"/>
                <w:color w:val="auto"/>
              </w:rPr>
            </w:pPr>
            <w:r>
              <w:rPr>
                <w:rFonts w:ascii="Arial" w:cs="Arial" w:eastAsia="Arial" w:hAnsi="Arial"/>
                <w:sz w:val="14"/>
                <w:szCs w:val="14"/>
                <w:color w:val="auto"/>
              </w:rPr>
              <w:t>Partners’ share of termination income from consolidated joint ventures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4"/>
        </w:trPr>
        <w:tc>
          <w:tcPr>
            <w:tcW w:w="8040" w:type="dxa"/>
            <w:vAlign w:val="bottom"/>
          </w:tcPr>
          <w:p>
            <w:pPr>
              <w:spacing w:after="0"/>
              <w:rPr>
                <w:sz w:val="20"/>
                <w:szCs w:val="20"/>
                <w:color w:val="auto"/>
              </w:rPr>
            </w:pPr>
            <w:r>
              <w:rPr>
                <w:rFonts w:ascii="Arial" w:cs="Arial" w:eastAsia="Arial" w:hAnsi="Arial"/>
                <w:sz w:val="14"/>
                <w:szCs w:val="14"/>
                <w:color w:val="auto"/>
              </w:rPr>
              <w:t>BXP’s Share of NOI (excluding termination income)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497,543</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492,784</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7"/>
        </w:trPr>
        <w:tc>
          <w:tcPr>
            <w:tcW w:w="8040" w:type="dxa"/>
            <w:vAlign w:val="bottom"/>
          </w:tcPr>
          <w:p>
            <w:pPr>
              <w:spacing w:after="0"/>
              <w:rPr>
                <w:sz w:val="20"/>
                <w:szCs w:val="20"/>
                <w:color w:val="auto"/>
              </w:rPr>
            </w:pPr>
            <w:r>
              <w:rPr>
                <w:rFonts w:ascii="Arial" w:cs="Arial" w:eastAsia="Arial" w:hAnsi="Arial"/>
                <w:sz w:val="14"/>
                <w:szCs w:val="14"/>
                <w:color w:val="auto"/>
              </w:rPr>
              <w:t>Net Operating Income (NOI)</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538,655</w:t>
            </w:r>
          </w:p>
        </w:tc>
        <w:tc>
          <w:tcPr>
            <w:tcW w:w="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514,080</w:t>
            </w:r>
          </w:p>
        </w:tc>
        <w:tc>
          <w:tcPr>
            <w:tcW w:w="0" w:type="dxa"/>
            <w:vAlign w:val="bottom"/>
          </w:tcPr>
          <w:p>
            <w:pPr>
              <w:spacing w:after="0"/>
              <w:rPr>
                <w:sz w:val="1"/>
                <w:szCs w:val="1"/>
                <w:color w:val="auto"/>
              </w:rPr>
            </w:pPr>
          </w:p>
        </w:tc>
      </w:tr>
      <w:tr>
        <w:trPr>
          <w:trHeight w:val="216"/>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ind w:left="500"/>
              <w:spacing w:after="0"/>
              <w:rPr>
                <w:sz w:val="20"/>
                <w:szCs w:val="20"/>
                <w:color w:val="auto"/>
              </w:rPr>
            </w:pPr>
            <w:r>
              <w:rPr>
                <w:rFonts w:ascii="Arial" w:cs="Arial" w:eastAsia="Arial" w:hAnsi="Arial"/>
                <w:sz w:val="14"/>
                <w:szCs w:val="14"/>
                <w:color w:val="auto"/>
              </w:rPr>
              <w:t>Termination income</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2,828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220"/>
        </w:trPr>
        <w:tc>
          <w:tcPr>
            <w:tcW w:w="8040" w:type="dxa"/>
            <w:vAlign w:val="bottom"/>
          </w:tcPr>
          <w:p>
            <w:pPr>
              <w:ind w:left="500"/>
              <w:spacing w:after="0"/>
              <w:rPr>
                <w:sz w:val="20"/>
                <w:szCs w:val="20"/>
                <w:color w:val="auto"/>
              </w:rPr>
            </w:pPr>
            <w:r>
              <w:rPr>
                <w:rFonts w:ascii="Arial" w:cs="Arial" w:eastAsia="Arial" w:hAnsi="Arial"/>
                <w:sz w:val="14"/>
                <w:szCs w:val="14"/>
                <w:color w:val="auto"/>
              </w:rPr>
              <w:t>NOI from non Same Properties (excluding termination income)</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15,574</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11,355</w:t>
            </w:r>
          </w:p>
        </w:tc>
        <w:tc>
          <w:tcPr>
            <w:tcW w:w="0" w:type="dxa"/>
            <w:vAlign w:val="bottom"/>
          </w:tcPr>
          <w:p>
            <w:pPr>
              <w:spacing w:after="0"/>
              <w:rPr>
                <w:sz w:val="1"/>
                <w:szCs w:val="1"/>
                <w:color w:val="auto"/>
              </w:rPr>
            </w:pPr>
          </w:p>
        </w:tc>
      </w:tr>
      <w:tr>
        <w:trPr>
          <w:trHeight w:val="205"/>
        </w:trPr>
        <w:tc>
          <w:tcPr>
            <w:tcW w:w="8040" w:type="dxa"/>
            <w:vAlign w:val="bottom"/>
          </w:tcPr>
          <w:p>
            <w:pPr>
              <w:spacing w:after="0"/>
              <w:rPr>
                <w:sz w:val="20"/>
                <w:szCs w:val="20"/>
                <w:color w:val="auto"/>
              </w:rPr>
            </w:pPr>
            <w:r>
              <w:rPr>
                <w:rFonts w:ascii="Arial" w:cs="Arial" w:eastAsia="Arial" w:hAnsi="Arial"/>
                <w:sz w:val="14"/>
                <w:szCs w:val="14"/>
                <w:color w:val="auto"/>
              </w:rPr>
              <w:t>Same Property NOI (excluding termination income)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520,253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501,816</w:t>
            </w:r>
          </w:p>
        </w:tc>
        <w:tc>
          <w:tcPr>
            <w:tcW w:w="0" w:type="dxa"/>
            <w:vAlign w:val="bottom"/>
          </w:tcPr>
          <w:p>
            <w:pPr>
              <w:spacing w:after="0"/>
              <w:rPr>
                <w:sz w:val="1"/>
                <w:szCs w:val="1"/>
                <w:color w:val="auto"/>
              </w:rPr>
            </w:pPr>
          </w:p>
        </w:tc>
      </w:tr>
      <w:tr>
        <w:trPr>
          <w:trHeight w:val="216"/>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040" w:type="dxa"/>
            <w:vAlign w:val="bottom"/>
          </w:tcPr>
          <w:p>
            <w:pPr>
              <w:ind w:left="500"/>
              <w:spacing w:after="0"/>
              <w:rPr>
                <w:sz w:val="20"/>
                <w:szCs w:val="20"/>
                <w:color w:val="auto"/>
              </w:rPr>
            </w:pPr>
            <w:r>
              <w:rPr>
                <w:rFonts w:ascii="Arial" w:cs="Arial" w:eastAsia="Arial" w:hAnsi="Arial"/>
                <w:sz w:val="14"/>
                <w:szCs w:val="14"/>
                <w:color w:val="auto"/>
              </w:rPr>
              <w:t>Partners’ share of NOI from consolidated joint ventures (excluding termination income and after income allocation</w:t>
            </w:r>
          </w:p>
        </w:tc>
        <w:tc>
          <w:tcPr>
            <w:tcW w:w="260" w:type="dxa"/>
            <w:vAlign w:val="bottom"/>
          </w:tcPr>
          <w:p>
            <w:pPr>
              <w:spacing w:after="0"/>
              <w:rPr>
                <w:sz w:val="15"/>
                <w:szCs w:val="15"/>
                <w:color w:val="auto"/>
              </w:rPr>
            </w:pPr>
          </w:p>
        </w:tc>
        <w:tc>
          <w:tcPr>
            <w:tcW w:w="1280" w:type="dxa"/>
            <w:vAlign w:val="bottom"/>
            <w:vMerge w:val="restart"/>
          </w:tcPr>
          <w:p>
            <w:pPr>
              <w:jc w:val="right"/>
              <w:ind w:right="108"/>
              <w:spacing w:after="0"/>
              <w:rPr>
                <w:sz w:val="20"/>
                <w:szCs w:val="20"/>
                <w:color w:val="auto"/>
              </w:rPr>
            </w:pPr>
            <w:r>
              <w:rPr>
                <w:rFonts w:ascii="Arial" w:cs="Arial" w:eastAsia="Arial" w:hAnsi="Arial"/>
                <w:sz w:val="14"/>
                <w:szCs w:val="14"/>
                <w:color w:val="auto"/>
              </w:rPr>
              <w:t>60,312</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51,562</w:t>
            </w:r>
          </w:p>
        </w:tc>
        <w:tc>
          <w:tcPr>
            <w:tcW w:w="0" w:type="dxa"/>
            <w:vAlign w:val="bottom"/>
          </w:tcPr>
          <w:p>
            <w:pPr>
              <w:spacing w:after="0"/>
              <w:rPr>
                <w:sz w:val="1"/>
                <w:szCs w:val="1"/>
                <w:color w:val="auto"/>
              </w:rPr>
            </w:pPr>
          </w:p>
        </w:tc>
      </w:tr>
      <w:tr>
        <w:trPr>
          <w:trHeight w:val="190"/>
        </w:trPr>
        <w:tc>
          <w:tcPr>
            <w:tcW w:w="8040" w:type="dxa"/>
            <w:vAlign w:val="bottom"/>
          </w:tcPr>
          <w:p>
            <w:pPr>
              <w:ind w:left="660"/>
              <w:spacing w:after="0"/>
              <w:rPr>
                <w:sz w:val="20"/>
                <w:szCs w:val="20"/>
                <w:color w:val="auto"/>
              </w:rPr>
            </w:pPr>
            <w:r>
              <w:rPr>
                <w:rFonts w:ascii="Arial" w:cs="Arial" w:eastAsia="Arial" w:hAnsi="Arial"/>
                <w:sz w:val="14"/>
                <w:szCs w:val="14"/>
                <w:color w:val="auto"/>
              </w:rPr>
              <w:t>to private REIT shareholders)</w:t>
            </w: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24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040" w:type="dxa"/>
            <w:vAlign w:val="bottom"/>
          </w:tcPr>
          <w:p>
            <w:pPr>
              <w:ind w:left="500"/>
              <w:spacing w:after="0"/>
              <w:rPr>
                <w:sz w:val="20"/>
                <w:szCs w:val="20"/>
                <w:color w:val="auto"/>
              </w:rPr>
            </w:pPr>
            <w:r>
              <w:rPr>
                <w:rFonts w:ascii="Arial" w:cs="Arial" w:eastAsia="Arial" w:hAnsi="Arial"/>
                <w:sz w:val="14"/>
                <w:szCs w:val="14"/>
                <w:color w:val="auto"/>
              </w:rPr>
              <w:t>Partners’ share of NOI from non Same Properties from consolidated joint ventures (excluding termination income and</w:t>
            </w:r>
          </w:p>
        </w:tc>
        <w:tc>
          <w:tcPr>
            <w:tcW w:w="260" w:type="dxa"/>
            <w:vAlign w:val="bottom"/>
          </w:tcPr>
          <w:p>
            <w:pPr>
              <w:spacing w:after="0"/>
              <w:rPr>
                <w:sz w:val="15"/>
                <w:szCs w:val="15"/>
                <w:color w:val="auto"/>
              </w:rPr>
            </w:pPr>
          </w:p>
        </w:tc>
        <w:tc>
          <w:tcPr>
            <w:tcW w:w="1280" w:type="dxa"/>
            <w:vAlign w:val="bottom"/>
            <w:vMerge w:val="restart"/>
          </w:tcPr>
          <w:p>
            <w:pPr>
              <w:jc w:val="right"/>
              <w:ind w:right="108"/>
              <w:spacing w:after="0"/>
              <w:rPr>
                <w:sz w:val="20"/>
                <w:szCs w:val="20"/>
                <w:color w:val="auto"/>
              </w:rPr>
            </w:pPr>
            <w:r>
              <w:rPr>
                <w:rFonts w:ascii="Arial" w:cs="Arial" w:eastAsia="Arial" w:hAnsi="Arial"/>
                <w:sz w:val="14"/>
                <w:szCs w:val="14"/>
                <w:color w:val="auto"/>
              </w:rPr>
              <w:t>6,853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040" w:type="dxa"/>
            <w:vAlign w:val="bottom"/>
          </w:tcPr>
          <w:p>
            <w:pPr>
              <w:ind w:left="660"/>
              <w:spacing w:after="0"/>
              <w:rPr>
                <w:sz w:val="20"/>
                <w:szCs w:val="20"/>
                <w:color w:val="auto"/>
              </w:rPr>
            </w:pPr>
            <w:r>
              <w:rPr>
                <w:rFonts w:ascii="Arial" w:cs="Arial" w:eastAsia="Arial" w:hAnsi="Arial"/>
                <w:sz w:val="14"/>
                <w:szCs w:val="14"/>
                <w:color w:val="auto"/>
              </w:rPr>
              <w:t>after income allocation to private REIT shareholders)</w:t>
            </w: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40" w:type="dxa"/>
            <w:vAlign w:val="bottom"/>
          </w:tcPr>
          <w:p>
            <w:pPr>
              <w:ind w:left="500"/>
              <w:spacing w:after="0"/>
              <w:rPr>
                <w:sz w:val="20"/>
                <w:szCs w:val="20"/>
                <w:color w:val="auto"/>
              </w:rPr>
            </w:pPr>
            <w:r>
              <w:rPr>
                <w:rFonts w:ascii="Arial" w:cs="Arial" w:eastAsia="Arial" w:hAnsi="Arial"/>
                <w:sz w:val="14"/>
                <w:szCs w:val="14"/>
                <w:color w:val="auto"/>
              </w:rPr>
              <w:t>BXP’s share of NOI from unconsolidated joint ventures (excluding termination income)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22,028</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31,175</w:t>
            </w:r>
          </w:p>
        </w:tc>
        <w:tc>
          <w:tcPr>
            <w:tcW w:w="0" w:type="dxa"/>
            <w:vAlign w:val="bottom"/>
          </w:tcPr>
          <w:p>
            <w:pPr>
              <w:spacing w:after="0"/>
              <w:rPr>
                <w:sz w:val="1"/>
                <w:szCs w:val="1"/>
                <w:color w:val="auto"/>
              </w:rPr>
            </w:pPr>
          </w:p>
        </w:tc>
      </w:tr>
      <w:tr>
        <w:trPr>
          <w:trHeight w:val="216"/>
        </w:trPr>
        <w:tc>
          <w:tcPr>
            <w:tcW w:w="8040" w:type="dxa"/>
            <w:vAlign w:val="bottom"/>
          </w:tcPr>
          <w:p>
            <w:pPr>
              <w:ind w:left="24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40" w:type="dxa"/>
            <w:vAlign w:val="bottom"/>
          </w:tcPr>
          <w:p>
            <w:pPr>
              <w:ind w:left="500"/>
              <w:spacing w:after="0"/>
              <w:rPr>
                <w:sz w:val="20"/>
                <w:szCs w:val="20"/>
                <w:color w:val="auto"/>
              </w:rPr>
            </w:pPr>
            <w:r>
              <w:rPr>
                <w:rFonts w:ascii="Arial" w:cs="Arial" w:eastAsia="Arial" w:hAnsi="Arial"/>
                <w:sz w:val="14"/>
                <w:szCs w:val="14"/>
                <w:color w:val="auto"/>
              </w:rPr>
              <w:t>BXP’s share of NOI from non Same Properties from unconsolidated joint ventures (excluding termination income)</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2,009</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10,865</w:t>
            </w:r>
          </w:p>
        </w:tc>
        <w:tc>
          <w:tcPr>
            <w:tcW w:w="0" w:type="dxa"/>
            <w:vAlign w:val="bottom"/>
          </w:tcPr>
          <w:p>
            <w:pPr>
              <w:spacing w:after="0"/>
              <w:rPr>
                <w:sz w:val="1"/>
                <w:szCs w:val="1"/>
                <w:color w:val="auto"/>
              </w:rPr>
            </w:pPr>
          </w:p>
        </w:tc>
      </w:tr>
      <w:tr>
        <w:trPr>
          <w:trHeight w:val="213"/>
        </w:trPr>
        <w:tc>
          <w:tcPr>
            <w:tcW w:w="8040" w:type="dxa"/>
            <w:vAlign w:val="bottom"/>
          </w:tcPr>
          <w:p>
            <w:pPr>
              <w:spacing w:after="0"/>
              <w:rPr>
                <w:sz w:val="20"/>
                <w:szCs w:val="20"/>
                <w:color w:val="auto"/>
              </w:rPr>
            </w:pPr>
            <w:r>
              <w:rPr>
                <w:rFonts w:ascii="Arial" w:cs="Arial" w:eastAsia="Arial" w:hAnsi="Arial"/>
                <w:sz w:val="14"/>
                <w:szCs w:val="14"/>
                <w:color w:val="auto"/>
              </w:rPr>
              <w:t>BXP’s Share of Same Property NOI (excluding termination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486,813</w:t>
            </w:r>
          </w:p>
        </w:tc>
        <w:tc>
          <w:tcPr>
            <w:tcW w:w="4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470,564</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5"/>
        </w:trPr>
        <w:tc>
          <w:tcPr>
            <w:tcW w:w="8040" w:type="dxa"/>
            <w:vAlign w:val="bottom"/>
          </w:tcPr>
          <w:p>
            <w:pPr>
              <w:spacing w:after="0"/>
              <w:rPr>
                <w:sz w:val="20"/>
                <w:szCs w:val="20"/>
                <w:color w:val="auto"/>
              </w:rPr>
            </w:pPr>
            <w:r>
              <w:rPr>
                <w:rFonts w:ascii="Arial" w:cs="Arial" w:eastAsia="Arial" w:hAnsi="Arial"/>
                <w:sz w:val="14"/>
                <w:szCs w:val="14"/>
                <w:color w:val="auto"/>
              </w:rPr>
              <w:t>Change in BXP’s Share of Same Property NOI (excluding termination income)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16,249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040" w:type="dxa"/>
            <w:vAlign w:val="bottom"/>
          </w:tcPr>
          <w:p>
            <w:pPr>
              <w:spacing w:after="0"/>
              <w:rPr>
                <w:sz w:val="20"/>
                <w:szCs w:val="20"/>
                <w:color w:val="auto"/>
              </w:rPr>
            </w:pPr>
            <w:r>
              <w:rPr>
                <w:rFonts w:ascii="Arial" w:cs="Arial" w:eastAsia="Arial" w:hAnsi="Arial"/>
                <w:sz w:val="14"/>
                <w:szCs w:val="14"/>
                <w:color w:val="auto"/>
              </w:rPr>
              <w:t>Change in BXP’s Share of Same Property NOI (excluding termination income)</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1080"/>
        <w:spacing w:after="0"/>
        <w:rPr>
          <w:sz w:val="20"/>
          <w:szCs w:val="20"/>
          <w:color w:val="auto"/>
        </w:rPr>
      </w:pPr>
      <w:r>
        <w:rPr>
          <w:rFonts w:ascii="Arial" w:cs="Arial" w:eastAsia="Arial" w:hAnsi="Arial"/>
          <w:sz w:val="14"/>
          <w:szCs w:val="14"/>
          <w:color w:val="auto"/>
        </w:rPr>
        <w:t>66</w:t>
      </w:r>
    </w:p>
    <w:p>
      <w:pPr>
        <w:sectPr>
          <w:pgSz w:w="11900" w:h="16838" w:orient="portrait"/>
          <w:cols w:equalWidth="0" w:num="1">
            <w:col w:w="11240"/>
          </w:cols>
          <w:pgMar w:left="320" w:top="279" w:right="339" w:bottom="1440" w:gutter="0" w:footer="0" w:header="0"/>
          <w:type w:val="continuous"/>
        </w:sectPr>
      </w:pPr>
    </w:p>
    <w:bookmarkStart w:id="74" w:name="page75"/>
    <w:bookmarkEnd w:id="74"/>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Q3 2026</w:t>
            </w:r>
          </w:p>
        </w:tc>
        <w:tc>
          <w:tcPr>
            <w:tcW w:w="0" w:type="dxa"/>
            <w:vAlign w:val="bottom"/>
          </w:tcPr>
          <w:p>
            <w:pPr>
              <w:spacing w:after="0"/>
              <w:rPr>
                <w:sz w:val="1"/>
                <w:szCs w:val="1"/>
                <w:color w:val="auto"/>
              </w:rPr>
            </w:pPr>
          </w:p>
        </w:tc>
      </w:tr>
      <w:tr>
        <w:trPr>
          <w:trHeight w:val="244"/>
        </w:trPr>
        <w:tc>
          <w:tcPr>
            <w:tcW w:w="80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00497F"/>
              </w:rPr>
              <w:t>Reconciliations (continued)</w:t>
            </w:r>
          </w:p>
        </w:tc>
        <w:tc>
          <w:tcPr>
            <w:tcW w:w="0" w:type="dxa"/>
            <w:vAlign w:val="bottom"/>
          </w:tcPr>
          <w:p>
            <w:pPr>
              <w:spacing w:after="0"/>
              <w:rPr>
                <w:sz w:val="1"/>
                <w:szCs w:val="1"/>
                <w:color w:val="auto"/>
              </w:rPr>
            </w:pPr>
          </w:p>
        </w:tc>
      </w:tr>
      <w:tr>
        <w:trPr>
          <w:trHeight w:val="693"/>
        </w:trPr>
        <w:tc>
          <w:tcPr>
            <w:tcW w:w="8060" w:type="dxa"/>
            <w:vAlign w:val="bottom"/>
          </w:tcPr>
          <w:p>
            <w:pPr>
              <w:spacing w:after="0"/>
              <w:rPr>
                <w:sz w:val="20"/>
                <w:szCs w:val="20"/>
                <w:color w:val="auto"/>
              </w:rPr>
            </w:pPr>
            <w:r>
              <w:rPr>
                <w:rFonts w:ascii="Arial" w:cs="Arial" w:eastAsia="Arial" w:hAnsi="Arial"/>
                <w:sz w:val="14"/>
                <w:szCs w:val="14"/>
                <w:b w:val="1"/>
                <w:bCs w:val="1"/>
                <w:color w:val="auto"/>
              </w:rPr>
              <w:t>Reconciliation of Net income attributable to BXP, Inc. to</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8060" w:type="dxa"/>
            <w:vAlign w:val="bottom"/>
          </w:tcPr>
          <w:p>
            <w:pPr>
              <w:spacing w:after="0"/>
              <w:rPr>
                <w:sz w:val="20"/>
                <w:szCs w:val="20"/>
                <w:color w:val="auto"/>
              </w:rPr>
            </w:pPr>
            <w:r>
              <w:rPr>
                <w:rFonts w:ascii="Arial" w:cs="Arial" w:eastAsia="Arial" w:hAnsi="Arial"/>
                <w:sz w:val="14"/>
                <w:szCs w:val="14"/>
                <w:b w:val="1"/>
                <w:bCs w:val="1"/>
                <w:color w:val="auto"/>
              </w:rPr>
              <w:t>BXP’s Share of same property net operating income (NOI) - cash</w:t>
            </w: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060" w:type="dxa"/>
            <w:vAlign w:val="bottom"/>
          </w:tcPr>
          <w:p>
            <w:pPr>
              <w:spacing w:after="0"/>
              <w:rPr>
                <w:sz w:val="20"/>
                <w:szCs w:val="20"/>
                <w:color w:val="auto"/>
              </w:rPr>
            </w:pPr>
            <w:r>
              <w:rPr>
                <w:rFonts w:ascii="Arial" w:cs="Arial" w:eastAsia="Arial" w:hAnsi="Arial"/>
                <w:sz w:val="14"/>
                <w:szCs w:val="14"/>
                <w:color w:val="auto"/>
              </w:rPr>
              <w:t>(dollars in thousands)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9"/>
        </w:trPr>
        <w:tc>
          <w:tcPr>
            <w:tcW w:w="80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30-Jun-26</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30-Jun-25</w:t>
            </w:r>
          </w:p>
        </w:tc>
        <w:tc>
          <w:tcPr>
            <w:tcW w:w="0" w:type="dxa"/>
            <w:vAlign w:val="bottom"/>
          </w:tcPr>
          <w:p>
            <w:pPr>
              <w:spacing w:after="0"/>
              <w:rPr>
                <w:sz w:val="1"/>
                <w:szCs w:val="1"/>
                <w:color w:val="auto"/>
              </w:rPr>
            </w:pPr>
          </w:p>
        </w:tc>
      </w:tr>
      <w:tr>
        <w:trPr>
          <w:trHeight w:val="203"/>
        </w:trPr>
        <w:tc>
          <w:tcPr>
            <w:tcW w:w="8060" w:type="dxa"/>
            <w:vAlign w:val="bottom"/>
          </w:tcPr>
          <w:p>
            <w:pPr>
              <w:ind w:left="20"/>
              <w:spacing w:after="0"/>
              <w:rPr>
                <w:sz w:val="20"/>
                <w:szCs w:val="20"/>
                <w:color w:val="auto"/>
              </w:rPr>
            </w:pPr>
            <w:r>
              <w:rPr>
                <w:rFonts w:ascii="Arial" w:cs="Arial" w:eastAsia="Arial" w:hAnsi="Arial"/>
                <w:sz w:val="14"/>
                <w:szCs w:val="14"/>
                <w:color w:val="auto"/>
              </w:rPr>
              <w:t>Net income attributable to BXP, Inc.</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68,564</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88,977</w:t>
            </w:r>
          </w:p>
        </w:tc>
        <w:tc>
          <w:tcPr>
            <w:tcW w:w="0" w:type="dxa"/>
            <w:vAlign w:val="bottom"/>
          </w:tcPr>
          <w:p>
            <w:pPr>
              <w:spacing w:after="0"/>
              <w:rPr>
                <w:sz w:val="1"/>
                <w:szCs w:val="1"/>
                <w:color w:val="auto"/>
              </w:rPr>
            </w:pPr>
          </w:p>
        </w:tc>
      </w:tr>
      <w:tr>
        <w:trPr>
          <w:trHeight w:val="216"/>
        </w:trPr>
        <w:tc>
          <w:tcPr>
            <w:tcW w:w="806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26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7,779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10,064</w:t>
            </w:r>
          </w:p>
        </w:tc>
        <w:tc>
          <w:tcPr>
            <w:tcW w:w="0" w:type="dxa"/>
            <w:vAlign w:val="bottom"/>
          </w:tcPr>
          <w:p>
            <w:pPr>
              <w:spacing w:after="0"/>
              <w:rPr>
                <w:sz w:val="1"/>
                <w:szCs w:val="1"/>
                <w:color w:val="auto"/>
              </w:rPr>
            </w:pPr>
          </w:p>
        </w:tc>
      </w:tr>
      <w:tr>
        <w:trPr>
          <w:trHeight w:val="220"/>
        </w:trPr>
        <w:tc>
          <w:tcPr>
            <w:tcW w:w="8060" w:type="dxa"/>
            <w:vAlign w:val="bottom"/>
          </w:tcPr>
          <w:p>
            <w:pPr>
              <w:ind w:left="260"/>
              <w:spacing w:after="0"/>
              <w:rPr>
                <w:sz w:val="20"/>
                <w:szCs w:val="20"/>
                <w:color w:val="auto"/>
              </w:rPr>
            </w:pPr>
            <w:r>
              <w:rPr>
                <w:rFonts w:ascii="Arial" w:cs="Arial" w:eastAsia="Arial" w:hAnsi="Arial"/>
                <w:sz w:val="14"/>
                <w:szCs w:val="14"/>
                <w:color w:val="auto"/>
              </w:rPr>
              <w:t>Noncontrolling interest in property partnerships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26,121</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20,100</w:t>
            </w:r>
          </w:p>
        </w:tc>
        <w:tc>
          <w:tcPr>
            <w:tcW w:w="0" w:type="dxa"/>
            <w:vAlign w:val="bottom"/>
          </w:tcPr>
          <w:p>
            <w:pPr>
              <w:spacing w:after="0"/>
              <w:rPr>
                <w:sz w:val="1"/>
                <w:szCs w:val="1"/>
                <w:color w:val="auto"/>
              </w:rPr>
            </w:pPr>
          </w:p>
        </w:tc>
      </w:tr>
      <w:tr>
        <w:trPr>
          <w:trHeight w:val="206"/>
        </w:trPr>
        <w:tc>
          <w:tcPr>
            <w:tcW w:w="80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102,464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119,141</w:t>
            </w:r>
          </w:p>
        </w:tc>
        <w:tc>
          <w:tcPr>
            <w:tcW w:w="0" w:type="dxa"/>
            <w:vAlign w:val="bottom"/>
          </w:tcPr>
          <w:p>
            <w:pPr>
              <w:spacing w:after="0"/>
              <w:rPr>
                <w:sz w:val="1"/>
                <w:szCs w:val="1"/>
                <w:color w:val="auto"/>
              </w:rPr>
            </w:pPr>
          </w:p>
        </w:tc>
      </w:tr>
      <w:tr>
        <w:trPr>
          <w:trHeight w:val="216"/>
        </w:trPr>
        <w:tc>
          <w:tcPr>
            <w:tcW w:w="8060" w:type="dxa"/>
            <w:vAlign w:val="bottom"/>
          </w:tcPr>
          <w:p>
            <w:pPr>
              <w:ind w:left="26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52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153,425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162,783</w:t>
            </w:r>
          </w:p>
        </w:tc>
        <w:tc>
          <w:tcPr>
            <w:tcW w:w="0" w:type="dxa"/>
            <w:vAlign w:val="bottom"/>
          </w:tcPr>
          <w:p>
            <w:pPr>
              <w:spacing w:after="0"/>
              <w:rPr>
                <w:sz w:val="1"/>
                <w:szCs w:val="1"/>
                <w:color w:val="auto"/>
              </w:rPr>
            </w:pPr>
          </w:p>
        </w:tc>
      </w:tr>
      <w:tr>
        <w:trPr>
          <w:trHeight w:val="216"/>
        </w:trPr>
        <w:tc>
          <w:tcPr>
            <w:tcW w:w="8060" w:type="dxa"/>
            <w:vAlign w:val="bottom"/>
          </w:tcPr>
          <w:p>
            <w:pPr>
              <w:ind w:left="520"/>
              <w:spacing w:after="0"/>
              <w:rPr>
                <w:sz w:val="20"/>
                <w:szCs w:val="20"/>
                <w:color w:val="auto"/>
              </w:rPr>
            </w:pPr>
            <w:r>
              <w:rPr>
                <w:rFonts w:ascii="Arial" w:cs="Arial" w:eastAsia="Arial" w:hAnsi="Arial"/>
                <w:sz w:val="14"/>
                <w:szCs w:val="14"/>
                <w:color w:val="auto"/>
              </w:rPr>
              <w:t>Impairment loss</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18,036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8060" w:type="dxa"/>
            <w:vAlign w:val="bottom"/>
          </w:tcPr>
          <w:p>
            <w:pPr>
              <w:ind w:left="520"/>
              <w:spacing w:after="0"/>
              <w:rPr>
                <w:sz w:val="20"/>
                <w:szCs w:val="20"/>
                <w:color w:val="auto"/>
              </w:rPr>
            </w:pPr>
            <w:r>
              <w:rPr>
                <w:rFonts w:ascii="Arial" w:cs="Arial" w:eastAsia="Arial" w:hAnsi="Arial"/>
                <w:sz w:val="14"/>
                <w:szCs w:val="14"/>
                <w:color w:val="auto"/>
              </w:rPr>
              <w:t>Unrealized loss on non-real estate investment</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75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6"/>
        </w:trPr>
        <w:tc>
          <w:tcPr>
            <w:tcW w:w="8060" w:type="dxa"/>
            <w:vAlign w:val="bottom"/>
          </w:tcPr>
          <w:p>
            <w:pPr>
              <w:ind w:left="520"/>
              <w:spacing w:after="0"/>
              <w:rPr>
                <w:sz w:val="20"/>
                <w:szCs w:val="20"/>
                <w:color w:val="auto"/>
              </w:rPr>
            </w:pPr>
            <w:r>
              <w:rPr>
                <w:rFonts w:ascii="Arial" w:cs="Arial" w:eastAsia="Arial" w:hAnsi="Arial"/>
                <w:sz w:val="14"/>
                <w:szCs w:val="14"/>
                <w:color w:val="auto"/>
              </w:rPr>
              <w:t>Loss from unconsolidated joint ventures</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2,448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3,324</w:t>
            </w:r>
          </w:p>
        </w:tc>
        <w:tc>
          <w:tcPr>
            <w:tcW w:w="0" w:type="dxa"/>
            <w:vAlign w:val="bottom"/>
          </w:tcPr>
          <w:p>
            <w:pPr>
              <w:spacing w:after="0"/>
              <w:rPr>
                <w:sz w:val="1"/>
                <w:szCs w:val="1"/>
                <w:color w:val="auto"/>
              </w:rPr>
            </w:pPr>
          </w:p>
        </w:tc>
      </w:tr>
      <w:tr>
        <w:trPr>
          <w:trHeight w:val="216"/>
        </w:trPr>
        <w:tc>
          <w:tcPr>
            <w:tcW w:w="8060" w:type="dxa"/>
            <w:vAlign w:val="bottom"/>
          </w:tcPr>
          <w:p>
            <w:pPr>
              <w:ind w:left="520"/>
              <w:spacing w:after="0"/>
              <w:rPr>
                <w:sz w:val="20"/>
                <w:szCs w:val="20"/>
                <w:color w:val="auto"/>
              </w:rPr>
            </w:pPr>
            <w:r>
              <w:rPr>
                <w:rFonts w:ascii="Arial" w:cs="Arial" w:eastAsia="Arial" w:hAnsi="Arial"/>
                <w:sz w:val="14"/>
                <w:szCs w:val="14"/>
                <w:color w:val="auto"/>
              </w:rPr>
              <w:t>Depreciation and amortization expense</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236,977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223,819</w:t>
            </w:r>
          </w:p>
        </w:tc>
        <w:tc>
          <w:tcPr>
            <w:tcW w:w="0" w:type="dxa"/>
            <w:vAlign w:val="bottom"/>
          </w:tcPr>
          <w:p>
            <w:pPr>
              <w:spacing w:after="0"/>
              <w:rPr>
                <w:sz w:val="1"/>
                <w:szCs w:val="1"/>
                <w:color w:val="auto"/>
              </w:rPr>
            </w:pPr>
          </w:p>
        </w:tc>
      </w:tr>
      <w:tr>
        <w:trPr>
          <w:trHeight w:val="216"/>
        </w:trPr>
        <w:tc>
          <w:tcPr>
            <w:tcW w:w="8060" w:type="dxa"/>
            <w:vAlign w:val="bottom"/>
          </w:tcPr>
          <w:p>
            <w:pPr>
              <w:ind w:left="520"/>
              <w:spacing w:after="0"/>
              <w:rPr>
                <w:sz w:val="20"/>
                <w:szCs w:val="20"/>
                <w:color w:val="auto"/>
              </w:rPr>
            </w:pPr>
            <w:r>
              <w:rPr>
                <w:rFonts w:ascii="Arial" w:cs="Arial" w:eastAsia="Arial" w:hAnsi="Arial"/>
                <w:sz w:val="14"/>
                <w:szCs w:val="14"/>
                <w:color w:val="auto"/>
              </w:rPr>
              <w:t>Transaction costs</w:t>
            </w:r>
          </w:p>
        </w:tc>
        <w:tc>
          <w:tcPr>
            <w:tcW w:w="26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16"/>
        </w:trPr>
        <w:tc>
          <w:tcPr>
            <w:tcW w:w="8060" w:type="dxa"/>
            <w:vAlign w:val="bottom"/>
          </w:tcPr>
          <w:p>
            <w:pPr>
              <w:ind w:left="520"/>
              <w:spacing w:after="0"/>
              <w:rPr>
                <w:sz w:val="20"/>
                <w:szCs w:val="20"/>
                <w:color w:val="auto"/>
              </w:rPr>
            </w:pPr>
            <w:r>
              <w:rPr>
                <w:rFonts w:ascii="Arial" w:cs="Arial" w:eastAsia="Arial" w:hAnsi="Arial"/>
                <w:sz w:val="14"/>
                <w:szCs w:val="14"/>
                <w:color w:val="auto"/>
              </w:rPr>
              <w:t>Payroll and related costs from management services contracts</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3,901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4,104</w:t>
            </w:r>
          </w:p>
        </w:tc>
        <w:tc>
          <w:tcPr>
            <w:tcW w:w="0" w:type="dxa"/>
            <w:vAlign w:val="bottom"/>
          </w:tcPr>
          <w:p>
            <w:pPr>
              <w:spacing w:after="0"/>
              <w:rPr>
                <w:sz w:val="1"/>
                <w:szCs w:val="1"/>
                <w:color w:val="auto"/>
              </w:rPr>
            </w:pPr>
          </w:p>
        </w:tc>
      </w:tr>
      <w:tr>
        <w:trPr>
          <w:trHeight w:val="216"/>
        </w:trPr>
        <w:tc>
          <w:tcPr>
            <w:tcW w:w="8060" w:type="dxa"/>
            <w:vAlign w:val="bottom"/>
          </w:tcPr>
          <w:p>
            <w:pPr>
              <w:ind w:left="520"/>
              <w:spacing w:after="0"/>
              <w:rPr>
                <w:sz w:val="20"/>
                <w:szCs w:val="20"/>
                <w:color w:val="auto"/>
              </w:rPr>
            </w:pPr>
            <w:r>
              <w:rPr>
                <w:rFonts w:ascii="Arial" w:cs="Arial" w:eastAsia="Arial" w:hAnsi="Arial"/>
                <w:sz w:val="14"/>
                <w:szCs w:val="14"/>
                <w:color w:val="auto"/>
              </w:rPr>
              <w:t>General and administrative expense</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50,444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42,516</w:t>
            </w:r>
          </w:p>
        </w:tc>
        <w:tc>
          <w:tcPr>
            <w:tcW w:w="0" w:type="dxa"/>
            <w:vAlign w:val="bottom"/>
          </w:tcPr>
          <w:p>
            <w:pPr>
              <w:spacing w:after="0"/>
              <w:rPr>
                <w:sz w:val="1"/>
                <w:szCs w:val="1"/>
                <w:color w:val="auto"/>
              </w:rPr>
            </w:pPr>
          </w:p>
        </w:tc>
      </w:tr>
      <w:tr>
        <w:trPr>
          <w:trHeight w:val="216"/>
        </w:trPr>
        <w:tc>
          <w:tcPr>
            <w:tcW w:w="8060" w:type="dxa"/>
            <w:vAlign w:val="bottom"/>
          </w:tcPr>
          <w:p>
            <w:pPr>
              <w:ind w:left="26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520"/>
              <w:spacing w:after="0"/>
              <w:rPr>
                <w:sz w:val="20"/>
                <w:szCs w:val="20"/>
                <w:color w:val="auto"/>
              </w:rPr>
            </w:pPr>
            <w:r>
              <w:rPr>
                <w:rFonts w:ascii="Arial" w:cs="Arial" w:eastAsia="Arial" w:hAnsi="Arial"/>
                <w:sz w:val="14"/>
                <w:szCs w:val="14"/>
                <w:color w:val="auto"/>
              </w:rPr>
              <w:t>Interest and other income</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6,137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8,063</w:t>
            </w:r>
          </w:p>
        </w:tc>
        <w:tc>
          <w:tcPr>
            <w:tcW w:w="0" w:type="dxa"/>
            <w:vAlign w:val="bottom"/>
          </w:tcPr>
          <w:p>
            <w:pPr>
              <w:spacing w:after="0"/>
              <w:rPr>
                <w:sz w:val="1"/>
                <w:szCs w:val="1"/>
                <w:color w:val="auto"/>
              </w:rPr>
            </w:pPr>
          </w:p>
        </w:tc>
      </w:tr>
      <w:tr>
        <w:trPr>
          <w:trHeight w:val="216"/>
        </w:trPr>
        <w:tc>
          <w:tcPr>
            <w:tcW w:w="8060" w:type="dxa"/>
            <w:vAlign w:val="bottom"/>
          </w:tcPr>
          <w:p>
            <w:pPr>
              <w:ind w:left="520"/>
              <w:spacing w:after="0"/>
              <w:rPr>
                <w:sz w:val="20"/>
                <w:szCs w:val="20"/>
                <w:color w:val="auto"/>
              </w:rPr>
            </w:pPr>
            <w:r>
              <w:rPr>
                <w:rFonts w:ascii="Arial" w:cs="Arial" w:eastAsia="Arial" w:hAnsi="Arial"/>
                <w:sz w:val="14"/>
                <w:szCs w:val="14"/>
                <w:color w:val="auto"/>
              </w:rPr>
              <w:t>Gains from investments in securities</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4,385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216"/>
        </w:trPr>
        <w:tc>
          <w:tcPr>
            <w:tcW w:w="8060" w:type="dxa"/>
            <w:vAlign w:val="bottom"/>
          </w:tcPr>
          <w:p>
            <w:pPr>
              <w:ind w:left="520"/>
              <w:spacing w:after="0"/>
              <w:rPr>
                <w:sz w:val="20"/>
                <w:szCs w:val="20"/>
                <w:color w:val="auto"/>
              </w:rPr>
            </w:pPr>
            <w:r>
              <w:rPr>
                <w:rFonts w:ascii="Arial" w:cs="Arial" w:eastAsia="Arial" w:hAnsi="Arial"/>
                <w:sz w:val="14"/>
                <w:szCs w:val="14"/>
                <w:color w:val="auto"/>
              </w:rPr>
              <w:t>Gains on sales of real estate</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6,997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18,390</w:t>
            </w:r>
          </w:p>
        </w:tc>
        <w:tc>
          <w:tcPr>
            <w:tcW w:w="0" w:type="dxa"/>
            <w:vAlign w:val="bottom"/>
          </w:tcPr>
          <w:p>
            <w:pPr>
              <w:spacing w:after="0"/>
              <w:rPr>
                <w:sz w:val="1"/>
                <w:szCs w:val="1"/>
                <w:color w:val="auto"/>
              </w:rPr>
            </w:pPr>
          </w:p>
        </w:tc>
      </w:tr>
      <w:tr>
        <w:trPr>
          <w:trHeight w:val="216"/>
        </w:trPr>
        <w:tc>
          <w:tcPr>
            <w:tcW w:w="8060" w:type="dxa"/>
            <w:vAlign w:val="bottom"/>
          </w:tcPr>
          <w:p>
            <w:pPr>
              <w:ind w:left="52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3,901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4,104</w:t>
            </w:r>
          </w:p>
        </w:tc>
        <w:tc>
          <w:tcPr>
            <w:tcW w:w="0" w:type="dxa"/>
            <w:vAlign w:val="bottom"/>
          </w:tcPr>
          <w:p>
            <w:pPr>
              <w:spacing w:after="0"/>
              <w:rPr>
                <w:sz w:val="1"/>
                <w:szCs w:val="1"/>
                <w:color w:val="auto"/>
              </w:rPr>
            </w:pPr>
          </w:p>
        </w:tc>
      </w:tr>
      <w:tr>
        <w:trPr>
          <w:trHeight w:val="220"/>
        </w:trPr>
        <w:tc>
          <w:tcPr>
            <w:tcW w:w="8060" w:type="dxa"/>
            <w:vAlign w:val="bottom"/>
          </w:tcPr>
          <w:p>
            <w:pPr>
              <w:ind w:left="520"/>
              <w:spacing w:after="0"/>
              <w:rPr>
                <w:sz w:val="20"/>
                <w:szCs w:val="20"/>
                <w:color w:val="auto"/>
              </w:rPr>
            </w:pPr>
            <w:r>
              <w:rPr>
                <w:rFonts w:ascii="Arial" w:cs="Arial" w:eastAsia="Arial" w:hAnsi="Arial"/>
                <w:sz w:val="14"/>
                <w:szCs w:val="14"/>
                <w:color w:val="auto"/>
              </w:rPr>
              <w:t>Development and management services revenue</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7,633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8,846</w:t>
            </w:r>
          </w:p>
        </w:tc>
        <w:tc>
          <w:tcPr>
            <w:tcW w:w="0" w:type="dxa"/>
            <w:vAlign w:val="bottom"/>
          </w:tcPr>
          <w:p>
            <w:pPr>
              <w:spacing w:after="0"/>
              <w:rPr>
                <w:sz w:val="1"/>
                <w:szCs w:val="1"/>
                <w:color w:val="auto"/>
              </w:rPr>
            </w:pPr>
          </w:p>
        </w:tc>
      </w:tr>
      <w:tr>
        <w:trPr>
          <w:trHeight w:val="205"/>
        </w:trPr>
        <w:tc>
          <w:tcPr>
            <w:tcW w:w="8060" w:type="dxa"/>
            <w:vAlign w:val="bottom"/>
          </w:tcPr>
          <w:p>
            <w:pPr>
              <w:ind w:left="20"/>
              <w:spacing w:after="0"/>
              <w:rPr>
                <w:sz w:val="20"/>
                <w:szCs w:val="20"/>
                <w:color w:val="auto"/>
              </w:rPr>
            </w:pPr>
            <w:r>
              <w:rPr>
                <w:rFonts w:ascii="Arial" w:cs="Arial" w:eastAsia="Arial" w:hAnsi="Arial"/>
                <w:sz w:val="14"/>
                <w:szCs w:val="14"/>
                <w:color w:val="auto"/>
              </w:rPr>
              <w:t>Net Operating Income (NOI)</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538,655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514,080</w:t>
            </w:r>
          </w:p>
        </w:tc>
        <w:tc>
          <w:tcPr>
            <w:tcW w:w="0" w:type="dxa"/>
            <w:vAlign w:val="bottom"/>
          </w:tcPr>
          <w:p>
            <w:pPr>
              <w:spacing w:after="0"/>
              <w:rPr>
                <w:sz w:val="1"/>
                <w:szCs w:val="1"/>
                <w:color w:val="auto"/>
              </w:rPr>
            </w:pPr>
          </w:p>
        </w:tc>
      </w:tr>
      <w:tr>
        <w:trPr>
          <w:trHeight w:val="216"/>
        </w:trPr>
        <w:tc>
          <w:tcPr>
            <w:tcW w:w="8060" w:type="dxa"/>
            <w:vAlign w:val="bottom"/>
          </w:tcPr>
          <w:p>
            <w:pPr>
              <w:ind w:left="26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480"/>
              <w:spacing w:after="0"/>
              <w:rPr>
                <w:sz w:val="20"/>
                <w:szCs w:val="20"/>
                <w:color w:val="auto"/>
              </w:rPr>
            </w:pPr>
            <w:r>
              <w:rPr>
                <w:rFonts w:ascii="Arial" w:cs="Arial" w:eastAsia="Arial" w:hAnsi="Arial"/>
                <w:sz w:val="14"/>
                <w:szCs w:val="14"/>
                <w:color w:val="auto"/>
              </w:rPr>
              <w:t>Straight-line rent</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3,570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24,533</w:t>
            </w:r>
          </w:p>
        </w:tc>
        <w:tc>
          <w:tcPr>
            <w:tcW w:w="0" w:type="dxa"/>
            <w:vAlign w:val="bottom"/>
          </w:tcPr>
          <w:p>
            <w:pPr>
              <w:spacing w:after="0"/>
              <w:rPr>
                <w:sz w:val="1"/>
                <w:szCs w:val="1"/>
                <w:color w:val="auto"/>
              </w:rPr>
            </w:pPr>
          </w:p>
        </w:tc>
      </w:tr>
      <w:tr>
        <w:trPr>
          <w:trHeight w:val="216"/>
        </w:trPr>
        <w:tc>
          <w:tcPr>
            <w:tcW w:w="8060" w:type="dxa"/>
            <w:vAlign w:val="bottom"/>
          </w:tcPr>
          <w:p>
            <w:pPr>
              <w:ind w:left="480"/>
              <w:spacing w:after="0"/>
              <w:rPr>
                <w:sz w:val="20"/>
                <w:szCs w:val="20"/>
                <w:color w:val="auto"/>
              </w:rPr>
            </w:pPr>
            <w:r>
              <w:rPr>
                <w:rFonts w:ascii="Arial" w:cs="Arial" w:eastAsia="Arial" w:hAnsi="Arial"/>
                <w:sz w:val="14"/>
                <w:szCs w:val="14"/>
                <w:color w:val="auto"/>
              </w:rPr>
              <w:t>Fair value lease revenue</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2,168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1,915</w:t>
            </w:r>
          </w:p>
        </w:tc>
        <w:tc>
          <w:tcPr>
            <w:tcW w:w="0" w:type="dxa"/>
            <w:vAlign w:val="bottom"/>
          </w:tcPr>
          <w:p>
            <w:pPr>
              <w:spacing w:after="0"/>
              <w:rPr>
                <w:sz w:val="1"/>
                <w:szCs w:val="1"/>
                <w:color w:val="auto"/>
              </w:rPr>
            </w:pPr>
          </w:p>
        </w:tc>
      </w:tr>
      <w:tr>
        <w:trPr>
          <w:trHeight w:val="216"/>
        </w:trPr>
        <w:tc>
          <w:tcPr>
            <w:tcW w:w="8060" w:type="dxa"/>
            <w:vAlign w:val="bottom"/>
          </w:tcPr>
          <w:p>
            <w:pPr>
              <w:ind w:left="480"/>
              <w:spacing w:after="0"/>
              <w:rPr>
                <w:sz w:val="20"/>
                <w:szCs w:val="20"/>
                <w:color w:val="auto"/>
              </w:rPr>
            </w:pPr>
            <w:r>
              <w:rPr>
                <w:rFonts w:ascii="Arial" w:cs="Arial" w:eastAsia="Arial" w:hAnsi="Arial"/>
                <w:sz w:val="14"/>
                <w:szCs w:val="14"/>
                <w:color w:val="auto"/>
              </w:rPr>
              <w:t>Amortization and accretion related to sales type lease</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249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232</w:t>
            </w:r>
          </w:p>
        </w:tc>
        <w:tc>
          <w:tcPr>
            <w:tcW w:w="0" w:type="dxa"/>
            <w:vAlign w:val="bottom"/>
          </w:tcPr>
          <w:p>
            <w:pPr>
              <w:spacing w:after="0"/>
              <w:rPr>
                <w:sz w:val="1"/>
                <w:szCs w:val="1"/>
                <w:color w:val="auto"/>
              </w:rPr>
            </w:pPr>
          </w:p>
        </w:tc>
      </w:tr>
      <w:tr>
        <w:trPr>
          <w:trHeight w:val="216"/>
        </w:trPr>
        <w:tc>
          <w:tcPr>
            <w:tcW w:w="8060" w:type="dxa"/>
            <w:vAlign w:val="bottom"/>
          </w:tcPr>
          <w:p>
            <w:pPr>
              <w:ind w:left="480"/>
              <w:spacing w:after="0"/>
              <w:rPr>
                <w:sz w:val="20"/>
                <w:szCs w:val="20"/>
                <w:color w:val="auto"/>
              </w:rPr>
            </w:pPr>
            <w:r>
              <w:rPr>
                <w:rFonts w:ascii="Arial" w:cs="Arial" w:eastAsia="Arial" w:hAnsi="Arial"/>
                <w:sz w:val="14"/>
                <w:szCs w:val="14"/>
                <w:color w:val="auto"/>
              </w:rPr>
              <w:t>Termination income</w:t>
            </w:r>
          </w:p>
        </w:tc>
        <w:tc>
          <w:tcPr>
            <w:tcW w:w="260" w:type="dxa"/>
            <w:vAlign w:val="bottom"/>
          </w:tcPr>
          <w:p>
            <w:pPr>
              <w:spacing w:after="0"/>
              <w:rPr>
                <w:sz w:val="18"/>
                <w:szCs w:val="18"/>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2,828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216"/>
        </w:trPr>
        <w:tc>
          <w:tcPr>
            <w:tcW w:w="8060" w:type="dxa"/>
            <w:vAlign w:val="bottom"/>
          </w:tcPr>
          <w:p>
            <w:pPr>
              <w:ind w:left="26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060" w:type="dxa"/>
            <w:vAlign w:val="bottom"/>
          </w:tcPr>
          <w:p>
            <w:pPr>
              <w:ind w:left="480"/>
              <w:spacing w:after="0"/>
              <w:rPr>
                <w:sz w:val="20"/>
                <w:szCs w:val="20"/>
                <w:color w:val="auto"/>
              </w:rPr>
            </w:pPr>
            <w:r>
              <w:rPr>
                <w:rFonts w:ascii="Arial" w:cs="Arial" w:eastAsia="Arial" w:hAnsi="Arial"/>
                <w:sz w:val="14"/>
                <w:szCs w:val="14"/>
                <w:color w:val="auto"/>
              </w:rPr>
              <w:t xml:space="preserve">Straight-line ground rent expense adjustment </w:t>
            </w:r>
            <w:r>
              <w:rPr>
                <w:rFonts w:ascii="Arial" w:cs="Arial" w:eastAsia="Arial" w:hAnsi="Arial"/>
                <w:sz w:val="18"/>
                <w:szCs w:val="18"/>
                <w:color w:val="auto"/>
                <w:vertAlign w:val="superscript"/>
              </w:rPr>
              <w:t>1</w:t>
            </w:r>
          </w:p>
        </w:tc>
        <w:tc>
          <w:tcPr>
            <w:tcW w:w="260" w:type="dxa"/>
            <w:vAlign w:val="bottom"/>
          </w:tcPr>
          <w:p>
            <w:pPr>
              <w:spacing w:after="0"/>
              <w:rPr>
                <w:sz w:val="20"/>
                <w:szCs w:val="20"/>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511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201"/>
        </w:trPr>
        <w:tc>
          <w:tcPr>
            <w:tcW w:w="8060" w:type="dxa"/>
            <w:vAlign w:val="bottom"/>
          </w:tcPr>
          <w:p>
            <w:pPr>
              <w:ind w:left="480"/>
              <w:spacing w:after="0" w:line="201" w:lineRule="exact"/>
              <w:rPr>
                <w:sz w:val="20"/>
                <w:szCs w:val="20"/>
                <w:color w:val="auto"/>
              </w:rPr>
            </w:pPr>
            <w:r>
              <w:rPr>
                <w:rFonts w:ascii="Arial" w:cs="Arial" w:eastAsia="Arial" w:hAnsi="Arial"/>
                <w:sz w:val="14"/>
                <w:szCs w:val="14"/>
                <w:color w:val="auto"/>
              </w:rPr>
              <w:t xml:space="preserve">Lease transaction costs that qualify as rent inducements </w:t>
            </w:r>
            <w:r>
              <w:rPr>
                <w:rFonts w:ascii="Arial" w:cs="Arial" w:eastAsia="Arial" w:hAnsi="Arial"/>
                <w:sz w:val="18"/>
                <w:szCs w:val="18"/>
                <w:color w:val="auto"/>
                <w:vertAlign w:val="superscript"/>
              </w:rPr>
              <w:t>2</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4,072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4,427</w:t>
            </w:r>
          </w:p>
        </w:tc>
        <w:tc>
          <w:tcPr>
            <w:tcW w:w="0" w:type="dxa"/>
            <w:vAlign w:val="bottom"/>
          </w:tcPr>
          <w:p>
            <w:pPr>
              <w:spacing w:after="0"/>
              <w:rPr>
                <w:sz w:val="1"/>
                <w:szCs w:val="1"/>
                <w:color w:val="auto"/>
              </w:rPr>
            </w:pPr>
          </w:p>
        </w:tc>
      </w:tr>
      <w:tr>
        <w:trPr>
          <w:trHeight w:val="201"/>
        </w:trPr>
        <w:tc>
          <w:tcPr>
            <w:tcW w:w="8060" w:type="dxa"/>
            <w:vAlign w:val="bottom"/>
          </w:tcPr>
          <w:p>
            <w:pPr>
              <w:ind w:left="20"/>
              <w:spacing w:after="0"/>
              <w:rPr>
                <w:sz w:val="20"/>
                <w:szCs w:val="20"/>
                <w:color w:val="auto"/>
              </w:rPr>
            </w:pPr>
            <w:r>
              <w:rPr>
                <w:rFonts w:ascii="Arial" w:cs="Arial" w:eastAsia="Arial" w:hAnsi="Arial"/>
                <w:sz w:val="14"/>
                <w:szCs w:val="14"/>
                <w:color w:val="auto"/>
              </w:rPr>
              <w:t>NOI - cash (excluding termination income)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534,423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491,449</w:t>
            </w:r>
          </w:p>
        </w:tc>
        <w:tc>
          <w:tcPr>
            <w:tcW w:w="0" w:type="dxa"/>
            <w:vAlign w:val="bottom"/>
          </w:tcPr>
          <w:p>
            <w:pPr>
              <w:spacing w:after="0"/>
              <w:rPr>
                <w:sz w:val="1"/>
                <w:szCs w:val="1"/>
                <w:color w:val="auto"/>
              </w:rPr>
            </w:pPr>
          </w:p>
        </w:tc>
      </w:tr>
      <w:tr>
        <w:trPr>
          <w:trHeight w:val="216"/>
        </w:trPr>
        <w:tc>
          <w:tcPr>
            <w:tcW w:w="8060" w:type="dxa"/>
            <w:vAlign w:val="bottom"/>
          </w:tcPr>
          <w:p>
            <w:pPr>
              <w:ind w:left="26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60" w:type="dxa"/>
            <w:vAlign w:val="bottom"/>
          </w:tcPr>
          <w:p>
            <w:pPr>
              <w:ind w:left="520"/>
              <w:spacing w:after="0"/>
              <w:rPr>
                <w:sz w:val="20"/>
                <w:szCs w:val="20"/>
                <w:color w:val="auto"/>
              </w:rPr>
            </w:pPr>
            <w:r>
              <w:rPr>
                <w:rFonts w:ascii="Arial" w:cs="Arial" w:eastAsia="Arial" w:hAnsi="Arial"/>
                <w:sz w:val="14"/>
                <w:szCs w:val="14"/>
                <w:color w:val="auto"/>
              </w:rPr>
              <w:t>NOI - cash from non Same Properties (excluding termination income)</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47,333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12,387</w:t>
            </w:r>
          </w:p>
        </w:tc>
        <w:tc>
          <w:tcPr>
            <w:tcW w:w="0" w:type="dxa"/>
            <w:vAlign w:val="bottom"/>
          </w:tcPr>
          <w:p>
            <w:pPr>
              <w:spacing w:after="0"/>
              <w:rPr>
                <w:sz w:val="1"/>
                <w:szCs w:val="1"/>
                <w:color w:val="auto"/>
              </w:rPr>
            </w:pPr>
          </w:p>
        </w:tc>
      </w:tr>
      <w:tr>
        <w:trPr>
          <w:trHeight w:val="205"/>
        </w:trPr>
        <w:tc>
          <w:tcPr>
            <w:tcW w:w="8060" w:type="dxa"/>
            <w:vAlign w:val="bottom"/>
          </w:tcPr>
          <w:p>
            <w:pPr>
              <w:ind w:left="20"/>
              <w:spacing w:after="0"/>
              <w:rPr>
                <w:sz w:val="20"/>
                <w:szCs w:val="20"/>
                <w:color w:val="auto"/>
              </w:rPr>
            </w:pPr>
            <w:r>
              <w:rPr>
                <w:rFonts w:ascii="Arial" w:cs="Arial" w:eastAsia="Arial" w:hAnsi="Arial"/>
                <w:sz w:val="14"/>
                <w:szCs w:val="14"/>
                <w:color w:val="auto"/>
              </w:rPr>
              <w:t>Same Property NOI - cash (excluding termination income)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487,090</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479,062</w:t>
            </w:r>
          </w:p>
        </w:tc>
        <w:tc>
          <w:tcPr>
            <w:tcW w:w="0" w:type="dxa"/>
            <w:vAlign w:val="bottom"/>
          </w:tcPr>
          <w:p>
            <w:pPr>
              <w:spacing w:after="0"/>
              <w:rPr>
                <w:sz w:val="1"/>
                <w:szCs w:val="1"/>
                <w:color w:val="auto"/>
              </w:rPr>
            </w:pPr>
          </w:p>
        </w:tc>
      </w:tr>
      <w:tr>
        <w:trPr>
          <w:trHeight w:val="216"/>
        </w:trPr>
        <w:tc>
          <w:tcPr>
            <w:tcW w:w="8060" w:type="dxa"/>
            <w:vAlign w:val="bottom"/>
          </w:tcPr>
          <w:p>
            <w:pPr>
              <w:ind w:left="26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060" w:type="dxa"/>
            <w:vAlign w:val="bottom"/>
          </w:tcPr>
          <w:p>
            <w:pPr>
              <w:ind w:left="520"/>
              <w:spacing w:after="0"/>
              <w:rPr>
                <w:sz w:val="20"/>
                <w:szCs w:val="20"/>
                <w:color w:val="auto"/>
              </w:rPr>
            </w:pPr>
            <w:r>
              <w:rPr>
                <w:rFonts w:ascii="Arial" w:cs="Arial" w:eastAsia="Arial" w:hAnsi="Arial"/>
                <w:sz w:val="14"/>
                <w:szCs w:val="14"/>
                <w:color w:val="auto"/>
              </w:rPr>
              <w:t>Partners’ share of NOI - cash from consolidated joint ventures (excluding termination income and after income</w:t>
            </w:r>
          </w:p>
        </w:tc>
        <w:tc>
          <w:tcPr>
            <w:tcW w:w="260" w:type="dxa"/>
            <w:vAlign w:val="bottom"/>
          </w:tcPr>
          <w:p>
            <w:pPr>
              <w:spacing w:after="0"/>
              <w:rPr>
                <w:sz w:val="15"/>
                <w:szCs w:val="15"/>
                <w:color w:val="auto"/>
              </w:rPr>
            </w:pPr>
          </w:p>
        </w:tc>
        <w:tc>
          <w:tcPr>
            <w:tcW w:w="1280" w:type="dxa"/>
            <w:vAlign w:val="bottom"/>
            <w:vMerge w:val="restart"/>
          </w:tcPr>
          <w:p>
            <w:pPr>
              <w:jc w:val="right"/>
              <w:ind w:right="108"/>
              <w:spacing w:after="0"/>
              <w:rPr>
                <w:sz w:val="20"/>
                <w:szCs w:val="20"/>
                <w:color w:val="auto"/>
              </w:rPr>
            </w:pPr>
            <w:r>
              <w:rPr>
                <w:rFonts w:ascii="Arial" w:cs="Arial" w:eastAsia="Arial" w:hAnsi="Arial"/>
                <w:sz w:val="14"/>
                <w:szCs w:val="14"/>
                <w:color w:val="auto"/>
              </w:rPr>
              <w:t>72,128</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46,250</w:t>
            </w:r>
          </w:p>
        </w:tc>
        <w:tc>
          <w:tcPr>
            <w:tcW w:w="0" w:type="dxa"/>
            <w:vAlign w:val="bottom"/>
          </w:tcPr>
          <w:p>
            <w:pPr>
              <w:spacing w:after="0"/>
              <w:rPr>
                <w:sz w:val="1"/>
                <w:szCs w:val="1"/>
                <w:color w:val="auto"/>
              </w:rPr>
            </w:pPr>
          </w:p>
        </w:tc>
      </w:tr>
      <w:tr>
        <w:trPr>
          <w:trHeight w:val="190"/>
        </w:trPr>
        <w:tc>
          <w:tcPr>
            <w:tcW w:w="8060" w:type="dxa"/>
            <w:vAlign w:val="bottom"/>
          </w:tcPr>
          <w:p>
            <w:pPr>
              <w:ind w:left="680"/>
              <w:spacing w:after="0"/>
              <w:rPr>
                <w:sz w:val="20"/>
                <w:szCs w:val="20"/>
                <w:color w:val="auto"/>
              </w:rPr>
            </w:pPr>
            <w:r>
              <w:rPr>
                <w:rFonts w:ascii="Arial" w:cs="Arial" w:eastAsia="Arial" w:hAnsi="Arial"/>
                <w:sz w:val="14"/>
                <w:szCs w:val="14"/>
                <w:color w:val="auto"/>
              </w:rPr>
              <w:t>allocation to private REIT shareholders)</w:t>
            </w: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60" w:type="dxa"/>
            <w:vAlign w:val="bottom"/>
          </w:tcPr>
          <w:p>
            <w:pPr>
              <w:ind w:left="260"/>
              <w:spacing w:after="0"/>
              <w:rPr>
                <w:sz w:val="20"/>
                <w:szCs w:val="20"/>
                <w:color w:val="auto"/>
              </w:rPr>
            </w:pPr>
            <w:r>
              <w:rPr>
                <w:rFonts w:ascii="Arial" w:cs="Arial" w:eastAsia="Arial" w:hAnsi="Arial"/>
                <w:sz w:val="14"/>
                <w:szCs w:val="14"/>
                <w:color w:val="auto"/>
              </w:rPr>
              <w:t>Add: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8060" w:type="dxa"/>
            <w:vAlign w:val="bottom"/>
          </w:tcPr>
          <w:p>
            <w:pPr>
              <w:ind w:left="520"/>
              <w:spacing w:after="0"/>
              <w:rPr>
                <w:sz w:val="20"/>
                <w:szCs w:val="20"/>
                <w:color w:val="auto"/>
              </w:rPr>
            </w:pPr>
            <w:r>
              <w:rPr>
                <w:rFonts w:ascii="Arial" w:cs="Arial" w:eastAsia="Arial" w:hAnsi="Arial"/>
                <w:sz w:val="14"/>
                <w:szCs w:val="14"/>
                <w:color w:val="auto"/>
              </w:rPr>
              <w:t>Partners’ share of NOI - cash from non Same Properties from consolidated joint ventures (excluding termination</w:t>
            </w:r>
          </w:p>
        </w:tc>
        <w:tc>
          <w:tcPr>
            <w:tcW w:w="260" w:type="dxa"/>
            <w:vAlign w:val="bottom"/>
          </w:tcPr>
          <w:p>
            <w:pPr>
              <w:spacing w:after="0"/>
              <w:rPr>
                <w:sz w:val="15"/>
                <w:szCs w:val="15"/>
                <w:color w:val="auto"/>
              </w:rPr>
            </w:pPr>
          </w:p>
        </w:tc>
        <w:tc>
          <w:tcPr>
            <w:tcW w:w="1280" w:type="dxa"/>
            <w:vAlign w:val="bottom"/>
            <w:vMerge w:val="restart"/>
          </w:tcPr>
          <w:p>
            <w:pPr>
              <w:jc w:val="right"/>
              <w:ind w:right="108"/>
              <w:spacing w:after="0"/>
              <w:rPr>
                <w:sz w:val="20"/>
                <w:szCs w:val="20"/>
                <w:color w:val="auto"/>
              </w:rPr>
            </w:pPr>
            <w:r>
              <w:rPr>
                <w:rFonts w:ascii="Arial" w:cs="Arial" w:eastAsia="Arial" w:hAnsi="Arial"/>
                <w:sz w:val="14"/>
                <w:szCs w:val="14"/>
                <w:color w:val="auto"/>
              </w:rPr>
              <w:t>21,983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060" w:type="dxa"/>
            <w:vAlign w:val="bottom"/>
          </w:tcPr>
          <w:p>
            <w:pPr>
              <w:ind w:left="680"/>
              <w:spacing w:after="0"/>
              <w:rPr>
                <w:sz w:val="20"/>
                <w:szCs w:val="20"/>
                <w:color w:val="auto"/>
              </w:rPr>
            </w:pPr>
            <w:r>
              <w:rPr>
                <w:rFonts w:ascii="Arial" w:cs="Arial" w:eastAsia="Arial" w:hAnsi="Arial"/>
                <w:sz w:val="14"/>
                <w:szCs w:val="14"/>
                <w:color w:val="auto"/>
              </w:rPr>
              <w:t>income and after income allocation to private REIT shareholders)</w:t>
            </w:r>
          </w:p>
        </w:tc>
        <w:tc>
          <w:tcPr>
            <w:tcW w:w="26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060" w:type="dxa"/>
            <w:vAlign w:val="bottom"/>
          </w:tcPr>
          <w:p>
            <w:pPr>
              <w:ind w:left="520"/>
              <w:spacing w:after="0"/>
              <w:rPr>
                <w:sz w:val="20"/>
                <w:szCs w:val="20"/>
                <w:color w:val="auto"/>
              </w:rPr>
            </w:pPr>
            <w:r>
              <w:rPr>
                <w:rFonts w:ascii="Arial" w:cs="Arial" w:eastAsia="Arial" w:hAnsi="Arial"/>
                <w:sz w:val="14"/>
                <w:szCs w:val="14"/>
                <w:color w:val="auto"/>
              </w:rPr>
              <w:t>BXP’s share of NOI - cash from unconsolidated joint ventures (excluding termination income)</w:t>
            </w:r>
          </w:p>
        </w:tc>
        <w:tc>
          <w:tcPr>
            <w:tcW w:w="260" w:type="dxa"/>
            <w:vAlign w:val="bottom"/>
          </w:tcPr>
          <w:p>
            <w:pPr>
              <w:spacing w:after="0"/>
              <w:rPr>
                <w:sz w:val="17"/>
                <w:szCs w:val="17"/>
                <w:color w:val="auto"/>
              </w:rPr>
            </w:pP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17,413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27,909</w:t>
            </w:r>
          </w:p>
        </w:tc>
        <w:tc>
          <w:tcPr>
            <w:tcW w:w="0" w:type="dxa"/>
            <w:vAlign w:val="bottom"/>
          </w:tcPr>
          <w:p>
            <w:pPr>
              <w:spacing w:after="0"/>
              <w:rPr>
                <w:sz w:val="1"/>
                <w:szCs w:val="1"/>
                <w:color w:val="auto"/>
              </w:rPr>
            </w:pPr>
          </w:p>
        </w:tc>
      </w:tr>
      <w:tr>
        <w:trPr>
          <w:trHeight w:val="216"/>
        </w:trPr>
        <w:tc>
          <w:tcPr>
            <w:tcW w:w="8060" w:type="dxa"/>
            <w:vAlign w:val="bottom"/>
          </w:tcPr>
          <w:p>
            <w:pPr>
              <w:ind w:left="260"/>
              <w:spacing w:after="0"/>
              <w:rPr>
                <w:sz w:val="20"/>
                <w:szCs w:val="20"/>
                <w:color w:val="auto"/>
              </w:rPr>
            </w:pPr>
            <w:r>
              <w:rPr>
                <w:rFonts w:ascii="Arial" w:cs="Arial" w:eastAsia="Arial" w:hAnsi="Arial"/>
                <w:sz w:val="14"/>
                <w:szCs w:val="14"/>
                <w:color w:val="auto"/>
              </w:rPr>
              <w:t>Less: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8060" w:type="dxa"/>
            <w:vAlign w:val="bottom"/>
          </w:tcPr>
          <w:p>
            <w:pPr>
              <w:ind w:left="520"/>
              <w:spacing w:after="0"/>
              <w:rPr>
                <w:sz w:val="20"/>
                <w:szCs w:val="20"/>
                <w:color w:val="auto"/>
              </w:rPr>
            </w:pPr>
            <w:r>
              <w:rPr>
                <w:rFonts w:ascii="Arial" w:cs="Arial" w:eastAsia="Arial" w:hAnsi="Arial"/>
                <w:sz w:val="14"/>
                <w:szCs w:val="14"/>
                <w:color w:val="auto"/>
              </w:rPr>
              <w:t>BXP’s share of NOI - cash from non Same Properties from unconsolidated joint ventures (excluding termination</w:t>
            </w:r>
          </w:p>
        </w:tc>
        <w:tc>
          <w:tcPr>
            <w:tcW w:w="260" w:type="dxa"/>
            <w:vAlign w:val="bottom"/>
          </w:tcPr>
          <w:p>
            <w:pPr>
              <w:spacing w:after="0"/>
              <w:rPr>
                <w:sz w:val="15"/>
                <w:szCs w:val="15"/>
                <w:color w:val="auto"/>
              </w:rPr>
            </w:pPr>
          </w:p>
        </w:tc>
        <w:tc>
          <w:tcPr>
            <w:tcW w:w="1280" w:type="dxa"/>
            <w:vAlign w:val="bottom"/>
            <w:vMerge w:val="restart"/>
          </w:tcPr>
          <w:p>
            <w:pPr>
              <w:jc w:val="right"/>
              <w:ind w:right="68"/>
              <w:spacing w:after="0"/>
              <w:rPr>
                <w:sz w:val="20"/>
                <w:szCs w:val="20"/>
                <w:color w:val="auto"/>
              </w:rPr>
            </w:pPr>
            <w:r>
              <w:rPr>
                <w:rFonts w:ascii="Arial" w:cs="Arial" w:eastAsia="Arial" w:hAnsi="Arial"/>
                <w:sz w:val="14"/>
                <w:szCs w:val="14"/>
                <w:color w:val="auto"/>
              </w:rPr>
              <w:t>(609)</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9,238</w:t>
            </w:r>
          </w:p>
        </w:tc>
        <w:tc>
          <w:tcPr>
            <w:tcW w:w="0" w:type="dxa"/>
            <w:vAlign w:val="bottom"/>
          </w:tcPr>
          <w:p>
            <w:pPr>
              <w:spacing w:after="0"/>
              <w:rPr>
                <w:sz w:val="1"/>
                <w:szCs w:val="1"/>
                <w:color w:val="auto"/>
              </w:rPr>
            </w:pPr>
          </w:p>
        </w:tc>
      </w:tr>
      <w:tr>
        <w:trPr>
          <w:trHeight w:val="185"/>
        </w:trPr>
        <w:tc>
          <w:tcPr>
            <w:tcW w:w="8060" w:type="dxa"/>
            <w:vAlign w:val="bottom"/>
          </w:tcPr>
          <w:p>
            <w:pPr>
              <w:ind w:left="680"/>
              <w:spacing w:after="0"/>
              <w:rPr>
                <w:sz w:val="20"/>
                <w:szCs w:val="20"/>
                <w:color w:val="auto"/>
              </w:rPr>
            </w:pPr>
            <w:r>
              <w:rPr>
                <w:rFonts w:ascii="Arial" w:cs="Arial" w:eastAsia="Arial" w:hAnsi="Arial"/>
                <w:sz w:val="14"/>
                <w:szCs w:val="14"/>
                <w:color w:val="auto"/>
              </w:rPr>
              <w:t>income)</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20"/>
              <w:spacing w:after="0"/>
              <w:rPr>
                <w:sz w:val="20"/>
                <w:szCs w:val="20"/>
                <w:color w:val="auto"/>
              </w:rPr>
            </w:pPr>
            <w:r>
              <w:rPr>
                <w:rFonts w:ascii="Arial" w:cs="Arial" w:eastAsia="Arial" w:hAnsi="Arial"/>
                <w:sz w:val="14"/>
                <w:szCs w:val="14"/>
                <w:color w:val="auto"/>
              </w:rPr>
              <w:t>BXP’s Share of Same Property NOI - cash (excluding termination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108"/>
              <w:spacing w:after="0"/>
              <w:rPr>
                <w:sz w:val="20"/>
                <w:szCs w:val="20"/>
                <w:color w:val="auto"/>
              </w:rPr>
            </w:pPr>
            <w:r>
              <w:rPr>
                <w:rFonts w:ascii="Arial" w:cs="Arial" w:eastAsia="Arial" w:hAnsi="Arial"/>
                <w:sz w:val="14"/>
                <w:szCs w:val="14"/>
                <w:color w:val="auto"/>
              </w:rPr>
              <w:t>454,967</w:t>
            </w: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451,483</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1"/>
        </w:trPr>
        <w:tc>
          <w:tcPr>
            <w:tcW w:w="8060" w:type="dxa"/>
            <w:vAlign w:val="bottom"/>
          </w:tcPr>
          <w:p>
            <w:pPr>
              <w:ind w:left="20"/>
              <w:spacing w:after="0"/>
              <w:rPr>
                <w:sz w:val="20"/>
                <w:szCs w:val="20"/>
                <w:color w:val="auto"/>
              </w:rPr>
            </w:pPr>
            <w:r>
              <w:rPr>
                <w:rFonts w:ascii="Arial" w:cs="Arial" w:eastAsia="Arial" w:hAnsi="Arial"/>
                <w:sz w:val="14"/>
                <w:szCs w:val="14"/>
                <w:color w:val="auto"/>
              </w:rPr>
              <w:t>Change in BXP’s Share of Same Property NOI - cash (excluding termination income)</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3,484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8060" w:type="dxa"/>
            <w:vAlign w:val="bottom"/>
          </w:tcPr>
          <w:p>
            <w:pPr>
              <w:ind w:left="20"/>
              <w:spacing w:after="0"/>
              <w:rPr>
                <w:sz w:val="20"/>
                <w:szCs w:val="20"/>
                <w:color w:val="auto"/>
              </w:rPr>
            </w:pPr>
            <w:r>
              <w:rPr>
                <w:rFonts w:ascii="Arial" w:cs="Arial" w:eastAsia="Arial" w:hAnsi="Arial"/>
                <w:sz w:val="14"/>
                <w:szCs w:val="14"/>
                <w:color w:val="auto"/>
              </w:rPr>
              <w:t>Change in BXP’s Share of Same Property NOI - cash (excluding termination income)</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0.8 %</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8060" w:type="dxa"/>
            <w:vAlign w:val="bottom"/>
          </w:tcPr>
          <w:p>
            <w:pPr>
              <w:spacing w:after="0"/>
              <w:rPr>
                <w:sz w:val="20"/>
                <w:szCs w:val="20"/>
                <w:color w:val="auto"/>
              </w:rPr>
            </w:pPr>
            <w:r>
              <w:rPr>
                <w:rFonts w:ascii="Arial" w:cs="Arial" w:eastAsia="Arial" w:hAnsi="Arial"/>
                <w:sz w:val="14"/>
                <w:szCs w:val="14"/>
                <w:color w:val="auto"/>
              </w:rPr>
              <w:t>_____________</w:t>
            </w: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-7760970</wp:posOffset>
            </wp:positionV>
            <wp:extent cx="257175" cy="1625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ind w:left="80" w:right="140" w:hanging="72"/>
        <w:spacing w:after="0" w:line="253" w:lineRule="auto"/>
        <w:tabs>
          <w:tab w:leader="none" w:pos="78" w:val="left"/>
        </w:tabs>
        <w:numPr>
          <w:ilvl w:val="0"/>
          <w:numId w:val="132"/>
        </w:numPr>
        <w:rPr>
          <w:rFonts w:ascii="Arial" w:cs="Arial" w:eastAsia="Arial" w:hAnsi="Arial"/>
          <w:sz w:val="18"/>
          <w:szCs w:val="18"/>
          <w:color w:val="auto"/>
          <w:vertAlign w:val="superscript"/>
        </w:rPr>
      </w:pPr>
      <w:r>
        <w:rPr>
          <w:rFonts w:ascii="Arial" w:cs="Arial" w:eastAsia="Arial" w:hAnsi="Arial"/>
          <w:sz w:val="14"/>
          <w:szCs w:val="14"/>
          <w:color w:val="auto"/>
        </w:rPr>
        <w:t>In light of the front-ended, uneven rental payments required by the Company’s 99-year ground and air rights lease for the 100 Clarendon Street garage and Back Bay Transit Station in Boston, MA, and to make period-to-period comparisons more meaningful to investors, the adjustment does not include the straight-line impact of approximately $(4,527) and $(83) for the three months ended June 30, 2026 and 2025, respectively. As of June 30, 2026, the Company has remaining lease payments aggregating approximately $15.6 million, all of which it expects to incur by the end of 2027 with no payments thereafter. Under GAAP, the Company recognizes expense of $(111) per quarter on a straight-line basis over the term of the lease. However, unlike more traditional ground and air rights leases, the timing and amounts of the rental payments by the Company correlate to the uneven timing and funding by the Company of capital expenditures related to improvements at Back Bay Transit Station. As a result, the amounts excluded from the adjustment each quarter through 2027 may vary significantly.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580" w:type="dxa"/>
            <w:vAlign w:val="bottom"/>
          </w:tcPr>
          <w:p>
            <w:pPr>
              <w:spacing w:after="0"/>
              <w:rPr>
                <w:sz w:val="20"/>
                <w:szCs w:val="20"/>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Consists of lease transaction costs that qualify as rent inducements in accordance with GAAP.</w:t>
            </w:r>
          </w:p>
        </w:tc>
        <w:tc>
          <w:tcPr>
            <w:tcW w:w="2660" w:type="dxa"/>
            <w:vAlign w:val="bottom"/>
          </w:tcPr>
          <w:p>
            <w:pPr>
              <w:jc w:val="right"/>
              <w:spacing w:after="0"/>
              <w:rPr>
                <w:sz w:val="20"/>
                <w:szCs w:val="20"/>
                <w:color w:val="auto"/>
              </w:rPr>
            </w:pPr>
            <w:r>
              <w:rPr>
                <w:rFonts w:ascii="Arial" w:cs="Arial" w:eastAsia="Arial" w:hAnsi="Arial"/>
                <w:sz w:val="14"/>
                <w:szCs w:val="14"/>
                <w:color w:val="auto"/>
              </w:rPr>
              <w:t>67</w:t>
            </w:r>
          </w:p>
        </w:tc>
      </w:tr>
    </w:tbl>
    <w:p>
      <w:pPr>
        <w:sectPr>
          <w:pgSz w:w="11900" w:h="16838" w:orient="portrait"/>
          <w:cols w:equalWidth="0" w:num="1">
            <w:col w:w="11240"/>
          </w:cols>
          <w:pgMar w:left="320" w:top="279" w:right="339" w:bottom="1440" w:gutter="0" w:footer="0" w:header="0"/>
        </w:sectPr>
      </w:pPr>
    </w:p>
    <w:bookmarkStart w:id="75" w:name="page76"/>
    <w:bookmarkEnd w:id="75"/>
    <w:p>
      <w:pPr>
        <w:jc w:val="right"/>
        <w:ind w:right="20"/>
        <w:spacing w:after="0"/>
        <w:rPr>
          <w:sz w:val="20"/>
          <w:szCs w:val="20"/>
          <w:color w:val="auto"/>
        </w:rPr>
      </w:pPr>
      <w:r>
        <w:rPr>
          <w:rFonts w:ascii="Arial" w:cs="Arial" w:eastAsia="Arial" w:hAnsi="Arial"/>
          <w:sz w:val="14"/>
          <w:szCs w:val="14"/>
          <w:color w:val="auto"/>
        </w:rPr>
        <w:t>Q3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257175" cy="1625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57175" cy="162560"/>
                    </a:xfrm>
                    <a:prstGeom prst="rect">
                      <a:avLst/>
                    </a:prstGeom>
                    <a:noFill/>
                  </pic:spPr>
                </pic:pic>
              </a:graphicData>
            </a:graphic>
          </wp:anchor>
        </w:drawing>
      </w:r>
    </w:p>
    <w:p>
      <w:pPr>
        <w:spacing w:after="0" w:line="49" w:lineRule="exact"/>
        <w:rPr>
          <w:sz w:val="20"/>
          <w:szCs w:val="20"/>
          <w:color w:val="auto"/>
        </w:rPr>
      </w:pPr>
    </w:p>
    <w:p>
      <w:pPr>
        <w:jc w:val="right"/>
        <w:ind w:right="20"/>
        <w:spacing w:after="0"/>
        <w:rPr>
          <w:sz w:val="20"/>
          <w:szCs w:val="20"/>
          <w:color w:val="auto"/>
        </w:rPr>
      </w:pPr>
      <w:r>
        <w:rPr>
          <w:rFonts w:ascii="Arial" w:cs="Arial" w:eastAsia="Arial" w:hAnsi="Arial"/>
          <w:sz w:val="14"/>
          <w:szCs w:val="14"/>
          <w:b w:val="1"/>
          <w:bCs w:val="1"/>
          <w:color w:val="00497F"/>
        </w:rPr>
        <w:t>Consolidated Income Statement -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00" w:type="dxa"/>
            <w:vAlign w:val="bottom"/>
          </w:tcPr>
          <w:p>
            <w:pPr>
              <w:spacing w:after="0"/>
              <w:rPr>
                <w:sz w:val="20"/>
                <w:szCs w:val="20"/>
                <w:color w:val="auto"/>
              </w:rPr>
            </w:pPr>
            <w:r>
              <w:rPr>
                <w:rFonts w:ascii="Arial" w:cs="Arial" w:eastAsia="Arial" w:hAnsi="Arial"/>
                <w:sz w:val="14"/>
                <w:szCs w:val="14"/>
                <w:color w:val="auto"/>
              </w:rPr>
              <w:t>(unaudited and in thousands, except per share amounts)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4"/>
          </w:tcPr>
          <w:p>
            <w:pPr>
              <w:jc w:val="right"/>
              <w:ind w:right="11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8"/>
        </w:trPr>
        <w:tc>
          <w:tcPr>
            <w:tcW w:w="7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ind w:left="240"/>
              <w:spacing w:after="0"/>
              <w:rPr>
                <w:sz w:val="20"/>
                <w:szCs w:val="20"/>
                <w:color w:val="auto"/>
              </w:rPr>
            </w:pPr>
            <w:r>
              <w:rPr>
                <w:rFonts w:ascii="Arial" w:cs="Arial" w:eastAsia="Arial" w:hAnsi="Arial"/>
                <w:sz w:val="14"/>
                <w:szCs w:val="14"/>
                <w:b w:val="1"/>
                <w:bCs w:val="1"/>
                <w:color w:val="auto"/>
              </w:rPr>
              <w:t>30-Sep-25</w:t>
            </w:r>
          </w:p>
        </w:tc>
        <w:tc>
          <w:tcPr>
            <w:tcW w:w="340" w:type="dxa"/>
            <w:vAlign w:val="bottom"/>
          </w:tcPr>
          <w:p>
            <w:pPr>
              <w:spacing w:after="0"/>
              <w:rPr>
                <w:sz w:val="18"/>
                <w:szCs w:val="18"/>
                <w:color w:val="auto"/>
              </w:rPr>
            </w:pPr>
          </w:p>
        </w:tc>
        <w:tc>
          <w:tcPr>
            <w:tcW w:w="1480" w:type="dxa"/>
            <w:vAlign w:val="bottom"/>
          </w:tcPr>
          <w:p>
            <w:pPr>
              <w:jc w:val="right"/>
              <w:ind w:right="508"/>
              <w:spacing w:after="0"/>
              <w:rPr>
                <w:sz w:val="20"/>
                <w:szCs w:val="20"/>
                <w:color w:val="auto"/>
              </w:rPr>
            </w:pPr>
            <w:r>
              <w:rPr>
                <w:rFonts w:ascii="Arial" w:cs="Arial" w:eastAsia="Arial" w:hAnsi="Arial"/>
                <w:sz w:val="14"/>
                <w:szCs w:val="14"/>
                <w:b w:val="1"/>
                <w:bCs w:val="1"/>
                <w:color w:val="auto"/>
              </w:rPr>
              <w:t>30-Jun-25</w:t>
            </w:r>
          </w:p>
        </w:tc>
        <w:tc>
          <w:tcPr>
            <w:tcW w:w="0" w:type="dxa"/>
            <w:vAlign w:val="bottom"/>
          </w:tcPr>
          <w:p>
            <w:pPr>
              <w:spacing w:after="0"/>
              <w:rPr>
                <w:sz w:val="1"/>
                <w:szCs w:val="1"/>
                <w:color w:val="auto"/>
              </w:rPr>
            </w:pPr>
          </w:p>
        </w:tc>
      </w:tr>
      <w:tr>
        <w:trPr>
          <w:trHeight w:val="190"/>
        </w:trPr>
        <w:tc>
          <w:tcPr>
            <w:tcW w:w="7400" w:type="dxa"/>
            <w:vAlign w:val="bottom"/>
          </w:tcPr>
          <w:p>
            <w:pPr>
              <w:ind w:left="20"/>
              <w:spacing w:after="0"/>
              <w:rPr>
                <w:sz w:val="20"/>
                <w:szCs w:val="20"/>
                <w:color w:val="auto"/>
              </w:rPr>
            </w:pPr>
            <w:r>
              <w:rPr>
                <w:rFonts w:ascii="Arial" w:cs="Arial" w:eastAsia="Arial" w:hAnsi="Arial"/>
                <w:sz w:val="14"/>
                <w:szCs w:val="14"/>
                <w:color w:val="auto"/>
              </w:rPr>
              <w:t>Revenue</w:t>
            </w:r>
          </w:p>
        </w:tc>
        <w:tc>
          <w:tcPr>
            <w:tcW w:w="3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Lease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809,820</w:t>
            </w:r>
          </w:p>
        </w:tc>
        <w:tc>
          <w:tcPr>
            <w:tcW w:w="2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805,935</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Parking and other</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34,404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34,709</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Insurance proceeds</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986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Hotel revenue</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13,162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14,773</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Development and management services</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9,317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8,846</w:t>
            </w:r>
          </w:p>
        </w:tc>
        <w:tc>
          <w:tcPr>
            <w:tcW w:w="0" w:type="dxa"/>
            <w:vAlign w:val="bottom"/>
          </w:tcPr>
          <w:p>
            <w:pPr>
              <w:spacing w:after="0"/>
              <w:rPr>
                <w:sz w:val="1"/>
                <w:szCs w:val="1"/>
                <w:color w:val="auto"/>
              </w:rPr>
            </w:pPr>
          </w:p>
        </w:tc>
      </w:tr>
      <w:tr>
        <w:trPr>
          <w:trHeight w:val="220"/>
        </w:trPr>
        <w:tc>
          <w:tcPr>
            <w:tcW w:w="7400" w:type="dxa"/>
            <w:vAlign w:val="bottom"/>
          </w:tcPr>
          <w:p>
            <w:pPr>
              <w:ind w:left="260"/>
              <w:spacing w:after="0"/>
              <w:rPr>
                <w:sz w:val="20"/>
                <w:szCs w:val="20"/>
                <w:color w:val="auto"/>
              </w:rPr>
            </w:pPr>
            <w:r>
              <w:rPr>
                <w:rFonts w:ascii="Arial" w:cs="Arial" w:eastAsia="Arial" w:hAnsi="Arial"/>
                <w:sz w:val="14"/>
                <w:szCs w:val="14"/>
                <w:color w:val="auto"/>
              </w:rPr>
              <w:t>Direct reimbursements of payroll and related costs from management services contracts</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3,821</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4,104</w:t>
            </w:r>
          </w:p>
        </w:tc>
        <w:tc>
          <w:tcPr>
            <w:tcW w:w="0" w:type="dxa"/>
            <w:vAlign w:val="bottom"/>
          </w:tcPr>
          <w:p>
            <w:pPr>
              <w:spacing w:after="0"/>
              <w:rPr>
                <w:sz w:val="1"/>
                <w:szCs w:val="1"/>
                <w:color w:val="auto"/>
              </w:rPr>
            </w:pPr>
          </w:p>
        </w:tc>
      </w:tr>
      <w:tr>
        <w:trPr>
          <w:trHeight w:val="207"/>
        </w:trPr>
        <w:tc>
          <w:tcPr>
            <w:tcW w:w="7400" w:type="dxa"/>
            <w:vAlign w:val="bottom"/>
          </w:tcPr>
          <w:p>
            <w:pPr>
              <w:ind w:left="1080"/>
              <w:spacing w:after="0"/>
              <w:rPr>
                <w:sz w:val="20"/>
                <w:szCs w:val="20"/>
                <w:color w:val="auto"/>
              </w:rPr>
            </w:pPr>
            <w:r>
              <w:rPr>
                <w:rFonts w:ascii="Arial" w:cs="Arial" w:eastAsia="Arial" w:hAnsi="Arial"/>
                <w:sz w:val="14"/>
                <w:szCs w:val="14"/>
                <w:color w:val="auto"/>
              </w:rPr>
              <w:t>Total revenue</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871,510</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868,457</w:t>
            </w:r>
          </w:p>
        </w:tc>
        <w:tc>
          <w:tcPr>
            <w:tcW w:w="0" w:type="dxa"/>
            <w:vAlign w:val="bottom"/>
          </w:tcPr>
          <w:p>
            <w:pPr>
              <w:spacing w:after="0"/>
              <w:rPr>
                <w:sz w:val="1"/>
                <w:szCs w:val="1"/>
                <w:color w:val="auto"/>
              </w:rPr>
            </w:pPr>
          </w:p>
        </w:tc>
      </w:tr>
      <w:tr>
        <w:trPr>
          <w:trHeight w:val="194"/>
        </w:trPr>
        <w:tc>
          <w:tcPr>
            <w:tcW w:w="7400" w:type="dxa"/>
            <w:vAlign w:val="bottom"/>
          </w:tcPr>
          <w:p>
            <w:pPr>
              <w:ind w:left="20"/>
              <w:spacing w:after="0"/>
              <w:rPr>
                <w:sz w:val="20"/>
                <w:szCs w:val="20"/>
                <w:color w:val="auto"/>
              </w:rPr>
            </w:pPr>
            <w:r>
              <w:rPr>
                <w:rFonts w:ascii="Arial" w:cs="Arial" w:eastAsia="Arial" w:hAnsi="Arial"/>
                <w:sz w:val="14"/>
                <w:szCs w:val="14"/>
                <w:color w:val="auto"/>
              </w:rPr>
              <w:t>Expenses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Operating</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187,820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184,942</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Real estate taxes</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142,992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146,272</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Restoration expenses related to insurance claims</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924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848</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Hotel operating</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9,628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9,365</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General and administrative</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36,188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42,516</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Payroll and related costs from management services contracts</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3,821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4,104</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Transaction costs</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1,431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20"/>
        </w:trPr>
        <w:tc>
          <w:tcPr>
            <w:tcW w:w="7400" w:type="dxa"/>
            <w:vAlign w:val="bottom"/>
          </w:tcPr>
          <w:p>
            <w:pPr>
              <w:ind w:left="260"/>
              <w:spacing w:after="0"/>
              <w:rPr>
                <w:sz w:val="20"/>
                <w:szCs w:val="20"/>
                <w:color w:val="auto"/>
              </w:rPr>
            </w:pPr>
            <w:r>
              <w:rPr>
                <w:rFonts w:ascii="Arial" w:cs="Arial" w:eastAsia="Arial" w:hAnsi="Arial"/>
                <w:sz w:val="14"/>
                <w:szCs w:val="14"/>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236,147</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223,819</w:t>
            </w:r>
          </w:p>
        </w:tc>
        <w:tc>
          <w:tcPr>
            <w:tcW w:w="0" w:type="dxa"/>
            <w:vAlign w:val="bottom"/>
          </w:tcPr>
          <w:p>
            <w:pPr>
              <w:spacing w:after="0"/>
              <w:rPr>
                <w:sz w:val="1"/>
                <w:szCs w:val="1"/>
                <w:color w:val="auto"/>
              </w:rPr>
            </w:pPr>
          </w:p>
        </w:tc>
      </w:tr>
      <w:tr>
        <w:trPr>
          <w:trHeight w:val="207"/>
        </w:trPr>
        <w:tc>
          <w:tcPr>
            <w:tcW w:w="7400" w:type="dxa"/>
            <w:vAlign w:val="bottom"/>
          </w:tcPr>
          <w:p>
            <w:pPr>
              <w:ind w:left="1080"/>
              <w:spacing w:after="0"/>
              <w:rPr>
                <w:sz w:val="20"/>
                <w:szCs w:val="20"/>
                <w:color w:val="auto"/>
              </w:rPr>
            </w:pPr>
            <w:r>
              <w:rPr>
                <w:rFonts w:ascii="Arial" w:cs="Arial" w:eastAsia="Arial" w:hAnsi="Arial"/>
                <w:sz w:val="14"/>
                <w:szCs w:val="14"/>
                <w:color w:val="auto"/>
              </w:rPr>
              <w:t>Total expenses</w:t>
            </w: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618,951</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612,223</w:t>
            </w:r>
          </w:p>
        </w:tc>
        <w:tc>
          <w:tcPr>
            <w:tcW w:w="0" w:type="dxa"/>
            <w:vAlign w:val="bottom"/>
          </w:tcPr>
          <w:p>
            <w:pPr>
              <w:spacing w:after="0"/>
              <w:rPr>
                <w:sz w:val="1"/>
                <w:szCs w:val="1"/>
                <w:color w:val="auto"/>
              </w:rPr>
            </w:pPr>
          </w:p>
        </w:tc>
      </w:tr>
      <w:tr>
        <w:trPr>
          <w:trHeight w:val="194"/>
        </w:trPr>
        <w:tc>
          <w:tcPr>
            <w:tcW w:w="740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Loss from unconsolidated joint ventures</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(148,329)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(3,324)</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Gains on sales of real estate</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1,932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18,390</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Gains from investments in securities</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2,400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2,600</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Unrealized gain (loss) on non-real estate investments</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Interest and other income</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7,620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8,063</w:t>
            </w: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Impairment losses</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(68,901)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0"/>
        </w:trPr>
        <w:tc>
          <w:tcPr>
            <w:tcW w:w="7400" w:type="dxa"/>
            <w:vAlign w:val="bottom"/>
          </w:tcPr>
          <w:p>
            <w:pPr>
              <w:ind w:left="260"/>
              <w:spacing w:after="0"/>
              <w:rPr>
                <w:sz w:val="20"/>
                <w:szCs w:val="20"/>
                <w:color w:val="auto"/>
              </w:rPr>
            </w:pPr>
            <w:r>
              <w:rPr>
                <w:rFonts w:ascii="Arial" w:cs="Arial" w:eastAsia="Arial" w:hAnsi="Arial"/>
                <w:sz w:val="14"/>
                <w:szCs w:val="14"/>
                <w:color w:val="auto"/>
              </w:rPr>
              <w:t>Interest expense</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(164,299)</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(162,783)</w:t>
            </w:r>
          </w:p>
        </w:tc>
        <w:tc>
          <w:tcPr>
            <w:tcW w:w="0" w:type="dxa"/>
            <w:vAlign w:val="bottom"/>
          </w:tcPr>
          <w:p>
            <w:pPr>
              <w:spacing w:after="0"/>
              <w:rPr>
                <w:sz w:val="1"/>
                <w:szCs w:val="1"/>
                <w:color w:val="auto"/>
              </w:rPr>
            </w:pPr>
          </w:p>
        </w:tc>
      </w:tr>
      <w:tr>
        <w:trPr>
          <w:trHeight w:val="205"/>
        </w:trPr>
        <w:tc>
          <w:tcPr>
            <w:tcW w:w="740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(116,840)</w:t>
            </w: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119,141</w:t>
            </w:r>
          </w:p>
        </w:tc>
        <w:tc>
          <w:tcPr>
            <w:tcW w:w="0" w:type="dxa"/>
            <w:vAlign w:val="bottom"/>
          </w:tcPr>
          <w:p>
            <w:pPr>
              <w:spacing w:after="0"/>
              <w:rPr>
                <w:sz w:val="1"/>
                <w:szCs w:val="1"/>
                <w:color w:val="auto"/>
              </w:rPr>
            </w:pPr>
          </w:p>
        </w:tc>
      </w:tr>
      <w:tr>
        <w:trPr>
          <w:trHeight w:val="216"/>
        </w:trPr>
        <w:tc>
          <w:tcPr>
            <w:tcW w:w="740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tcPr>
          <w:p>
            <w:pPr>
              <w:ind w:left="260"/>
              <w:spacing w:after="0"/>
              <w:rPr>
                <w:sz w:val="20"/>
                <w:szCs w:val="20"/>
                <w:color w:val="auto"/>
              </w:rPr>
            </w:pPr>
            <w:r>
              <w:rPr>
                <w:rFonts w:ascii="Arial" w:cs="Arial" w:eastAsia="Arial" w:hAnsi="Arial"/>
                <w:sz w:val="14"/>
                <w:szCs w:val="14"/>
                <w:color w:val="auto"/>
              </w:rPr>
              <w:t>Noncontrolling interest in property partnerships</w:t>
            </w: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(17,853)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(20,100)</w:t>
            </w:r>
          </w:p>
        </w:tc>
        <w:tc>
          <w:tcPr>
            <w:tcW w:w="0" w:type="dxa"/>
            <w:vAlign w:val="bottom"/>
          </w:tcPr>
          <w:p>
            <w:pPr>
              <w:spacing w:after="0"/>
              <w:rPr>
                <w:sz w:val="1"/>
                <w:szCs w:val="1"/>
                <w:color w:val="auto"/>
              </w:rPr>
            </w:pPr>
          </w:p>
        </w:tc>
      </w:tr>
      <w:tr>
        <w:trPr>
          <w:trHeight w:val="220"/>
        </w:trPr>
        <w:tc>
          <w:tcPr>
            <w:tcW w:w="7400" w:type="dxa"/>
            <w:vAlign w:val="bottom"/>
          </w:tcPr>
          <w:p>
            <w:pPr>
              <w:ind w:left="260"/>
              <w:spacing w:after="0"/>
              <w:rPr>
                <w:sz w:val="20"/>
                <w:szCs w:val="20"/>
                <w:color w:val="auto"/>
              </w:rPr>
            </w:pPr>
            <w:r>
              <w:rPr>
                <w:rFonts w:ascii="Arial" w:cs="Arial" w:eastAsia="Arial" w:hAnsi="Arial"/>
                <w:sz w:val="14"/>
                <w:szCs w:val="14"/>
                <w:color w:val="auto"/>
              </w:rPr>
              <w:t>Noncontrolling interest - common units of the Operating Partnership</w:t>
            </w: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12,981</w:t>
            </w:r>
          </w:p>
        </w:tc>
        <w:tc>
          <w:tcPr>
            <w:tcW w:w="2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(10,064)</w:t>
            </w:r>
          </w:p>
        </w:tc>
        <w:tc>
          <w:tcPr>
            <w:tcW w:w="0" w:type="dxa"/>
            <w:vAlign w:val="bottom"/>
          </w:tcPr>
          <w:p>
            <w:pPr>
              <w:spacing w:after="0"/>
              <w:rPr>
                <w:sz w:val="1"/>
                <w:szCs w:val="1"/>
                <w:color w:val="auto"/>
              </w:rPr>
            </w:pPr>
          </w:p>
        </w:tc>
      </w:tr>
      <w:tr>
        <w:trPr>
          <w:trHeight w:val="213"/>
        </w:trPr>
        <w:tc>
          <w:tcPr>
            <w:tcW w:w="7400" w:type="dxa"/>
            <w:vAlign w:val="bottom"/>
          </w:tcPr>
          <w:p>
            <w:pPr>
              <w:ind w:left="20"/>
              <w:spacing w:after="0"/>
              <w:rPr>
                <w:sz w:val="20"/>
                <w:szCs w:val="20"/>
                <w:color w:val="auto"/>
              </w:rPr>
            </w:pPr>
            <w:r>
              <w:rPr>
                <w:rFonts w:ascii="Arial" w:cs="Arial" w:eastAsia="Arial" w:hAnsi="Arial"/>
                <w:sz w:val="14"/>
                <w:szCs w:val="14"/>
                <w:color w:val="auto"/>
              </w:rPr>
              <w:t>Net income (loss) attributable to BXP, Inc.</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(121,712)</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88,977</w:t>
            </w:r>
          </w:p>
        </w:tc>
        <w:tc>
          <w:tcPr>
            <w:tcW w:w="0" w:type="dxa"/>
            <w:vAlign w:val="bottom"/>
          </w:tcPr>
          <w:p>
            <w:pPr>
              <w:spacing w:after="0"/>
              <w:rPr>
                <w:sz w:val="1"/>
                <w:szCs w:val="1"/>
                <w:color w:val="auto"/>
              </w:rPr>
            </w:pPr>
          </w:p>
        </w:tc>
      </w:tr>
      <w:tr>
        <w:trPr>
          <w:trHeight w:val="21"/>
        </w:trPr>
        <w:tc>
          <w:tcPr>
            <w:tcW w:w="7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INCOME PER SHARE OF COMMON STOCK (EPS)</w:t>
            </w: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6"/>
        </w:trPr>
        <w:tc>
          <w:tcPr>
            <w:tcW w:w="740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7400" w:type="dxa"/>
            <w:vAlign w:val="bottom"/>
          </w:tcPr>
          <w:p>
            <w:pPr>
              <w:ind w:left="20"/>
              <w:spacing w:after="0"/>
              <w:rPr>
                <w:sz w:val="20"/>
                <w:szCs w:val="20"/>
                <w:color w:val="auto"/>
              </w:rPr>
            </w:pPr>
            <w:r>
              <w:rPr>
                <w:rFonts w:ascii="Arial" w:cs="Arial" w:eastAsia="Arial" w:hAnsi="Arial"/>
                <w:sz w:val="14"/>
                <w:szCs w:val="14"/>
                <w:color w:val="auto"/>
              </w:rPr>
              <w:t>Net income (loss) attributable to BXP, Inc. per share - basic</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(0.77)</w:t>
            </w:r>
          </w:p>
        </w:tc>
        <w:tc>
          <w:tcPr>
            <w:tcW w:w="2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400" w:type="dxa"/>
            <w:vAlign w:val="bottom"/>
          </w:tcPr>
          <w:p>
            <w:pPr>
              <w:ind w:left="20"/>
              <w:spacing w:after="0"/>
              <w:rPr>
                <w:sz w:val="20"/>
                <w:szCs w:val="20"/>
                <w:color w:val="auto"/>
              </w:rPr>
            </w:pPr>
            <w:r>
              <w:rPr>
                <w:rFonts w:ascii="Arial" w:cs="Arial" w:eastAsia="Arial" w:hAnsi="Arial"/>
                <w:sz w:val="14"/>
                <w:szCs w:val="14"/>
                <w:color w:val="auto"/>
              </w:rPr>
              <w:t>Net income (loss) attributable to BXP, Inc. per share - diluted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(0.77)</w:t>
            </w:r>
          </w:p>
        </w:tc>
        <w:tc>
          <w:tcPr>
            <w:tcW w:w="200" w:type="dxa"/>
            <w:vAlign w:val="bottom"/>
          </w:tcPr>
          <w:p>
            <w:pPr>
              <w:spacing w:after="0"/>
              <w:rPr>
                <w:sz w:val="18"/>
                <w:szCs w:val="18"/>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1"/>
        </w:trPr>
        <w:tc>
          <w:tcPr>
            <w:tcW w:w="7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68</w:t>
      </w:r>
    </w:p>
    <w:p>
      <w:pPr>
        <w:sectPr>
          <w:pgSz w:w="11900" w:h="16838" w:orient="portrait"/>
          <w:cols w:equalWidth="0" w:num="1">
            <w:col w:w="11240"/>
          </w:cols>
          <w:pgMar w:left="320" w:top="279" w:right="339" w:bottom="1440" w:gutter="0" w:footer="0" w:header="0"/>
        </w:sectPr>
      </w:pPr>
    </w:p>
    <w:bookmarkStart w:id="76" w:name="page77"/>
    <w:bookmarkEnd w:id="76"/>
    <w:p>
      <w:pPr>
        <w:ind w:left="1014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59765" cy="4286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97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340" w:right="320"/>
        <w:spacing w:after="0" w:line="270" w:lineRule="auto"/>
        <w:rPr>
          <w:sz w:val="20"/>
          <w:szCs w:val="20"/>
          <w:color w:val="auto"/>
        </w:rPr>
      </w:pPr>
      <w:r>
        <w:rPr>
          <w:rFonts w:ascii="Arial" w:cs="Arial" w:eastAsia="Arial" w:hAnsi="Arial"/>
          <w:sz w:val="22"/>
          <w:szCs w:val="22"/>
          <w:b w:val="1"/>
          <w:bCs w:val="1"/>
          <w:color w:val="6D6D6D"/>
        </w:rPr>
        <w:t>BXP ANNOUNCES THIRD QUARTER 2026 RESULTS Exceeds Q3 2026 Guidance for EPS and FFO; Increased Full Year 2026 Guidance for EPS and FFO; and Increased Total Portfolio Occupancy by 100 Basis Points</w:t>
      </w:r>
    </w:p>
    <w:p>
      <w:pPr>
        <w:spacing w:after="0" w:line="172" w:lineRule="exact"/>
        <w:rPr>
          <w:sz w:val="20"/>
          <w:szCs w:val="20"/>
          <w:color w:val="auto"/>
        </w:rPr>
      </w:pPr>
    </w:p>
    <w:p>
      <w:pPr>
        <w:spacing w:after="0" w:line="245" w:lineRule="auto"/>
        <w:rPr>
          <w:sz w:val="20"/>
          <w:szCs w:val="20"/>
          <w:color w:val="auto"/>
        </w:rPr>
      </w:pPr>
      <w:r>
        <w:rPr>
          <w:rFonts w:ascii="Arial" w:cs="Arial" w:eastAsia="Arial" w:hAnsi="Arial"/>
          <w:sz w:val="22"/>
          <w:szCs w:val="22"/>
          <w:b w:val="1"/>
          <w:bCs w:val="1"/>
          <w:color w:val="6D6D6D"/>
        </w:rPr>
        <w:t xml:space="preserve">BOSTON, MA, October 27, 2026 - </w:t>
      </w:r>
      <w:r>
        <w:rPr>
          <w:rFonts w:ascii="Arial" w:cs="Arial" w:eastAsia="Arial" w:hAnsi="Arial"/>
          <w:sz w:val="22"/>
          <w:szCs w:val="22"/>
          <w:b w:val="1"/>
          <w:bCs w:val="1"/>
          <w:u w:val="single" w:color="auto"/>
          <w:color w:val="6D6D6D"/>
        </w:rPr>
        <w:t>BXP, Inc.</w:t>
      </w:r>
      <w:r>
        <w:rPr>
          <w:rFonts w:ascii="Arial" w:cs="Arial" w:eastAsia="Arial" w:hAnsi="Arial"/>
          <w:sz w:val="22"/>
          <w:szCs w:val="22"/>
          <w:b w:val="1"/>
          <w:bCs w:val="1"/>
          <w:color w:val="6D6D6D"/>
        </w:rPr>
        <w:t xml:space="preserve"> (NYSE: BXP)</w:t>
      </w:r>
      <w:r>
        <w:rPr>
          <w:rFonts w:ascii="Arial" w:cs="Arial" w:eastAsia="Arial" w:hAnsi="Arial"/>
          <w:sz w:val="22"/>
          <w:szCs w:val="22"/>
          <w:color w:val="6D6D6D"/>
        </w:rPr>
        <w:t>, the largest publicly traded developer, owner, and</w:t>
      </w:r>
      <w:r>
        <w:rPr>
          <w:rFonts w:ascii="Arial" w:cs="Arial" w:eastAsia="Arial" w:hAnsi="Arial"/>
          <w:sz w:val="22"/>
          <w:szCs w:val="22"/>
          <w:b w:val="1"/>
          <w:bCs w:val="1"/>
          <w:color w:val="6D6D6D"/>
        </w:rPr>
        <w:t xml:space="preserve"> </w:t>
      </w:r>
      <w:r>
        <w:rPr>
          <w:rFonts w:ascii="Arial" w:cs="Arial" w:eastAsia="Arial" w:hAnsi="Arial"/>
          <w:sz w:val="22"/>
          <w:szCs w:val="22"/>
          <w:color w:val="6D6D6D"/>
        </w:rPr>
        <w:t>manager of premier workplaces in the United States, reported results today for the third quarter ended September 30, 2026.</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6D6D6D"/>
        </w:rPr>
        <w:t>Third Quarter 2026 Financial Highlights</w:t>
      </w:r>
    </w:p>
    <w:p>
      <w:pPr>
        <w:spacing w:after="0" w:line="235" w:lineRule="exact"/>
        <w:rPr>
          <w:sz w:val="20"/>
          <w:szCs w:val="20"/>
          <w:color w:val="auto"/>
        </w:rPr>
      </w:pPr>
    </w:p>
    <w:p>
      <w:pPr>
        <w:ind w:left="340" w:right="60" w:hanging="332"/>
        <w:spacing w:after="0" w:line="259" w:lineRule="auto"/>
        <w:tabs>
          <w:tab w:leader="none" w:pos="335" w:val="left"/>
        </w:tabs>
        <w:numPr>
          <w:ilvl w:val="0"/>
          <w:numId w:val="133"/>
        </w:numPr>
        <w:rPr>
          <w:rFonts w:ascii="Arial" w:cs="Arial" w:eastAsia="Arial" w:hAnsi="Arial"/>
          <w:sz w:val="22"/>
          <w:szCs w:val="22"/>
          <w:color w:val="6D6D6D"/>
        </w:rPr>
      </w:pPr>
      <w:r>
        <w:rPr>
          <w:rFonts w:ascii="Arial" w:cs="Arial" w:eastAsia="Arial" w:hAnsi="Arial"/>
          <w:sz w:val="22"/>
          <w:szCs w:val="22"/>
          <w:color w:val="6D6D6D"/>
        </w:rPr>
        <w:t>Revenue increased 4.6% to $911.4 million for the quarter ended September 30, 2026, compared to $871.5 million for the quarter ended September 30, 2025.</w:t>
      </w:r>
    </w:p>
    <w:p>
      <w:pPr>
        <w:spacing w:after="0" w:line="183" w:lineRule="exact"/>
        <w:rPr>
          <w:rFonts w:ascii="Arial" w:cs="Arial" w:eastAsia="Arial" w:hAnsi="Arial"/>
          <w:sz w:val="22"/>
          <w:szCs w:val="22"/>
          <w:color w:val="6D6D6D"/>
        </w:rPr>
      </w:pPr>
    </w:p>
    <w:p>
      <w:pPr>
        <w:jc w:val="both"/>
        <w:ind w:left="340" w:right="560" w:hanging="332"/>
        <w:spacing w:after="0" w:line="232" w:lineRule="auto"/>
        <w:tabs>
          <w:tab w:leader="none" w:pos="335" w:val="left"/>
        </w:tabs>
        <w:numPr>
          <w:ilvl w:val="0"/>
          <w:numId w:val="133"/>
        </w:numPr>
        <w:rPr>
          <w:rFonts w:ascii="Arial" w:cs="Arial" w:eastAsia="Arial" w:hAnsi="Arial"/>
          <w:sz w:val="22"/>
          <w:szCs w:val="22"/>
          <w:color w:val="6D6D6D"/>
        </w:rPr>
      </w:pPr>
      <w:r>
        <w:rPr>
          <w:rFonts w:ascii="Arial" w:cs="Arial" w:eastAsia="Arial" w:hAnsi="Arial"/>
          <w:sz w:val="22"/>
          <w:szCs w:val="22"/>
          <w:color w:val="6D6D6D"/>
        </w:rPr>
        <w:t>Net income (loss) attributable to BXP, Inc. of $114.5 million, or $0.71 per diluted share (EPS), for the quarter ended September 30, 2026, compared to $(121.7) million, or $(0.77) per diluted share, for the quarter ended September 30, 2025.</w:t>
      </w:r>
    </w:p>
    <w:p>
      <w:pPr>
        <w:spacing w:after="0" w:line="1" w:lineRule="exact"/>
        <w:rPr>
          <w:rFonts w:ascii="Arial" w:cs="Arial" w:eastAsia="Arial" w:hAnsi="Arial"/>
          <w:sz w:val="22"/>
          <w:szCs w:val="22"/>
          <w:color w:val="6D6D6D"/>
        </w:rPr>
      </w:pPr>
    </w:p>
    <w:p>
      <w:pPr>
        <w:ind w:left="980" w:right="760" w:hanging="324"/>
        <w:spacing w:after="0" w:line="237" w:lineRule="auto"/>
        <w:tabs>
          <w:tab w:leader="none" w:pos="976" w:val="left"/>
        </w:tabs>
        <w:numPr>
          <w:ilvl w:val="1"/>
          <w:numId w:val="133"/>
        </w:numPr>
        <w:rPr>
          <w:rFonts w:ascii="Arial" w:cs="Arial" w:eastAsia="Arial" w:hAnsi="Arial"/>
          <w:sz w:val="22"/>
          <w:szCs w:val="22"/>
          <w:color w:val="6D6D6D"/>
        </w:rPr>
      </w:pPr>
      <w:r>
        <w:rPr>
          <w:rFonts w:ascii="Arial" w:cs="Arial" w:eastAsia="Arial" w:hAnsi="Arial"/>
          <w:sz w:val="22"/>
          <w:szCs w:val="22"/>
          <w:color w:val="6D6D6D"/>
        </w:rPr>
        <w:t>EPS for the third quarter 2026 exceeded the midpoint of BXP’s guidance by $0.20 per diluted share primarily due to gains on sales related to disposition activity and better-than-projected portfolio performance.</w:t>
      </w:r>
    </w:p>
    <w:p>
      <w:pPr>
        <w:spacing w:after="0" w:line="202" w:lineRule="exact"/>
        <w:rPr>
          <w:rFonts w:ascii="Arial" w:cs="Arial" w:eastAsia="Arial" w:hAnsi="Arial"/>
          <w:sz w:val="22"/>
          <w:szCs w:val="22"/>
          <w:color w:val="6D6D6D"/>
        </w:rPr>
      </w:pPr>
    </w:p>
    <w:p>
      <w:pPr>
        <w:jc w:val="both"/>
        <w:ind w:left="340" w:right="160" w:hanging="332"/>
        <w:spacing w:after="0" w:line="251" w:lineRule="auto"/>
        <w:tabs>
          <w:tab w:leader="none" w:pos="335" w:val="left"/>
        </w:tabs>
        <w:numPr>
          <w:ilvl w:val="0"/>
          <w:numId w:val="133"/>
        </w:numPr>
        <w:rPr>
          <w:rFonts w:ascii="Arial" w:cs="Arial" w:eastAsia="Arial" w:hAnsi="Arial"/>
          <w:sz w:val="21"/>
          <w:szCs w:val="21"/>
          <w:color w:val="6D6D6D"/>
        </w:rPr>
      </w:pPr>
      <w:r>
        <w:rPr>
          <w:rFonts w:ascii="Arial" w:cs="Arial" w:eastAsia="Arial" w:hAnsi="Arial"/>
          <w:sz w:val="21"/>
          <w:szCs w:val="21"/>
          <w:color w:val="6D6D6D"/>
        </w:rPr>
        <w:t>Funds from Operations (FFO) of $302.2 million, or $1.89 per diluted share, for the quarter ended September 30, 2026, compared to FFO of $276.7 million, or $1.74 per diluted share, for the quarter ended September 30, 2025.</w:t>
      </w:r>
    </w:p>
    <w:p>
      <w:pPr>
        <w:ind w:left="980" w:right="760" w:hanging="324"/>
        <w:spacing w:after="0"/>
        <w:tabs>
          <w:tab w:leader="none" w:pos="976" w:val="left"/>
        </w:tabs>
        <w:numPr>
          <w:ilvl w:val="1"/>
          <w:numId w:val="133"/>
        </w:numPr>
        <w:rPr>
          <w:rFonts w:ascii="Arial" w:cs="Arial" w:eastAsia="Arial" w:hAnsi="Arial"/>
          <w:sz w:val="22"/>
          <w:szCs w:val="22"/>
          <w:color w:val="6D6D6D"/>
        </w:rPr>
      </w:pPr>
      <w:r>
        <w:rPr>
          <w:rFonts w:ascii="Arial" w:cs="Arial" w:eastAsia="Arial" w:hAnsi="Arial"/>
          <w:sz w:val="22"/>
          <w:szCs w:val="22"/>
          <w:color w:val="6D6D6D"/>
        </w:rPr>
        <w:t>FFO for the third quarter 2026 exceeded the midpoint of BXP’s guidance by $0.08 per diluted share primarily due to better-than-projected portfolio performance.</w:t>
      </w:r>
    </w:p>
    <w:p>
      <w:pPr>
        <w:spacing w:after="0" w:line="377" w:lineRule="exact"/>
        <w:rPr>
          <w:sz w:val="20"/>
          <w:szCs w:val="20"/>
          <w:color w:val="auto"/>
        </w:rPr>
      </w:pPr>
    </w:p>
    <w:p>
      <w:pPr>
        <w:spacing w:after="0"/>
        <w:rPr>
          <w:sz w:val="20"/>
          <w:szCs w:val="20"/>
          <w:color w:val="auto"/>
        </w:rPr>
      </w:pPr>
      <w:r>
        <w:rPr>
          <w:rFonts w:ascii="Arial" w:cs="Arial" w:eastAsia="Arial" w:hAnsi="Arial"/>
          <w:sz w:val="22"/>
          <w:szCs w:val="22"/>
          <w:b w:val="1"/>
          <w:bCs w:val="1"/>
          <w:color w:val="6D6D6D"/>
        </w:rPr>
        <w:t>Guidance</w:t>
      </w:r>
    </w:p>
    <w:p>
      <w:pPr>
        <w:spacing w:after="0" w:line="100" w:lineRule="exact"/>
        <w:rPr>
          <w:sz w:val="20"/>
          <w:szCs w:val="20"/>
          <w:color w:val="auto"/>
        </w:rPr>
      </w:pPr>
    </w:p>
    <w:p>
      <w:pPr>
        <w:spacing w:after="0"/>
        <w:rPr>
          <w:sz w:val="20"/>
          <w:szCs w:val="20"/>
          <w:color w:val="auto"/>
        </w:rPr>
      </w:pPr>
      <w:r>
        <w:rPr>
          <w:rFonts w:ascii="Arial" w:cs="Arial" w:eastAsia="Arial" w:hAnsi="Arial"/>
          <w:sz w:val="22"/>
          <w:szCs w:val="22"/>
          <w:color w:val="6D6D6D"/>
        </w:rPr>
        <w:t>BXP provided guidance for full-year 2026 EPS of $2.35 - $2.37 and FFO of $7.06 - $7.08 per diluted share.</w:t>
      </w:r>
    </w:p>
    <w:p>
      <w:pPr>
        <w:spacing w:after="0" w:line="233" w:lineRule="exact"/>
        <w:rPr>
          <w:sz w:val="20"/>
          <w:szCs w:val="20"/>
          <w:color w:val="auto"/>
        </w:rPr>
      </w:pPr>
    </w:p>
    <w:p>
      <w:pPr>
        <w:ind w:right="1100"/>
        <w:spacing w:after="0" w:line="259" w:lineRule="auto"/>
        <w:rPr>
          <w:sz w:val="20"/>
          <w:szCs w:val="20"/>
          <w:color w:val="auto"/>
        </w:rPr>
      </w:pPr>
      <w:r>
        <w:rPr>
          <w:rFonts w:ascii="Arial" w:cs="Arial" w:eastAsia="Arial" w:hAnsi="Arial"/>
          <w:sz w:val="22"/>
          <w:szCs w:val="22"/>
          <w:color w:val="6D6D6D"/>
        </w:rPr>
        <w:t>The midpoint of full-year 2026 guidance for EPS increased by $0.17 per diluted share, primarily due to the aforementioned gains on sales and better-than-projected portfolio performance.</w:t>
      </w:r>
    </w:p>
    <w:p>
      <w:pPr>
        <w:spacing w:after="0" w:line="183" w:lineRule="exact"/>
        <w:rPr>
          <w:sz w:val="20"/>
          <w:szCs w:val="20"/>
          <w:color w:val="auto"/>
        </w:rPr>
      </w:pPr>
    </w:p>
    <w:p>
      <w:pPr>
        <w:ind w:right="340"/>
        <w:spacing w:after="0" w:line="246" w:lineRule="auto"/>
        <w:rPr>
          <w:sz w:val="20"/>
          <w:szCs w:val="20"/>
          <w:color w:val="auto"/>
        </w:rPr>
      </w:pPr>
      <w:r>
        <w:rPr>
          <w:rFonts w:ascii="Arial" w:cs="Arial" w:eastAsia="Arial" w:hAnsi="Arial"/>
          <w:sz w:val="22"/>
          <w:szCs w:val="22"/>
          <w:color w:val="6D6D6D"/>
        </w:rPr>
        <w:t>The midpoint of full-year 2026 guidance for FFO increased by $0.05 per diluted share primarily due to better-than-projected portfolio performance as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color w:val="6D6D6D"/>
        </w:rPr>
        <w:t>See “EPS and FFO per Share Guidance” below.</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6D6D6D"/>
        </w:rPr>
        <w:t>Leasing &amp; Occupancy</w:t>
      </w:r>
    </w:p>
    <w:p>
      <w:pPr>
        <w:spacing w:after="0" w:line="100" w:lineRule="exact"/>
        <w:rPr>
          <w:sz w:val="20"/>
          <w:szCs w:val="20"/>
          <w:color w:val="auto"/>
        </w:rPr>
      </w:pPr>
    </w:p>
    <w:p>
      <w:pPr>
        <w:ind w:left="340" w:right="460" w:hanging="332"/>
        <w:spacing w:after="0"/>
        <w:tabs>
          <w:tab w:leader="none" w:pos="335" w:val="left"/>
        </w:tabs>
        <w:numPr>
          <w:ilvl w:val="0"/>
          <w:numId w:val="134"/>
        </w:numPr>
        <w:rPr>
          <w:rFonts w:ascii="Arial" w:cs="Arial" w:eastAsia="Arial" w:hAnsi="Arial"/>
          <w:sz w:val="22"/>
          <w:szCs w:val="22"/>
          <w:color w:val="6D6D6D"/>
        </w:rPr>
      </w:pPr>
      <w:r>
        <w:rPr>
          <w:rFonts w:ascii="Arial" w:cs="Arial" w:eastAsia="Arial" w:hAnsi="Arial"/>
          <w:sz w:val="22"/>
          <w:szCs w:val="22"/>
          <w:color w:val="6D6D6D"/>
        </w:rPr>
        <w:t>Executed 74 leases in the third quarter totaling approximately 1.2 million square feet with a weighted-average lease term of 10.3 years. Notables leases include:</w:t>
      </w:r>
    </w:p>
    <w:p>
      <w:pPr>
        <w:ind w:left="980" w:right="1160" w:hanging="324"/>
        <w:spacing w:after="0" w:line="230" w:lineRule="auto"/>
        <w:tabs>
          <w:tab w:leader="none" w:pos="976" w:val="left"/>
        </w:tabs>
        <w:numPr>
          <w:ilvl w:val="1"/>
          <w:numId w:val="134"/>
        </w:numPr>
        <w:rPr>
          <w:rFonts w:ascii="Arial" w:cs="Arial" w:eastAsia="Arial" w:hAnsi="Arial"/>
          <w:sz w:val="22"/>
          <w:szCs w:val="22"/>
          <w:color w:val="6D6D6D"/>
        </w:rPr>
      </w:pPr>
      <w:r>
        <w:rPr>
          <w:rFonts w:ascii="Arial" w:cs="Arial" w:eastAsia="Arial" w:hAnsi="Arial"/>
          <w:sz w:val="22"/>
          <w:szCs w:val="22"/>
          <w:color w:val="6D6D6D"/>
        </w:rPr>
        <w:t>an approximately 206,000 square foot lease with a technology company at 500 North Capitol in Washington, DC.</w:t>
      </w:r>
    </w:p>
    <w:p>
      <w:pPr>
        <w:spacing w:after="0" w:line="1" w:lineRule="exact"/>
        <w:rPr>
          <w:rFonts w:ascii="Arial" w:cs="Arial" w:eastAsia="Arial" w:hAnsi="Arial"/>
          <w:sz w:val="22"/>
          <w:szCs w:val="22"/>
          <w:color w:val="6D6D6D"/>
        </w:rPr>
      </w:pPr>
    </w:p>
    <w:p>
      <w:pPr>
        <w:ind w:left="980" w:right="960" w:hanging="324"/>
        <w:spacing w:after="0" w:line="233" w:lineRule="auto"/>
        <w:tabs>
          <w:tab w:leader="none" w:pos="976" w:val="left"/>
        </w:tabs>
        <w:numPr>
          <w:ilvl w:val="1"/>
          <w:numId w:val="134"/>
        </w:numPr>
        <w:rPr>
          <w:rFonts w:ascii="Arial" w:cs="Arial" w:eastAsia="Arial" w:hAnsi="Arial"/>
          <w:sz w:val="22"/>
          <w:szCs w:val="22"/>
          <w:color w:val="6D6D6D"/>
        </w:rPr>
      </w:pPr>
      <w:r>
        <w:rPr>
          <w:rFonts w:ascii="Arial" w:cs="Arial" w:eastAsia="Arial" w:hAnsi="Arial"/>
          <w:sz w:val="22"/>
          <w:szCs w:val="22"/>
          <w:color w:val="6D6D6D"/>
        </w:rPr>
        <w:t>an approximately 112,000 square foot lease renewal with a law firm at Madison Centre in Seattle, Washington.</w:t>
      </w:r>
    </w:p>
    <w:p>
      <w:pPr>
        <w:sectPr>
          <w:pgSz w:w="11900" w:h="16838" w:orient="portrait"/>
          <w:cols w:equalWidth="0" w:num="1">
            <w:col w:w="11220"/>
          </w:cols>
          <w:pgMar w:left="320" w:top="104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6D6D6D"/>
        </w:rPr>
        <w:t>–more–</w:t>
      </w:r>
    </w:p>
    <w:p>
      <w:pPr>
        <w:sectPr>
          <w:pgSz w:w="11900" w:h="16838" w:orient="portrait"/>
          <w:cols w:equalWidth="0" w:num="1">
            <w:col w:w="11220"/>
          </w:cols>
          <w:pgMar w:left="320" w:top="1049" w:right="359" w:bottom="1440" w:gutter="0" w:footer="0" w:header="0"/>
          <w:type w:val="continuous"/>
        </w:sectPr>
      </w:pPr>
    </w:p>
    <w:bookmarkStart w:id="77" w:name="page78"/>
    <w:bookmarkEnd w:id="77"/>
    <w:p>
      <w:pPr>
        <w:ind w:left="340" w:right="360" w:hanging="332"/>
        <w:spacing w:after="0" w:line="238" w:lineRule="auto"/>
        <w:tabs>
          <w:tab w:leader="none" w:pos="335" w:val="left"/>
        </w:tabs>
        <w:numPr>
          <w:ilvl w:val="0"/>
          <w:numId w:val="135"/>
        </w:numPr>
        <w:rPr>
          <w:rFonts w:ascii="Arial" w:cs="Arial" w:eastAsia="Arial" w:hAnsi="Arial"/>
          <w:sz w:val="22"/>
          <w:szCs w:val="22"/>
          <w:color w:val="6D6D6D"/>
        </w:rPr>
      </w:pPr>
      <w:r>
        <w:rPr>
          <w:rFonts w:ascii="Arial" w:cs="Arial" w:eastAsia="Arial" w:hAnsi="Arial"/>
          <w:sz w:val="22"/>
          <w:szCs w:val="22"/>
          <w:color w:val="6D6D6D"/>
        </w:rPr>
        <w:t>For the third quarter, BXP’s CBD portfolio of premier workplaces was 91.8% occupied and 94.1% leased (including vacant space for which we have signed leases that have not yet commenced revenue recognition in accordance with GAAP). Approximately 90.4% of BXP’s Share of annualized rental obligations is derived from clients located in our CBD portfolio, underscoring the strength of BXP’s strategy to invest in the highest quality buildings in dynamic urban gateway markets.</w:t>
      </w:r>
    </w:p>
    <w:p>
      <w:pPr>
        <w:spacing w:after="0" w:line="203" w:lineRule="exact"/>
        <w:rPr>
          <w:rFonts w:ascii="Arial" w:cs="Arial" w:eastAsia="Arial" w:hAnsi="Arial"/>
          <w:sz w:val="22"/>
          <w:szCs w:val="22"/>
          <w:color w:val="6D6D6D"/>
        </w:rPr>
      </w:pPr>
    </w:p>
    <w:p>
      <w:pPr>
        <w:ind w:left="340" w:right="340" w:hanging="332"/>
        <w:spacing w:after="0" w:line="246" w:lineRule="auto"/>
        <w:tabs>
          <w:tab w:leader="none" w:pos="335" w:val="left"/>
        </w:tabs>
        <w:numPr>
          <w:ilvl w:val="0"/>
          <w:numId w:val="135"/>
        </w:numPr>
        <w:rPr>
          <w:rFonts w:ascii="Arial" w:cs="Arial" w:eastAsia="Arial" w:hAnsi="Arial"/>
          <w:sz w:val="22"/>
          <w:szCs w:val="22"/>
          <w:color w:val="6D6D6D"/>
        </w:rPr>
      </w:pPr>
      <w:r>
        <w:rPr>
          <w:rFonts w:ascii="Arial" w:cs="Arial" w:eastAsia="Arial" w:hAnsi="Arial"/>
          <w:sz w:val="22"/>
          <w:szCs w:val="22"/>
          <w:color w:val="6D6D6D"/>
        </w:rPr>
        <w:t>BXP’s total portfolio occupancy for the third quarter was 89.4%, an increase of 100 basis points from Q2 2026, marking the fourth consecutive quarter of occupancy gains.</w:t>
      </w:r>
    </w:p>
    <w:p>
      <w:pPr>
        <w:spacing w:after="0" w:line="196" w:lineRule="exact"/>
        <w:rPr>
          <w:rFonts w:ascii="Arial" w:cs="Arial" w:eastAsia="Arial" w:hAnsi="Arial"/>
          <w:sz w:val="22"/>
          <w:szCs w:val="22"/>
          <w:color w:val="6D6D6D"/>
        </w:rPr>
      </w:pPr>
    </w:p>
    <w:p>
      <w:pPr>
        <w:ind w:left="340" w:right="20" w:hanging="332"/>
        <w:spacing w:after="0" w:line="238" w:lineRule="auto"/>
        <w:tabs>
          <w:tab w:leader="none" w:pos="335" w:val="left"/>
        </w:tabs>
        <w:numPr>
          <w:ilvl w:val="0"/>
          <w:numId w:val="135"/>
        </w:numPr>
        <w:rPr>
          <w:rFonts w:ascii="Arial" w:cs="Arial" w:eastAsia="Arial" w:hAnsi="Arial"/>
          <w:sz w:val="22"/>
          <w:szCs w:val="22"/>
          <w:color w:val="6D6D6D"/>
        </w:rPr>
      </w:pPr>
      <w:r>
        <w:rPr>
          <w:rFonts w:ascii="Arial" w:cs="Arial" w:eastAsia="Arial" w:hAnsi="Arial"/>
          <w:sz w:val="22"/>
          <w:szCs w:val="22"/>
          <w:color w:val="6D6D6D"/>
        </w:rPr>
        <w:t>Total portfolio leased percentage was 91.9% (including vacant space for which we have signed leases that have not yet commenced revenue recognition in accordance with GAAP), an increase of 60 basis points from Q2 2026. As of September 30, 2026, the spread between leased and occupied square footage was 250 basis points, representing approximately 1.1 million square feet of future lease commencements, with approximately half expected to commence before year-end 2026.</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6D6D6D"/>
        </w:rPr>
        <w:t>Transactions</w:t>
      </w:r>
    </w:p>
    <w:p>
      <w:pPr>
        <w:spacing w:after="0" w:line="100" w:lineRule="exact"/>
        <w:rPr>
          <w:sz w:val="20"/>
          <w:szCs w:val="20"/>
          <w:color w:val="auto"/>
        </w:rPr>
      </w:pPr>
    </w:p>
    <w:p>
      <w:pPr>
        <w:ind w:left="340" w:right="20" w:hanging="332"/>
        <w:spacing w:after="0" w:line="245" w:lineRule="auto"/>
        <w:tabs>
          <w:tab w:leader="none" w:pos="335" w:val="left"/>
        </w:tabs>
        <w:numPr>
          <w:ilvl w:val="0"/>
          <w:numId w:val="136"/>
        </w:numPr>
        <w:rPr>
          <w:rFonts w:ascii="Arial" w:cs="Arial" w:eastAsia="Arial" w:hAnsi="Arial"/>
          <w:sz w:val="22"/>
          <w:szCs w:val="22"/>
          <w:color w:val="6D6D6D"/>
        </w:rPr>
      </w:pPr>
      <w:r>
        <w:rPr>
          <w:rFonts w:ascii="Arial" w:cs="Arial" w:eastAsia="Arial" w:hAnsi="Arial"/>
          <w:sz w:val="22"/>
          <w:szCs w:val="22"/>
          <w:color w:val="6D6D6D"/>
        </w:rPr>
        <w:t>Completed the sale of a 10.6% equity interest in the 343 Madison Avenue development to AVRS Partners, generating additional capital, reducing BXP's required equity commitment, and preserving BXP's full control of the project, including all development, leasing, and property management responsibilities.</w:t>
      </w:r>
    </w:p>
    <w:p>
      <w:pPr>
        <w:spacing w:after="0" w:line="197" w:lineRule="exact"/>
        <w:rPr>
          <w:rFonts w:ascii="Arial" w:cs="Arial" w:eastAsia="Arial" w:hAnsi="Arial"/>
          <w:sz w:val="22"/>
          <w:szCs w:val="22"/>
          <w:color w:val="6D6D6D"/>
        </w:rPr>
      </w:pPr>
    </w:p>
    <w:p>
      <w:pPr>
        <w:ind w:left="340" w:right="40" w:hanging="332"/>
        <w:spacing w:after="0"/>
        <w:tabs>
          <w:tab w:leader="none" w:pos="335" w:val="left"/>
        </w:tabs>
        <w:numPr>
          <w:ilvl w:val="0"/>
          <w:numId w:val="136"/>
        </w:numPr>
        <w:rPr>
          <w:rFonts w:ascii="Arial" w:cs="Arial" w:eastAsia="Arial" w:hAnsi="Arial"/>
          <w:sz w:val="22"/>
          <w:szCs w:val="22"/>
          <w:color w:val="6D6D6D"/>
        </w:rPr>
      </w:pPr>
      <w:r>
        <w:rPr>
          <w:rFonts w:ascii="Arial" w:cs="Arial" w:eastAsia="Arial" w:hAnsi="Arial"/>
          <w:sz w:val="22"/>
          <w:szCs w:val="22"/>
          <w:color w:val="6D6D6D"/>
        </w:rPr>
        <w:t>During the third quarter, we completed the sales of Sumner Square and 1330 Connecticut Avenue in Washington, DC. The aggregate gross sales price of these two office sales totaled approximately $155.4 million, resulting in aggregate net proceeds of approximately $150.3 million and gains on sales of real estate of approximately $10.5 million.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6D6D6D"/>
        </w:rPr>
        <w:t>Balance Sheet &amp; Liquidity</w:t>
      </w:r>
    </w:p>
    <w:p>
      <w:pPr>
        <w:spacing w:after="0" w:line="249" w:lineRule="exact"/>
        <w:rPr>
          <w:sz w:val="20"/>
          <w:szCs w:val="20"/>
          <w:color w:val="auto"/>
        </w:rPr>
      </w:pPr>
    </w:p>
    <w:p>
      <w:pPr>
        <w:ind w:left="340" w:right="60" w:hanging="332"/>
        <w:spacing w:after="0" w:line="234" w:lineRule="auto"/>
        <w:tabs>
          <w:tab w:leader="none" w:pos="335" w:val="left"/>
        </w:tabs>
        <w:numPr>
          <w:ilvl w:val="0"/>
          <w:numId w:val="137"/>
        </w:numPr>
        <w:rPr>
          <w:rFonts w:ascii="Arial" w:cs="Arial" w:eastAsia="Arial" w:hAnsi="Arial"/>
          <w:sz w:val="22"/>
          <w:szCs w:val="22"/>
          <w:color w:val="6D6D6D"/>
        </w:rPr>
      </w:pPr>
      <w:r>
        <w:rPr>
          <w:rFonts w:ascii="Arial" w:cs="Arial" w:eastAsia="Arial" w:hAnsi="Arial"/>
          <w:sz w:val="22"/>
          <w:szCs w:val="22"/>
          <w:color w:val="6D6D6D"/>
        </w:rPr>
        <w:t>BXP entered into a $1.2 billion construction loan for the development of 343 Madison Avenue in New York City, New York. The loan has a four-year initial term, plus a one-year extension option subject to customary conditions, and was executed on competitive terms, including an initial interest rate of Term SOFR plus 2.50%, which will be reduced to Term SOFR plus 2.25% upon the achievement of certain leasing and construction milestones. The financing represents a significant milestone in the capitalization of the project and supports the ongoing construction of one of New York City's most anticipated workplace developments.</w:t>
      </w:r>
    </w:p>
    <w:p>
      <w:pPr>
        <w:spacing w:after="0" w:line="207" w:lineRule="exact"/>
        <w:rPr>
          <w:rFonts w:ascii="Arial" w:cs="Arial" w:eastAsia="Arial" w:hAnsi="Arial"/>
          <w:sz w:val="22"/>
          <w:szCs w:val="22"/>
          <w:color w:val="6D6D6D"/>
        </w:rPr>
      </w:pPr>
    </w:p>
    <w:p>
      <w:pPr>
        <w:ind w:left="340" w:right="160" w:hanging="332"/>
        <w:spacing w:after="0" w:line="251" w:lineRule="auto"/>
        <w:tabs>
          <w:tab w:leader="none" w:pos="335" w:val="left"/>
        </w:tabs>
        <w:numPr>
          <w:ilvl w:val="0"/>
          <w:numId w:val="137"/>
        </w:numPr>
        <w:rPr>
          <w:rFonts w:ascii="Arial" w:cs="Arial" w:eastAsia="Arial" w:hAnsi="Arial"/>
          <w:sz w:val="21"/>
          <w:szCs w:val="21"/>
          <w:color w:val="6D6D6D"/>
        </w:rPr>
      </w:pPr>
      <w:r>
        <w:rPr>
          <w:rFonts w:ascii="Arial" w:cs="Arial" w:eastAsia="Arial" w:hAnsi="Arial"/>
          <w:sz w:val="21"/>
          <w:szCs w:val="21"/>
          <w:color w:val="6D6D6D"/>
        </w:rPr>
        <w:t>Boston Properties Limited Partnership (“BPLP”) completed a public offering of $700.0 million in aggregate principal amount of its 6.050% unsecured senior notes due 2036. The notes were priced at 99.837% of the principal amount to yield an effective rate (including financing fees) of approximately 6.162% per annum to maturity. The notes will mature on October 15, 2036, unless earlier redeemed. The aggregate net proceeds from the offering were approximately $692.4 million after deducting underwriting discounts and transaction expenses.</w:t>
      </w:r>
    </w:p>
    <w:p>
      <w:pPr>
        <w:spacing w:after="0" w:line="195" w:lineRule="exact"/>
        <w:rPr>
          <w:rFonts w:ascii="Arial" w:cs="Arial" w:eastAsia="Arial" w:hAnsi="Arial"/>
          <w:sz w:val="21"/>
          <w:szCs w:val="21"/>
          <w:color w:val="6D6D6D"/>
        </w:rPr>
      </w:pPr>
    </w:p>
    <w:p>
      <w:pPr>
        <w:ind w:left="340" w:hanging="332"/>
        <w:spacing w:after="0" w:line="235" w:lineRule="auto"/>
        <w:tabs>
          <w:tab w:leader="none" w:pos="335" w:val="left"/>
        </w:tabs>
        <w:numPr>
          <w:ilvl w:val="0"/>
          <w:numId w:val="137"/>
        </w:numPr>
        <w:rPr>
          <w:rFonts w:ascii="Arial" w:cs="Arial" w:eastAsia="Arial" w:hAnsi="Arial"/>
          <w:sz w:val="22"/>
          <w:szCs w:val="22"/>
          <w:color w:val="6D6D6D"/>
        </w:rPr>
      </w:pPr>
      <w:r>
        <w:rPr>
          <w:rFonts w:ascii="Arial" w:cs="Arial" w:eastAsia="Arial" w:hAnsi="Arial"/>
          <w:sz w:val="22"/>
          <w:szCs w:val="22"/>
          <w:color w:val="6D6D6D"/>
        </w:rPr>
        <w:t>A joint venture in which BXP owns a 30% interest modified the financing secured by its 500 North Capitol property in Washington, D.C., consolidating two mortgage loans totaling $105.0 million into a single, $105.0 million facility maturing in September 2031. The facility consists of a $70.0 million component bearing interest at a fixed rate of 6.778% and a $35.0 million component bearing interest at Term SOFR plus 2.00%, replacing debt that previously bore interest at a fixed rate of 6.88%. 500 North Capitol Street is an office property with</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6D6D6D"/>
        </w:rPr>
        <w:t>–more–</w:t>
      </w:r>
    </w:p>
    <w:p>
      <w:pPr>
        <w:sectPr>
          <w:pgSz w:w="11900" w:h="16838" w:orient="portrait"/>
          <w:cols w:equalWidth="0" w:num="1">
            <w:col w:w="11200"/>
          </w:cols>
          <w:pgMar w:left="320" w:top="883" w:right="379" w:bottom="1440" w:gutter="0" w:footer="0" w:header="0"/>
        </w:sectPr>
      </w:pPr>
    </w:p>
    <w:bookmarkStart w:id="78" w:name="page79"/>
    <w:bookmarkEnd w:id="78"/>
    <w:p>
      <w:pPr>
        <w:ind w:left="340"/>
        <w:spacing w:after="0"/>
        <w:rPr>
          <w:sz w:val="20"/>
          <w:szCs w:val="20"/>
          <w:color w:val="auto"/>
        </w:rPr>
      </w:pPr>
      <w:r>
        <w:rPr>
          <w:rFonts w:ascii="Arial" w:cs="Arial" w:eastAsia="Arial" w:hAnsi="Arial"/>
          <w:sz w:val="22"/>
          <w:szCs w:val="22"/>
          <w:color w:val="6D6D6D"/>
        </w:rPr>
        <w:t>approximately 231,000 net rentable square feet located in Washington, DC. and is 95% leased.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616161"/>
        </w:rPr>
        <w:t>EPS and FFO per Share Guidance:</w:t>
      </w:r>
    </w:p>
    <w:p>
      <w:pPr>
        <w:spacing w:after="0" w:line="235" w:lineRule="exact"/>
        <w:rPr>
          <w:sz w:val="20"/>
          <w:szCs w:val="20"/>
          <w:color w:val="auto"/>
        </w:rPr>
      </w:pPr>
    </w:p>
    <w:p>
      <w:pPr>
        <w:spacing w:after="0" w:line="232" w:lineRule="auto"/>
        <w:rPr>
          <w:sz w:val="20"/>
          <w:szCs w:val="20"/>
          <w:color w:val="auto"/>
        </w:rPr>
      </w:pPr>
      <w:r>
        <w:rPr>
          <w:rFonts w:ascii="Arial" w:cs="Arial" w:eastAsia="Arial" w:hAnsi="Arial"/>
          <w:sz w:val="22"/>
          <w:szCs w:val="22"/>
          <w:color w:val="616161"/>
        </w:rPr>
        <w:t xml:space="preserve">BXP’s guidance for full year 2026 for EPS (diluted) and FFO per share (diluted) is set forth and reconciled below. Except </w:t>
      </w:r>
      <w:r>
        <w:rPr>
          <w:rFonts w:ascii="Arial" w:cs="Arial" w:eastAsia="Arial" w:hAnsi="Arial"/>
          <w:sz w:val="22"/>
          <w:szCs w:val="22"/>
          <w:color w:val="6D6D6D"/>
        </w:rPr>
        <w:t>as described below, the estimates reflect management’s view of</w:t>
      </w:r>
      <w:r>
        <w:rPr>
          <w:rFonts w:ascii="Arial" w:cs="Arial" w:eastAsia="Arial" w:hAnsi="Arial"/>
          <w:sz w:val="22"/>
          <w:szCs w:val="22"/>
          <w:color w:val="616161"/>
        </w:rPr>
        <w:t xml:space="preserve"> current and future market conditions, including assumptions with respect to rental rates, occupancy levels, interest rates, the timing of the lease-up of available space, the timing of development cost outlays and development deliveries, and the earnings impact of the events referenced in this release and those referenced during the related conference call. The estimates do not include (1) possible future gains or losses or the impact on operating results from other possible future property acquisitions or dispositions not under contract as of the date hereof, (2) the impacts of any other capital markets activity, (3) future write-offs or reinstatements of accounts receivable and accrued rent balances, or (4) future impairment charges. EPS estimates </w:t>
      </w:r>
      <w:r>
        <w:rPr>
          <w:rFonts w:ascii="Arial" w:cs="Arial" w:eastAsia="Arial" w:hAnsi="Arial"/>
          <w:sz w:val="22"/>
          <w:szCs w:val="22"/>
          <w:color w:val="6D6D6D"/>
        </w:rPr>
        <w:t>may fluctuate as a result of several factors, including changes in the recognition</w:t>
      </w:r>
      <w:r>
        <w:rPr>
          <w:rFonts w:ascii="Arial" w:cs="Arial" w:eastAsia="Arial" w:hAnsi="Arial"/>
          <w:sz w:val="22"/>
          <w:szCs w:val="22"/>
          <w:color w:val="616161"/>
        </w:rPr>
        <w:t xml:space="preserve"> </w:t>
      </w:r>
      <w:r>
        <w:rPr>
          <w:rFonts w:ascii="Arial" w:cs="Arial" w:eastAsia="Arial" w:hAnsi="Arial"/>
          <w:sz w:val="22"/>
          <w:szCs w:val="22"/>
          <w:color w:val="6D6D6D"/>
        </w:rPr>
        <w:t>of depreciation and amortization expense, impairment losses on depreciable real estate, and any gains or losses associated with disposition activity. BXP is not able t</w:t>
      </w:r>
      <w:r>
        <w:rPr>
          <w:rFonts w:ascii="Arial" w:cs="Arial" w:eastAsia="Arial" w:hAnsi="Arial"/>
          <w:sz w:val="22"/>
          <w:szCs w:val="22"/>
          <w:color w:val="616161"/>
        </w:rPr>
        <w:t>o assess at this time the potential impact of these factors on</w:t>
      </w:r>
      <w:r>
        <w:rPr>
          <w:rFonts w:ascii="Arial" w:cs="Arial" w:eastAsia="Arial" w:hAnsi="Arial"/>
          <w:sz w:val="22"/>
          <w:szCs w:val="22"/>
          <w:color w:val="6D6D6D"/>
        </w:rPr>
        <w:t xml:space="preserve"> </w:t>
      </w:r>
      <w:r>
        <w:rPr>
          <w:rFonts w:ascii="Arial" w:cs="Arial" w:eastAsia="Arial" w:hAnsi="Arial"/>
          <w:sz w:val="22"/>
          <w:szCs w:val="22"/>
          <w:color w:val="616161"/>
        </w:rPr>
        <w:t>projected EPS. By definition, FFO does not include real estate-related depreciation and amortization, impairment losses on depreciable real estate, or gains or losses associated with disposition activities. There can be no assurance that BXP’s actual results will not differ materially from the estimates set forth below.</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5740" w:type="dxa"/>
            <w:vAlign w:val="bottom"/>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20"/>
                <w:szCs w:val="20"/>
                <w:b w:val="1"/>
                <w:bCs w:val="1"/>
                <w:color w:val="494949"/>
              </w:rPr>
              <w:t>Full Year 2026</w:t>
            </w:r>
          </w:p>
        </w:tc>
        <w:tc>
          <w:tcPr>
            <w:tcW w:w="15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740" w:type="dxa"/>
            <w:vAlign w:val="bottom"/>
          </w:tcPr>
          <w:p>
            <w:pPr>
              <w:spacing w:after="0"/>
              <w:rPr>
                <w:sz w:val="22"/>
                <w:szCs w:val="22"/>
                <w:color w:val="auto"/>
              </w:rPr>
            </w:pPr>
          </w:p>
        </w:tc>
        <w:tc>
          <w:tcPr>
            <w:tcW w:w="16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color w:val="494949"/>
              </w:rPr>
              <w:t>Low</w:t>
            </w:r>
          </w:p>
        </w:tc>
        <w:tc>
          <w:tcPr>
            <w:tcW w:w="9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ind w:left="240"/>
              <w:spacing w:after="0"/>
              <w:rPr>
                <w:sz w:val="20"/>
                <w:szCs w:val="20"/>
                <w:color w:val="auto"/>
              </w:rPr>
            </w:pPr>
            <w:r>
              <w:rPr>
                <w:rFonts w:ascii="Arial" w:cs="Arial" w:eastAsia="Arial" w:hAnsi="Arial"/>
                <w:sz w:val="20"/>
                <w:szCs w:val="20"/>
                <w:color w:val="494949"/>
              </w:rPr>
              <w:t>High</w:t>
            </w:r>
          </w:p>
        </w:tc>
        <w:tc>
          <w:tcPr>
            <w:tcW w:w="0" w:type="dxa"/>
            <w:vAlign w:val="bottom"/>
          </w:tcPr>
          <w:p>
            <w:pPr>
              <w:spacing w:after="0"/>
              <w:rPr>
                <w:sz w:val="1"/>
                <w:szCs w:val="1"/>
                <w:color w:val="auto"/>
              </w:rPr>
            </w:pPr>
          </w:p>
        </w:tc>
      </w:tr>
      <w:tr>
        <w:trPr>
          <w:trHeight w:val="264"/>
        </w:trPr>
        <w:tc>
          <w:tcPr>
            <w:tcW w:w="5740" w:type="dxa"/>
            <w:vAlign w:val="bottom"/>
          </w:tcPr>
          <w:p>
            <w:pPr>
              <w:spacing w:after="0"/>
              <w:rPr>
                <w:sz w:val="20"/>
                <w:szCs w:val="20"/>
                <w:color w:val="auto"/>
              </w:rPr>
            </w:pPr>
            <w:r>
              <w:rPr>
                <w:rFonts w:ascii="Arial" w:cs="Arial" w:eastAsia="Arial" w:hAnsi="Arial"/>
                <w:sz w:val="20"/>
                <w:szCs w:val="20"/>
                <w:color w:val="494949"/>
              </w:rPr>
              <w:t>Projected EPS (diluted)</w:t>
            </w:r>
          </w:p>
        </w:tc>
        <w:tc>
          <w:tcPr>
            <w:tcW w:w="1600" w:type="dxa"/>
            <w:vAlign w:val="bottom"/>
          </w:tcPr>
          <w:p>
            <w:pPr>
              <w:jc w:val="right"/>
              <w:ind w:right="1381"/>
              <w:spacing w:after="0"/>
              <w:rPr>
                <w:sz w:val="20"/>
                <w:szCs w:val="20"/>
                <w:color w:val="auto"/>
              </w:rPr>
            </w:pPr>
            <w:r>
              <w:rPr>
                <w:rFonts w:ascii="Arial" w:cs="Arial" w:eastAsia="Arial" w:hAnsi="Arial"/>
                <w:sz w:val="20"/>
                <w:szCs w:val="20"/>
                <w:color w:val="494949"/>
                <w:w w:val="89"/>
              </w:rPr>
              <w:t>$</w:t>
            </w:r>
          </w:p>
        </w:tc>
        <w:tc>
          <w:tcPr>
            <w:tcW w:w="900" w:type="dxa"/>
            <w:vAlign w:val="bottom"/>
          </w:tcPr>
          <w:p>
            <w:pPr>
              <w:jc w:val="center"/>
              <w:ind w:left="241"/>
              <w:spacing w:after="0"/>
              <w:rPr>
                <w:sz w:val="20"/>
                <w:szCs w:val="20"/>
                <w:color w:val="auto"/>
              </w:rPr>
            </w:pPr>
            <w:r>
              <w:rPr>
                <w:rFonts w:ascii="Arial" w:cs="Arial" w:eastAsia="Arial" w:hAnsi="Arial"/>
                <w:sz w:val="20"/>
                <w:szCs w:val="20"/>
                <w:color w:val="494949"/>
              </w:rPr>
              <w:t>2.35</w:t>
            </w:r>
          </w:p>
        </w:tc>
        <w:tc>
          <w:tcPr>
            <w:tcW w:w="240" w:type="dxa"/>
            <w:vAlign w:val="bottom"/>
          </w:tcPr>
          <w:p>
            <w:pPr>
              <w:spacing w:after="0"/>
              <w:rPr>
                <w:sz w:val="22"/>
                <w:szCs w:val="22"/>
                <w:color w:val="auto"/>
              </w:rPr>
            </w:pPr>
          </w:p>
        </w:tc>
        <w:tc>
          <w:tcPr>
            <w:tcW w:w="600" w:type="dxa"/>
            <w:vAlign w:val="bottom"/>
          </w:tcPr>
          <w:p>
            <w:pPr>
              <w:jc w:val="right"/>
              <w:ind w:right="381"/>
              <w:spacing w:after="0"/>
              <w:rPr>
                <w:sz w:val="20"/>
                <w:szCs w:val="20"/>
                <w:color w:val="auto"/>
              </w:rPr>
            </w:pPr>
            <w:r>
              <w:rPr>
                <w:rFonts w:ascii="Arial" w:cs="Arial" w:eastAsia="Arial" w:hAnsi="Arial"/>
                <w:sz w:val="20"/>
                <w:szCs w:val="20"/>
                <w:color w:val="494949"/>
                <w:w w:val="89"/>
              </w:rPr>
              <w:t>$</w:t>
            </w:r>
          </w:p>
        </w:tc>
        <w:tc>
          <w:tcPr>
            <w:tcW w:w="1500" w:type="dxa"/>
            <w:vAlign w:val="bottom"/>
          </w:tcPr>
          <w:p>
            <w:pPr>
              <w:jc w:val="center"/>
              <w:ind w:left="861"/>
              <w:spacing w:after="0"/>
              <w:rPr>
                <w:sz w:val="20"/>
                <w:szCs w:val="20"/>
                <w:color w:val="auto"/>
              </w:rPr>
            </w:pPr>
            <w:r>
              <w:rPr>
                <w:rFonts w:ascii="Arial" w:cs="Arial" w:eastAsia="Arial" w:hAnsi="Arial"/>
                <w:sz w:val="20"/>
                <w:szCs w:val="20"/>
                <w:color w:val="494949"/>
                <w:w w:val="97"/>
              </w:rPr>
              <w:t>2.37</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20"/>
                <w:szCs w:val="20"/>
                <w:color w:val="494949"/>
              </w:rPr>
              <w:t>Add:</w:t>
            </w:r>
          </w:p>
        </w:tc>
        <w:tc>
          <w:tcPr>
            <w:tcW w:w="16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5740" w:type="dxa"/>
            <w:vAlign w:val="bottom"/>
          </w:tcPr>
          <w:p>
            <w:pPr>
              <w:ind w:left="880"/>
              <w:spacing w:after="0" w:line="206" w:lineRule="exact"/>
              <w:rPr>
                <w:sz w:val="20"/>
                <w:szCs w:val="20"/>
                <w:color w:val="auto"/>
              </w:rPr>
            </w:pPr>
            <w:r>
              <w:rPr>
                <w:rFonts w:ascii="Arial" w:cs="Arial" w:eastAsia="Arial" w:hAnsi="Arial"/>
                <w:sz w:val="20"/>
                <w:szCs w:val="20"/>
                <w:color w:val="494949"/>
              </w:rPr>
              <w:t>Projected Company share of real estate</w:t>
            </w:r>
          </w:p>
        </w:tc>
        <w:tc>
          <w:tcPr>
            <w:tcW w:w="1600" w:type="dxa"/>
            <w:vAlign w:val="bottom"/>
          </w:tcPr>
          <w:p>
            <w:pPr>
              <w:spacing w:after="0"/>
              <w:rPr>
                <w:sz w:val="17"/>
                <w:szCs w:val="17"/>
                <w:color w:val="auto"/>
              </w:rPr>
            </w:pPr>
          </w:p>
        </w:tc>
        <w:tc>
          <w:tcPr>
            <w:tcW w:w="900" w:type="dxa"/>
            <w:vAlign w:val="bottom"/>
            <w:vMerge w:val="restart"/>
          </w:tcPr>
          <w:p>
            <w:pPr>
              <w:jc w:val="center"/>
              <w:ind w:left="241"/>
              <w:spacing w:after="0"/>
              <w:rPr>
                <w:sz w:val="20"/>
                <w:szCs w:val="20"/>
                <w:color w:val="auto"/>
              </w:rPr>
            </w:pPr>
            <w:r>
              <w:rPr>
                <w:rFonts w:ascii="Arial" w:cs="Arial" w:eastAsia="Arial" w:hAnsi="Arial"/>
                <w:sz w:val="20"/>
                <w:szCs w:val="20"/>
                <w:color w:val="494949"/>
              </w:rPr>
              <w:t>5.02</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vMerge w:val="restart"/>
          </w:tcPr>
          <w:p>
            <w:pPr>
              <w:jc w:val="center"/>
              <w:ind w:left="861"/>
              <w:spacing w:after="0"/>
              <w:rPr>
                <w:sz w:val="20"/>
                <w:szCs w:val="20"/>
                <w:color w:val="auto"/>
              </w:rPr>
            </w:pPr>
            <w:r>
              <w:rPr>
                <w:rFonts w:ascii="Arial" w:cs="Arial" w:eastAsia="Arial" w:hAnsi="Arial"/>
                <w:sz w:val="20"/>
                <w:szCs w:val="20"/>
                <w:color w:val="494949"/>
                <w:w w:val="97"/>
              </w:rPr>
              <w:t>5.02</w:t>
            </w:r>
          </w:p>
        </w:tc>
        <w:tc>
          <w:tcPr>
            <w:tcW w:w="0" w:type="dxa"/>
            <w:vAlign w:val="bottom"/>
          </w:tcPr>
          <w:p>
            <w:pPr>
              <w:spacing w:after="0"/>
              <w:rPr>
                <w:sz w:val="1"/>
                <w:szCs w:val="1"/>
                <w:color w:val="auto"/>
              </w:rPr>
            </w:pPr>
          </w:p>
        </w:tc>
      </w:tr>
      <w:tr>
        <w:trPr>
          <w:trHeight w:val="261"/>
        </w:trPr>
        <w:tc>
          <w:tcPr>
            <w:tcW w:w="5740" w:type="dxa"/>
            <w:vAlign w:val="bottom"/>
          </w:tcPr>
          <w:p>
            <w:pPr>
              <w:ind w:left="1120"/>
              <w:spacing w:after="0"/>
              <w:rPr>
                <w:sz w:val="20"/>
                <w:szCs w:val="20"/>
                <w:color w:val="auto"/>
              </w:rPr>
            </w:pPr>
            <w:r>
              <w:rPr>
                <w:rFonts w:ascii="Arial" w:cs="Arial" w:eastAsia="Arial" w:hAnsi="Arial"/>
                <w:sz w:val="20"/>
                <w:szCs w:val="20"/>
                <w:color w:val="494949"/>
              </w:rPr>
              <w:t>depreciation and amortization</w:t>
            </w:r>
          </w:p>
        </w:tc>
        <w:tc>
          <w:tcPr>
            <w:tcW w:w="160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5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5740" w:type="dxa"/>
            <w:vAlign w:val="bottom"/>
          </w:tcPr>
          <w:p>
            <w:pPr>
              <w:ind w:left="880"/>
              <w:spacing w:after="0" w:line="198" w:lineRule="exact"/>
              <w:rPr>
                <w:sz w:val="20"/>
                <w:szCs w:val="20"/>
                <w:color w:val="auto"/>
              </w:rPr>
            </w:pPr>
            <w:r>
              <w:rPr>
                <w:rFonts w:ascii="Arial" w:cs="Arial" w:eastAsia="Arial" w:hAnsi="Arial"/>
                <w:sz w:val="20"/>
                <w:szCs w:val="20"/>
                <w:color w:val="494949"/>
              </w:rPr>
              <w:t>Projected Company share of (gains)/losses on sales</w:t>
            </w:r>
          </w:p>
        </w:tc>
        <w:tc>
          <w:tcPr>
            <w:tcW w:w="1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740" w:type="dxa"/>
            <w:vAlign w:val="bottom"/>
          </w:tcPr>
          <w:p>
            <w:pPr>
              <w:ind w:left="1120"/>
              <w:spacing w:after="0" w:line="194" w:lineRule="exact"/>
              <w:rPr>
                <w:sz w:val="20"/>
                <w:szCs w:val="20"/>
                <w:color w:val="auto"/>
              </w:rPr>
            </w:pPr>
            <w:r>
              <w:rPr>
                <w:rFonts w:ascii="Arial" w:cs="Arial" w:eastAsia="Arial" w:hAnsi="Arial"/>
                <w:sz w:val="20"/>
                <w:szCs w:val="20"/>
                <w:color w:val="494949"/>
              </w:rPr>
              <w:t>of real estate, gain on investment from</w:t>
            </w:r>
          </w:p>
        </w:tc>
        <w:tc>
          <w:tcPr>
            <w:tcW w:w="1600" w:type="dxa"/>
            <w:vAlign w:val="bottom"/>
          </w:tcPr>
          <w:p>
            <w:pPr>
              <w:spacing w:after="0"/>
              <w:rPr>
                <w:sz w:val="16"/>
                <w:szCs w:val="16"/>
                <w:color w:val="auto"/>
              </w:rPr>
            </w:pPr>
          </w:p>
        </w:tc>
        <w:tc>
          <w:tcPr>
            <w:tcW w:w="900" w:type="dxa"/>
            <w:vAlign w:val="bottom"/>
            <w:vMerge w:val="restart"/>
          </w:tcPr>
          <w:p>
            <w:pPr>
              <w:jc w:val="center"/>
              <w:ind w:left="221"/>
              <w:spacing w:after="0"/>
              <w:rPr>
                <w:sz w:val="20"/>
                <w:szCs w:val="20"/>
                <w:color w:val="auto"/>
              </w:rPr>
            </w:pPr>
            <w:r>
              <w:rPr>
                <w:rFonts w:ascii="Arial" w:cs="Arial" w:eastAsia="Arial" w:hAnsi="Arial"/>
                <w:sz w:val="20"/>
                <w:szCs w:val="20"/>
                <w:color w:val="494949"/>
                <w:w w:val="95"/>
              </w:rPr>
              <w:t>(0.31)</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00" w:type="dxa"/>
            <w:vAlign w:val="bottom"/>
            <w:vMerge w:val="restart"/>
          </w:tcPr>
          <w:p>
            <w:pPr>
              <w:jc w:val="center"/>
              <w:ind w:left="841"/>
              <w:spacing w:after="0"/>
              <w:rPr>
                <w:sz w:val="20"/>
                <w:szCs w:val="20"/>
                <w:color w:val="auto"/>
              </w:rPr>
            </w:pPr>
            <w:r>
              <w:rPr>
                <w:rFonts w:ascii="Arial" w:cs="Arial" w:eastAsia="Arial" w:hAnsi="Arial"/>
                <w:sz w:val="20"/>
                <w:szCs w:val="20"/>
                <w:color w:val="494949"/>
                <w:w w:val="99"/>
              </w:rPr>
              <w:t>(0.31)</w:t>
            </w:r>
          </w:p>
        </w:tc>
        <w:tc>
          <w:tcPr>
            <w:tcW w:w="0" w:type="dxa"/>
            <w:vAlign w:val="bottom"/>
          </w:tcPr>
          <w:p>
            <w:pPr>
              <w:spacing w:after="0"/>
              <w:rPr>
                <w:sz w:val="1"/>
                <w:szCs w:val="1"/>
                <w:color w:val="auto"/>
              </w:rPr>
            </w:pPr>
          </w:p>
        </w:tc>
      </w:tr>
      <w:tr>
        <w:trPr>
          <w:trHeight w:val="263"/>
        </w:trPr>
        <w:tc>
          <w:tcPr>
            <w:tcW w:w="5740" w:type="dxa"/>
            <w:vAlign w:val="bottom"/>
          </w:tcPr>
          <w:p>
            <w:pPr>
              <w:ind w:left="1120"/>
              <w:spacing w:after="0"/>
              <w:rPr>
                <w:sz w:val="20"/>
                <w:szCs w:val="20"/>
                <w:color w:val="auto"/>
              </w:rPr>
            </w:pPr>
            <w:r>
              <w:rPr>
                <w:rFonts w:ascii="Arial" w:cs="Arial" w:eastAsia="Arial" w:hAnsi="Arial"/>
                <w:sz w:val="20"/>
                <w:szCs w:val="20"/>
                <w:color w:val="494949"/>
              </w:rPr>
              <w:t>unconsolidated joint venture and impairments</w:t>
            </w:r>
          </w:p>
        </w:tc>
        <w:tc>
          <w:tcPr>
            <w:tcW w:w="16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5740" w:type="dxa"/>
            <w:vAlign w:val="bottom"/>
          </w:tcPr>
          <w:p>
            <w:pPr>
              <w:spacing w:after="0"/>
              <w:rPr>
                <w:sz w:val="20"/>
                <w:szCs w:val="20"/>
                <w:color w:val="auto"/>
              </w:rPr>
            </w:pPr>
            <w:r>
              <w:rPr>
                <w:rFonts w:ascii="Arial" w:cs="Arial" w:eastAsia="Arial" w:hAnsi="Arial"/>
                <w:sz w:val="20"/>
                <w:szCs w:val="20"/>
                <w:color w:val="494949"/>
              </w:rPr>
              <w:t>Projected FFO per share (diluted)</w:t>
            </w:r>
          </w:p>
        </w:tc>
        <w:tc>
          <w:tcPr>
            <w:tcW w:w="1600" w:type="dxa"/>
            <w:vAlign w:val="bottom"/>
            <w:tcBorders>
              <w:bottom w:val="single" w:sz="8" w:color="auto"/>
            </w:tcBorders>
          </w:tcPr>
          <w:p>
            <w:pPr>
              <w:jc w:val="right"/>
              <w:ind w:right="1381"/>
              <w:spacing w:after="0"/>
              <w:rPr>
                <w:sz w:val="20"/>
                <w:szCs w:val="20"/>
                <w:color w:val="auto"/>
              </w:rPr>
            </w:pPr>
            <w:r>
              <w:rPr>
                <w:rFonts w:ascii="Arial" w:cs="Arial" w:eastAsia="Arial" w:hAnsi="Arial"/>
                <w:sz w:val="20"/>
                <w:szCs w:val="20"/>
                <w:color w:val="494949"/>
                <w:w w:val="89"/>
              </w:rPr>
              <w:t>$</w:t>
            </w:r>
          </w:p>
        </w:tc>
        <w:tc>
          <w:tcPr>
            <w:tcW w:w="900" w:type="dxa"/>
            <w:vAlign w:val="bottom"/>
            <w:tcBorders>
              <w:bottom w:val="single" w:sz="8" w:color="auto"/>
            </w:tcBorders>
          </w:tcPr>
          <w:p>
            <w:pPr>
              <w:jc w:val="center"/>
              <w:ind w:left="241"/>
              <w:spacing w:after="0"/>
              <w:rPr>
                <w:sz w:val="20"/>
                <w:szCs w:val="20"/>
                <w:color w:val="auto"/>
              </w:rPr>
            </w:pPr>
            <w:r>
              <w:rPr>
                <w:rFonts w:ascii="Arial" w:cs="Arial" w:eastAsia="Arial" w:hAnsi="Arial"/>
                <w:sz w:val="20"/>
                <w:szCs w:val="20"/>
                <w:color w:val="494949"/>
              </w:rPr>
              <w:t>7.06</w:t>
            </w:r>
          </w:p>
        </w:tc>
        <w:tc>
          <w:tcPr>
            <w:tcW w:w="240" w:type="dxa"/>
            <w:vAlign w:val="bottom"/>
          </w:tcPr>
          <w:p>
            <w:pPr>
              <w:spacing w:after="0"/>
              <w:rPr>
                <w:sz w:val="23"/>
                <w:szCs w:val="23"/>
                <w:color w:val="auto"/>
              </w:rPr>
            </w:pPr>
          </w:p>
        </w:tc>
        <w:tc>
          <w:tcPr>
            <w:tcW w:w="600" w:type="dxa"/>
            <w:vAlign w:val="bottom"/>
            <w:tcBorders>
              <w:bottom w:val="single" w:sz="8" w:color="auto"/>
            </w:tcBorders>
          </w:tcPr>
          <w:p>
            <w:pPr>
              <w:jc w:val="right"/>
              <w:ind w:right="381"/>
              <w:spacing w:after="0"/>
              <w:rPr>
                <w:sz w:val="20"/>
                <w:szCs w:val="20"/>
                <w:color w:val="auto"/>
              </w:rPr>
            </w:pPr>
            <w:r>
              <w:rPr>
                <w:rFonts w:ascii="Arial" w:cs="Arial" w:eastAsia="Arial" w:hAnsi="Arial"/>
                <w:sz w:val="20"/>
                <w:szCs w:val="20"/>
                <w:color w:val="494949"/>
                <w:w w:val="89"/>
              </w:rPr>
              <w:t>$</w:t>
            </w:r>
          </w:p>
        </w:tc>
        <w:tc>
          <w:tcPr>
            <w:tcW w:w="1500" w:type="dxa"/>
            <w:vAlign w:val="bottom"/>
            <w:tcBorders>
              <w:bottom w:val="single" w:sz="8" w:color="auto"/>
            </w:tcBorders>
          </w:tcPr>
          <w:p>
            <w:pPr>
              <w:jc w:val="center"/>
              <w:ind w:left="861"/>
              <w:spacing w:after="0"/>
              <w:rPr>
                <w:sz w:val="20"/>
                <w:szCs w:val="20"/>
                <w:color w:val="auto"/>
              </w:rPr>
            </w:pPr>
            <w:r>
              <w:rPr>
                <w:rFonts w:ascii="Arial" w:cs="Arial" w:eastAsia="Arial" w:hAnsi="Arial"/>
                <w:sz w:val="20"/>
                <w:szCs w:val="20"/>
                <w:color w:val="494949"/>
                <w:w w:val="97"/>
              </w:rPr>
              <w:t>7.08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right="280"/>
        <w:spacing w:after="0" w:line="245" w:lineRule="auto"/>
        <w:rPr>
          <w:sz w:val="20"/>
          <w:szCs w:val="20"/>
          <w:color w:val="auto"/>
        </w:rPr>
      </w:pPr>
      <w:r>
        <w:rPr>
          <w:rFonts w:ascii="Arial" w:cs="Arial" w:eastAsia="Arial" w:hAnsi="Arial"/>
          <w:sz w:val="22"/>
          <w:szCs w:val="22"/>
          <w:color w:val="6D6D6D"/>
        </w:rPr>
        <w:t>The reported results are unaudited and there can be no assurance that these reported results will not vary from the final information for the quarter ende</w:t>
      </w:r>
      <w:r>
        <w:rPr>
          <w:rFonts w:ascii="Arial" w:cs="Arial" w:eastAsia="Arial" w:hAnsi="Arial"/>
          <w:sz w:val="22"/>
          <w:szCs w:val="22"/>
          <w:color w:val="616161"/>
        </w:rPr>
        <w:t>d</w:t>
      </w:r>
      <w:r>
        <w:rPr>
          <w:rFonts w:ascii="Arial" w:cs="Arial" w:eastAsia="Arial" w:hAnsi="Arial"/>
          <w:sz w:val="22"/>
          <w:szCs w:val="22"/>
          <w:color w:val="6D6D6D"/>
        </w:rPr>
        <w:t xml:space="preserve"> September 30, 2026</w:t>
      </w:r>
      <w:r>
        <w:rPr>
          <w:rFonts w:ascii="Arial" w:cs="Arial" w:eastAsia="Arial" w:hAnsi="Arial"/>
          <w:sz w:val="22"/>
          <w:szCs w:val="22"/>
          <w:color w:val="616161"/>
        </w:rPr>
        <w:t>. In the opinion of management, BXP has made all</w:t>
      </w:r>
      <w:r>
        <w:rPr>
          <w:rFonts w:ascii="Arial" w:cs="Arial" w:eastAsia="Arial" w:hAnsi="Arial"/>
          <w:sz w:val="22"/>
          <w:szCs w:val="22"/>
          <w:color w:val="6D6D6D"/>
        </w:rPr>
        <w:t xml:space="preserve"> </w:t>
      </w:r>
      <w:r>
        <w:rPr>
          <w:rFonts w:ascii="Arial" w:cs="Arial" w:eastAsia="Arial" w:hAnsi="Arial"/>
          <w:sz w:val="22"/>
          <w:szCs w:val="22"/>
          <w:color w:val="616161"/>
        </w:rPr>
        <w:t>adjustments considered necessary for a fair statement of these reported results.</w:t>
      </w:r>
    </w:p>
    <w:p>
      <w:pPr>
        <w:spacing w:after="0" w:line="197"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616161"/>
        </w:rPr>
        <w:t xml:space="preserve">BXP will host a conference call on Wednesday, October 28, 2026 at 10:00 AM Eastern Time, open to the general public, to discuss the </w:t>
      </w:r>
      <w:r>
        <w:rPr>
          <w:rFonts w:ascii="Arial" w:cs="Arial" w:eastAsia="Arial" w:hAnsi="Arial"/>
          <w:sz w:val="22"/>
          <w:szCs w:val="22"/>
          <w:color w:val="6D6D6D"/>
        </w:rPr>
        <w:t>third</w:t>
      </w:r>
      <w:r>
        <w:rPr>
          <w:rFonts w:ascii="Arial" w:cs="Arial" w:eastAsia="Arial" w:hAnsi="Arial"/>
          <w:sz w:val="22"/>
          <w:szCs w:val="22"/>
          <w:color w:val="616161"/>
        </w:rPr>
        <w:t xml:space="preserve"> quarter results and earnings guidance, provide a business update, and discuss other business matters that may be of interest to investors. </w:t>
      </w:r>
      <w:r>
        <w:rPr>
          <w:rFonts w:ascii="Arial" w:cs="Arial" w:eastAsia="Arial" w:hAnsi="Arial"/>
          <w:sz w:val="22"/>
          <w:szCs w:val="22"/>
          <w:color w:val="6D6D6D"/>
        </w:rPr>
        <w:t>Participants who would like to join the call and ask a question</w:t>
      </w:r>
      <w:r>
        <w:rPr>
          <w:rFonts w:ascii="Arial" w:cs="Arial" w:eastAsia="Arial" w:hAnsi="Arial"/>
          <w:sz w:val="22"/>
          <w:szCs w:val="22"/>
          <w:color w:val="616161"/>
        </w:rPr>
        <w:t xml:space="preserve"> </w:t>
      </w:r>
      <w:r>
        <w:rPr>
          <w:rFonts w:ascii="Arial" w:cs="Arial" w:eastAsia="Arial" w:hAnsi="Arial"/>
          <w:sz w:val="22"/>
          <w:szCs w:val="22"/>
          <w:color w:val="6D6D6D"/>
        </w:rPr>
        <w:t xml:space="preserve">may register at </w:t>
      </w:r>
      <w:r>
        <w:rPr>
          <w:rFonts w:ascii="Arial" w:cs="Arial" w:eastAsia="Arial" w:hAnsi="Arial"/>
          <w:sz w:val="22"/>
          <w:szCs w:val="22"/>
          <w:color w:val="000000"/>
        </w:rPr>
        <w:t>https://register-conf.media-server.com/register/BIf75031be88f74d648c7bca57274f770d</w:t>
      </w:r>
      <w:r>
        <w:rPr>
          <w:rFonts w:ascii="Arial" w:cs="Arial" w:eastAsia="Arial" w:hAnsi="Arial"/>
          <w:sz w:val="22"/>
          <w:szCs w:val="22"/>
          <w:color w:val="6D6D6D"/>
        </w:rPr>
        <w:t xml:space="preserve"> to receive the dial-in numbers and unique PIN to access the call. There will also be a live audio, listen-only webcast of the call, which may be accessed in the Investors section of BXP’s website at </w:t>
      </w:r>
      <w:r>
        <w:rPr>
          <w:rFonts w:ascii="Arial" w:cs="Arial" w:eastAsia="Arial" w:hAnsi="Arial"/>
          <w:sz w:val="22"/>
          <w:szCs w:val="22"/>
          <w:color w:val="3051F2"/>
        </w:rPr>
        <w:t>https://investors.bxp.com/events-webcasts</w:t>
      </w:r>
      <w:r>
        <w:rPr>
          <w:rFonts w:ascii="Arial" w:cs="Arial" w:eastAsia="Arial" w:hAnsi="Arial"/>
          <w:sz w:val="22"/>
          <w:szCs w:val="22"/>
          <w:color w:val="6D6D6D"/>
        </w:rPr>
        <w:t>. Shortly after the call, a replay of the call will be available</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6D6D6D"/>
        </w:rPr>
        <w:t>–more–</w:t>
      </w:r>
    </w:p>
    <w:p>
      <w:pPr>
        <w:sectPr>
          <w:pgSz w:w="11900" w:h="16838" w:orient="portrait"/>
          <w:cols w:equalWidth="0" w:num="1">
            <w:col w:w="11240"/>
          </w:cols>
          <w:pgMar w:left="320" w:top="883"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6D6D6D"/>
        </w:rPr>
        <w:t xml:space="preserve">on BXP’s website at </w:t>
      </w:r>
      <w:r>
        <w:rPr>
          <w:rFonts w:ascii="Arial" w:cs="Arial" w:eastAsia="Arial" w:hAnsi="Arial"/>
          <w:sz w:val="22"/>
          <w:szCs w:val="22"/>
          <w:color w:val="3051F2"/>
        </w:rPr>
        <w:t>https://investors.bxp.com/events-webcasts</w:t>
      </w:r>
      <w:r>
        <w:rPr>
          <w:rFonts w:ascii="Arial" w:cs="Arial" w:eastAsia="Arial" w:hAnsi="Arial"/>
          <w:sz w:val="22"/>
          <w:szCs w:val="22"/>
          <w:color w:val="6D6D6D"/>
        </w:rPr>
        <w:t xml:space="preserve"> for up to twelve months following the call.</w:t>
      </w:r>
    </w:p>
    <w:p>
      <w:pPr>
        <w:spacing w:after="0" w:line="206" w:lineRule="exact"/>
        <w:rPr>
          <w:sz w:val="20"/>
          <w:szCs w:val="20"/>
          <w:color w:val="auto"/>
        </w:rPr>
      </w:pPr>
    </w:p>
    <w:p>
      <w:pPr>
        <w:ind w:right="160"/>
        <w:spacing w:after="0" w:line="259" w:lineRule="auto"/>
        <w:rPr>
          <w:sz w:val="20"/>
          <w:szCs w:val="20"/>
          <w:color w:val="auto"/>
        </w:rPr>
      </w:pPr>
      <w:r>
        <w:rPr>
          <w:rFonts w:ascii="Arial" w:cs="Arial" w:eastAsia="Arial" w:hAnsi="Arial"/>
          <w:sz w:val="22"/>
          <w:szCs w:val="22"/>
          <w:color w:val="616161"/>
        </w:rPr>
        <w:t xml:space="preserve">Additionally, a copy of BXP’s </w:t>
      </w:r>
      <w:r>
        <w:rPr>
          <w:rFonts w:ascii="Arial" w:cs="Arial" w:eastAsia="Arial" w:hAnsi="Arial"/>
          <w:sz w:val="22"/>
          <w:szCs w:val="22"/>
          <w:color w:val="6D6D6D"/>
        </w:rPr>
        <w:t>third</w:t>
      </w:r>
      <w:r>
        <w:rPr>
          <w:rFonts w:ascii="Arial" w:cs="Arial" w:eastAsia="Arial" w:hAnsi="Arial"/>
          <w:sz w:val="22"/>
          <w:szCs w:val="22"/>
          <w:color w:val="616161"/>
        </w:rPr>
        <w:t xml:space="preserve"> quarter 2026 “Supplemental Operating and Financial Data” and this press release are available in the Investors section of BXP’s website at </w:t>
      </w:r>
      <w:r>
        <w:rPr>
          <w:rFonts w:ascii="Arial" w:cs="Arial" w:eastAsia="Arial" w:hAnsi="Arial"/>
          <w:sz w:val="22"/>
          <w:szCs w:val="22"/>
          <w:u w:val="single" w:color="auto"/>
          <w:color w:val="0019FF"/>
        </w:rPr>
        <w:t>investors.bxp.com</w:t>
      </w:r>
      <w:r>
        <w:rPr>
          <w:rFonts w:ascii="Arial" w:cs="Arial" w:eastAsia="Arial" w:hAnsi="Arial"/>
          <w:sz w:val="22"/>
          <w:szCs w:val="22"/>
          <w:color w:val="000000"/>
        </w:rPr>
        <w: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616161"/>
        </w:rPr>
        <w:t>BXP, Inc. (NYSE: BXP) is the largest publicly traded developer, owner, and manager of premier workplaces</w:t>
      </w:r>
    </w:p>
    <w:p>
      <w:pPr>
        <w:spacing w:after="0" w:line="10" w:lineRule="exact"/>
        <w:rPr>
          <w:sz w:val="20"/>
          <w:szCs w:val="20"/>
          <w:color w:val="auto"/>
        </w:rPr>
      </w:pPr>
    </w:p>
    <w:p>
      <w:pPr>
        <w:spacing w:after="0" w:line="243" w:lineRule="auto"/>
        <w:rPr>
          <w:sz w:val="20"/>
          <w:szCs w:val="20"/>
          <w:color w:val="auto"/>
        </w:rPr>
      </w:pPr>
      <w:r>
        <w:rPr>
          <w:rFonts w:ascii="Arial" w:cs="Arial" w:eastAsia="Arial" w:hAnsi="Arial"/>
          <w:sz w:val="21"/>
          <w:szCs w:val="21"/>
          <w:color w:val="616161"/>
        </w:rPr>
        <w:t xml:space="preserve">in the United States, concentrated in six dynamic gateway markets - Boston, Los Angeles, New York, San Francisco, Seattle, and Washington, DC. BXP has delivered places that power progress for our clients and communities for more than 55 years. BXP is a fully integrated real estate company, organized as a real estate investment trust (REIT). As of </w:t>
      </w:r>
      <w:r>
        <w:rPr>
          <w:rFonts w:ascii="Arial" w:cs="Arial" w:eastAsia="Arial" w:hAnsi="Arial"/>
          <w:sz w:val="21"/>
          <w:szCs w:val="21"/>
          <w:color w:val="6D6D6D"/>
        </w:rPr>
        <w:t>September 30, 2026</w:t>
      </w:r>
      <w:r>
        <w:rPr>
          <w:rFonts w:ascii="Arial" w:cs="Arial" w:eastAsia="Arial" w:hAnsi="Arial"/>
          <w:sz w:val="21"/>
          <w:szCs w:val="21"/>
          <w:color w:val="616161"/>
        </w:rPr>
        <w:t xml:space="preserve">, including properties owned by unconsolidated joint ventures, BXP’s portfolio totals 50.6 million square feet and 162 properties, including six properties under construction/redevelopment. For more information about BXP, please visit our </w:t>
      </w:r>
      <w:r>
        <w:rPr>
          <w:rFonts w:ascii="Arial" w:cs="Arial" w:eastAsia="Arial" w:hAnsi="Arial"/>
          <w:sz w:val="21"/>
          <w:szCs w:val="21"/>
          <w:u w:val="single" w:color="auto"/>
          <w:color w:val="0019FF"/>
        </w:rPr>
        <w:t>website</w:t>
      </w:r>
      <w:r>
        <w:rPr>
          <w:rFonts w:ascii="Arial" w:cs="Arial" w:eastAsia="Arial" w:hAnsi="Arial"/>
          <w:sz w:val="21"/>
          <w:szCs w:val="21"/>
          <w:color w:val="616161"/>
        </w:rPr>
        <w:t xml:space="preserve"> or follow us on </w:t>
      </w:r>
      <w:r>
        <w:rPr>
          <w:rFonts w:ascii="Arial" w:cs="Arial" w:eastAsia="Arial" w:hAnsi="Arial"/>
          <w:sz w:val="21"/>
          <w:szCs w:val="21"/>
          <w:u w:val="single" w:color="auto"/>
          <w:color w:val="0019FF"/>
        </w:rPr>
        <w:t>LinkedIn</w:t>
      </w:r>
      <w:r>
        <w:rPr>
          <w:rFonts w:ascii="Arial" w:cs="Arial" w:eastAsia="Arial" w:hAnsi="Arial"/>
          <w:sz w:val="21"/>
          <w:szCs w:val="21"/>
          <w:color w:val="616161"/>
        </w:rPr>
        <w:t xml:space="preserve"> or </w:t>
      </w:r>
      <w:r>
        <w:rPr>
          <w:rFonts w:ascii="Arial" w:cs="Arial" w:eastAsia="Arial" w:hAnsi="Arial"/>
          <w:sz w:val="21"/>
          <w:szCs w:val="21"/>
          <w:u w:val="single" w:color="auto"/>
          <w:color w:val="0019FF"/>
        </w:rPr>
        <w:t>Instagram</w:t>
      </w:r>
      <w:r>
        <w:rPr>
          <w:rFonts w:ascii="Arial" w:cs="Arial" w:eastAsia="Arial" w:hAnsi="Arial"/>
          <w:sz w:val="21"/>
          <w:szCs w:val="21"/>
          <w:color w:val="616161"/>
        </w:rPr>
        <w:t>.</w:t>
      </w:r>
    </w:p>
    <w:p>
      <w:pPr>
        <w:spacing w:after="0" w:line="210"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616161"/>
        </w:rPr>
        <w:t>This press release contains “forward-looking statements” as defined in the Private Securities Litigation Reform Act of 1995. You can identify these statements by our use of the words “anticipates,” “believes,” “budgeted,” “could,” “estimates,” “expects,” “guidance,” “intends,” “may,” “might,” “plans,” “projects,” “should,” “will,” and similar expressions that do not relate to historical matters. These statements are based on our current plans, expectations, projections and assumptions about future events. You should exercise caution in interpreting and relying on forward-looking statements because they involve known and unknown risks, uncertainties and other factors, which are, in some cases, beyond BXP’s control. If our underlying assumptions prove inaccurate, or known or unknown risks or uncertainties materialize, actual results could differ materially from those expressed or implied by the forward-looking statements. These factors include, without limitation, the risks and uncertainties related to adverse changes in general economic and capital market conditions, including continued inflation, elevated interest rates, supply chain disruptions, dislocation and volatility in capital markets, potential longer-term changes in consumer and client behavior resulting from the severity and duration of any downturn in the U.S. or global economy, general risks affecting the real estate industry (including, without limitation, the inability to enter into or renew leases on favorable terms, sustained changes in client preferences and space utilization, dependence on clients’ financial condition, and competition from other developers, owners and operators of real estate), the impact of adverse political conditions, including policy changes by the U.S. Government, such as the direct and indirect negative impacts that new and increased tariffs may have on (1) our current and prospective clients and their demand for office space and (2) the costs and availability of construction materials and the economic returns on our construction and development activities, and prolonged government shutdowns or disruptions, the impact of geopolitical conflicts, the uncertainties of investing in new markets, the costs and availability of financing, the effectiveness of our hedging contracts, the ability of our joint venture partners to satisfy their obligations, the effects of local, national and international economic and market conditions, the effects of acquisitions, dispositions and possible impairment charges on our operating results, the impact of newly adopted accounting principles on BXP’s accounting policies and on period-to-period comparisons of financial results, the uncertainties of costs to comply with regulatory changes and other risks and uncertainties detailed from time to time in BXP’s filings with the Securities and Exchange Commission. These forward-looking statements speak only as of the date of issuance of this report and are not guarantees of future results, performance, or achievements. BXP does not undertake a duty to update or revise any forward-looking statement whether as a result of new information, future events or otherwise, except as otherwise required by law.</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6D6D6D"/>
        </w:rPr>
        <w:t>Financial tables follow.</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6D6D6D"/>
        </w:rPr>
        <w:t>–more–</w:t>
      </w:r>
    </w:p>
    <w:p>
      <w:pPr>
        <w:sectPr>
          <w:pgSz w:w="11900" w:h="16838" w:orient="portrait"/>
          <w:cols w:equalWidth="0" w:num="1">
            <w:col w:w="11220"/>
          </w:cols>
          <w:pgMar w:left="320" w:top="883" w:right="359" w:bottom="1440" w:gutter="0" w:footer="0" w:header="0"/>
        </w:sectPr>
      </w:pPr>
    </w:p>
    <w:bookmarkStart w:id="80" w:name="page81"/>
    <w:bookmarkEnd w:id="80"/>
    <w:p>
      <w:pPr>
        <w:ind w:left="5220"/>
        <w:spacing w:after="0"/>
        <w:rPr>
          <w:sz w:val="20"/>
          <w:szCs w:val="20"/>
          <w:color w:val="auto"/>
        </w:rPr>
      </w:pPr>
      <w:r>
        <w:rPr>
          <w:rFonts w:ascii="Arial" w:cs="Arial" w:eastAsia="Arial" w:hAnsi="Arial"/>
          <w:sz w:val="18"/>
          <w:szCs w:val="18"/>
          <w:b w:val="1"/>
          <w:bCs w:val="1"/>
          <w:color w:val="6D6D6D"/>
        </w:rPr>
        <w:t>BXP, INC.</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6D6D6D"/>
        </w:rPr>
        <w:t>CONSOLIDATED BALANCE SHEETS</w:t>
      </w:r>
    </w:p>
    <w:p>
      <w:pPr>
        <w:jc w:val="center"/>
        <w:spacing w:after="0"/>
        <w:rPr>
          <w:sz w:val="20"/>
          <w:szCs w:val="20"/>
          <w:color w:val="auto"/>
        </w:rPr>
      </w:pPr>
      <w:r>
        <w:rPr>
          <w:rFonts w:ascii="Arial" w:cs="Arial" w:eastAsia="Arial" w:hAnsi="Arial"/>
          <w:sz w:val="18"/>
          <w:szCs w:val="18"/>
          <w:b w:val="1"/>
          <w:bCs w:val="1"/>
          <w:color w:val="6D6D6D"/>
        </w:rPr>
        <w:t>(Unaudited)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6D6D6D"/>
              </w:rPr>
              <w:t>September 30,</w:t>
            </w:r>
          </w:p>
        </w:tc>
        <w:tc>
          <w:tcPr>
            <w:tcW w:w="160" w:type="dxa"/>
            <w:vAlign w:val="bottom"/>
          </w:tcPr>
          <w:p>
            <w:pPr>
              <w:spacing w:after="0"/>
              <w:rPr>
                <w:sz w:val="16"/>
                <w:szCs w:val="16"/>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6D6D6D"/>
              </w:rPr>
              <w:t>December 31,</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6D6D6D"/>
              </w:rPr>
              <w:t>2026</w:t>
            </w: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6D6D6D"/>
              </w:rPr>
              <w:t>2025</w:t>
            </w:r>
          </w:p>
        </w:tc>
        <w:tc>
          <w:tcPr>
            <w:tcW w:w="0" w:type="dxa"/>
            <w:vAlign w:val="bottom"/>
          </w:tcPr>
          <w:p>
            <w:pPr>
              <w:spacing w:after="0"/>
              <w:rPr>
                <w:sz w:val="1"/>
                <w:szCs w:val="1"/>
                <w:color w:val="auto"/>
              </w:rPr>
            </w:pPr>
          </w:p>
        </w:tc>
      </w:tr>
      <w:tr>
        <w:trPr>
          <w:trHeight w:val="169"/>
        </w:trPr>
        <w:tc>
          <w:tcPr>
            <w:tcW w:w="8100" w:type="dxa"/>
            <w:vAlign w:val="bottom"/>
          </w:tcPr>
          <w:p>
            <w:pPr>
              <w:spacing w:after="0"/>
              <w:rPr>
                <w:sz w:val="14"/>
                <w:szCs w:val="14"/>
                <w:color w:val="auto"/>
              </w:rPr>
            </w:pPr>
          </w:p>
        </w:tc>
        <w:tc>
          <w:tcPr>
            <w:tcW w:w="3140" w:type="dxa"/>
            <w:vAlign w:val="bottom"/>
            <w:gridSpan w:val="5"/>
          </w:tcPr>
          <w:p>
            <w:pPr>
              <w:jc w:val="right"/>
              <w:spacing w:after="0" w:line="169" w:lineRule="exact"/>
              <w:rPr>
                <w:sz w:val="20"/>
                <w:szCs w:val="20"/>
                <w:color w:val="auto"/>
              </w:rPr>
            </w:pPr>
            <w:r>
              <w:rPr>
                <w:rFonts w:ascii="Arial" w:cs="Arial" w:eastAsia="Arial" w:hAnsi="Arial"/>
                <w:sz w:val="16"/>
                <w:szCs w:val="16"/>
                <w:b w:val="1"/>
                <w:bCs w:val="1"/>
                <w:color w:val="6D6D6D"/>
              </w:rPr>
              <w:t>(in thousands, except for share and par</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0" w:type="dxa"/>
            <w:vAlign w:val="bottom"/>
            <w:gridSpan w:val="4"/>
          </w:tcPr>
          <w:p>
            <w:pPr>
              <w:jc w:val="right"/>
              <w:ind w:right="899"/>
              <w:spacing w:after="0"/>
              <w:rPr>
                <w:sz w:val="20"/>
                <w:szCs w:val="20"/>
                <w:color w:val="auto"/>
              </w:rPr>
            </w:pPr>
            <w:r>
              <w:rPr>
                <w:rFonts w:ascii="Arial" w:cs="Arial" w:eastAsia="Arial" w:hAnsi="Arial"/>
                <w:sz w:val="16"/>
                <w:szCs w:val="16"/>
                <w:b w:val="1"/>
                <w:bCs w:val="1"/>
                <w:color w:val="6D6D6D"/>
              </w:rPr>
              <w:t>value amounts)</w:t>
            </w: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3720"/>
              <w:spacing w:after="0"/>
              <w:rPr>
                <w:sz w:val="20"/>
                <w:szCs w:val="20"/>
                <w:color w:val="auto"/>
              </w:rPr>
            </w:pPr>
            <w:r>
              <w:rPr>
                <w:rFonts w:ascii="Arial" w:cs="Arial" w:eastAsia="Arial" w:hAnsi="Arial"/>
                <w:sz w:val="16"/>
                <w:szCs w:val="16"/>
                <w:b w:val="1"/>
                <w:bCs w:val="1"/>
                <w:color w:val="6D6D6D"/>
              </w:rPr>
              <w:t>ASSETS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8100" w:type="dxa"/>
            <w:vAlign w:val="bottom"/>
          </w:tcPr>
          <w:p>
            <w:pPr>
              <w:ind w:left="20"/>
              <w:spacing w:after="0"/>
              <w:rPr>
                <w:sz w:val="20"/>
                <w:szCs w:val="20"/>
                <w:color w:val="auto"/>
              </w:rPr>
            </w:pPr>
            <w:r>
              <w:rPr>
                <w:rFonts w:ascii="Arial" w:cs="Arial" w:eastAsia="Arial" w:hAnsi="Arial"/>
                <w:sz w:val="16"/>
                <w:szCs w:val="16"/>
                <w:color w:val="6D6D6D"/>
              </w:rPr>
              <w:t>Real estate, at cost</w:t>
            </w:r>
          </w:p>
        </w:tc>
        <w:tc>
          <w:tcPr>
            <w:tcW w:w="140" w:type="dxa"/>
            <w:vAlign w:val="bottom"/>
          </w:tcPr>
          <w:p>
            <w:pPr>
              <w:jc w:val="right"/>
              <w:spacing w:after="0"/>
              <w:rPr>
                <w:sz w:val="20"/>
                <w:szCs w:val="20"/>
                <w:color w:val="auto"/>
              </w:rPr>
            </w:pPr>
            <w:r>
              <w:rPr>
                <w:rFonts w:ascii="Arial" w:cs="Arial" w:eastAsia="Arial" w:hAnsi="Arial"/>
                <w:sz w:val="16"/>
                <w:szCs w:val="16"/>
                <w:color w:val="6D6D6D"/>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6D6D6D"/>
              </w:rPr>
              <w:t>27,106,552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6D6D6D"/>
              </w:rPr>
              <w:t>$</w:t>
            </w:r>
          </w:p>
        </w:tc>
        <w:tc>
          <w:tcPr>
            <w:tcW w:w="1300" w:type="dxa"/>
            <w:vAlign w:val="bottom"/>
          </w:tcPr>
          <w:p>
            <w:pPr>
              <w:jc w:val="right"/>
              <w:spacing w:after="0"/>
              <w:rPr>
                <w:sz w:val="20"/>
                <w:szCs w:val="20"/>
                <w:color w:val="auto"/>
              </w:rPr>
            </w:pPr>
            <w:r>
              <w:rPr>
                <w:rFonts w:ascii="Arial" w:cs="Arial" w:eastAsia="Arial" w:hAnsi="Arial"/>
                <w:sz w:val="16"/>
                <w:szCs w:val="16"/>
                <w:color w:val="6D6D6D"/>
              </w:rPr>
              <w:t>26,248,130</w:t>
            </w:r>
          </w:p>
        </w:tc>
        <w:tc>
          <w:tcPr>
            <w:tcW w:w="0" w:type="dxa"/>
            <w:vAlign w:val="bottom"/>
          </w:tcPr>
          <w:p>
            <w:pPr>
              <w:spacing w:after="0"/>
              <w:rPr>
                <w:sz w:val="1"/>
                <w:szCs w:val="1"/>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Construction in progress</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1,128,313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1,475,257</w:t>
            </w:r>
          </w:p>
        </w:tc>
        <w:tc>
          <w:tcPr>
            <w:tcW w:w="0" w:type="dxa"/>
            <w:vAlign w:val="bottom"/>
          </w:tcPr>
          <w:p>
            <w:pPr>
              <w:spacing w:after="0"/>
              <w:rPr>
                <w:sz w:val="1"/>
                <w:szCs w:val="1"/>
                <w:color w:val="auto"/>
              </w:rPr>
            </w:pPr>
          </w:p>
        </w:tc>
      </w:tr>
      <w:tr>
        <w:trPr>
          <w:trHeight w:val="228"/>
        </w:trPr>
        <w:tc>
          <w:tcPr>
            <w:tcW w:w="8100" w:type="dxa"/>
            <w:vAlign w:val="bottom"/>
          </w:tcPr>
          <w:p>
            <w:pPr>
              <w:ind w:left="20"/>
              <w:spacing w:after="0"/>
              <w:rPr>
                <w:sz w:val="20"/>
                <w:szCs w:val="20"/>
                <w:color w:val="auto"/>
              </w:rPr>
            </w:pPr>
            <w:r>
              <w:rPr>
                <w:rFonts w:ascii="Arial" w:cs="Arial" w:eastAsia="Arial" w:hAnsi="Arial"/>
                <w:sz w:val="16"/>
                <w:szCs w:val="16"/>
                <w:color w:val="6D6D6D"/>
              </w:rPr>
              <w:t>Land held for future development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503,648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518,492</w:t>
            </w:r>
          </w:p>
        </w:tc>
        <w:tc>
          <w:tcPr>
            <w:tcW w:w="0" w:type="dxa"/>
            <w:vAlign w:val="bottom"/>
          </w:tcPr>
          <w:p>
            <w:pPr>
              <w:spacing w:after="0"/>
              <w:rPr>
                <w:sz w:val="1"/>
                <w:szCs w:val="1"/>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Right of use assets - finance leases</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372,619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372,470</w:t>
            </w:r>
          </w:p>
        </w:tc>
        <w:tc>
          <w:tcPr>
            <w:tcW w:w="0" w:type="dxa"/>
            <w:vAlign w:val="bottom"/>
          </w:tcPr>
          <w:p>
            <w:pPr>
              <w:spacing w:after="0"/>
              <w:rPr>
                <w:sz w:val="1"/>
                <w:szCs w:val="1"/>
                <w:color w:val="auto"/>
              </w:rPr>
            </w:pPr>
          </w:p>
        </w:tc>
      </w:tr>
      <w:tr>
        <w:trPr>
          <w:trHeight w:val="228"/>
        </w:trPr>
        <w:tc>
          <w:tcPr>
            <w:tcW w:w="8100" w:type="dxa"/>
            <w:vAlign w:val="bottom"/>
          </w:tcPr>
          <w:p>
            <w:pPr>
              <w:ind w:left="20"/>
              <w:spacing w:after="0"/>
              <w:rPr>
                <w:sz w:val="20"/>
                <w:szCs w:val="20"/>
                <w:color w:val="auto"/>
              </w:rPr>
            </w:pPr>
            <w:r>
              <w:rPr>
                <w:rFonts w:ascii="Arial" w:cs="Arial" w:eastAsia="Arial" w:hAnsi="Arial"/>
                <w:sz w:val="16"/>
                <w:szCs w:val="16"/>
                <w:color w:val="6D6D6D"/>
              </w:rPr>
              <w:t>Right of use assets - operating leases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285,912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325,841</w:t>
            </w:r>
          </w:p>
        </w:tc>
        <w:tc>
          <w:tcPr>
            <w:tcW w:w="0" w:type="dxa"/>
            <w:vAlign w:val="bottom"/>
          </w:tcPr>
          <w:p>
            <w:pPr>
              <w:spacing w:after="0"/>
              <w:rPr>
                <w:sz w:val="1"/>
                <w:szCs w:val="1"/>
                <w:color w:val="auto"/>
              </w:rPr>
            </w:pPr>
          </w:p>
        </w:tc>
      </w:tr>
      <w:tr>
        <w:trPr>
          <w:trHeight w:val="231"/>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Less: accumulated depreciation</w:t>
            </w: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(8,319,577)</w:t>
            </w:r>
          </w:p>
        </w:tc>
        <w:tc>
          <w:tcPr>
            <w:tcW w:w="2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(8,040,311)</w:t>
            </w:r>
          </w:p>
        </w:tc>
        <w:tc>
          <w:tcPr>
            <w:tcW w:w="0" w:type="dxa"/>
            <w:vAlign w:val="bottom"/>
          </w:tcPr>
          <w:p>
            <w:pPr>
              <w:spacing w:after="0"/>
              <w:rPr>
                <w:sz w:val="1"/>
                <w:szCs w:val="1"/>
                <w:color w:val="auto"/>
              </w:rPr>
            </w:pPr>
          </w:p>
        </w:tc>
      </w:tr>
      <w:tr>
        <w:trPr>
          <w:trHeight w:val="222"/>
        </w:trPr>
        <w:tc>
          <w:tcPr>
            <w:tcW w:w="8100" w:type="dxa"/>
            <w:vAlign w:val="bottom"/>
          </w:tcPr>
          <w:p>
            <w:pPr>
              <w:ind w:left="680"/>
              <w:spacing w:after="0"/>
              <w:rPr>
                <w:sz w:val="20"/>
                <w:szCs w:val="20"/>
                <w:color w:val="auto"/>
              </w:rPr>
            </w:pPr>
            <w:r>
              <w:rPr>
                <w:rFonts w:ascii="Arial" w:cs="Arial" w:eastAsia="Arial" w:hAnsi="Arial"/>
                <w:sz w:val="16"/>
                <w:szCs w:val="16"/>
                <w:color w:val="6D6D6D"/>
              </w:rPr>
              <w:t>Total real estate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21,077,467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20,899,879</w:t>
            </w:r>
          </w:p>
        </w:tc>
        <w:tc>
          <w:tcPr>
            <w:tcW w:w="0" w:type="dxa"/>
            <w:vAlign w:val="bottom"/>
          </w:tcPr>
          <w:p>
            <w:pPr>
              <w:spacing w:after="0"/>
              <w:rPr>
                <w:sz w:val="1"/>
                <w:szCs w:val="1"/>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Cash and cash equivalents</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1,471,631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1,478,206</w:t>
            </w:r>
          </w:p>
        </w:tc>
        <w:tc>
          <w:tcPr>
            <w:tcW w:w="0" w:type="dxa"/>
            <w:vAlign w:val="bottom"/>
          </w:tcPr>
          <w:p>
            <w:pPr>
              <w:spacing w:after="0"/>
              <w:rPr>
                <w:sz w:val="1"/>
                <w:szCs w:val="1"/>
                <w:color w:val="auto"/>
              </w:rPr>
            </w:pPr>
          </w:p>
        </w:tc>
      </w:tr>
      <w:tr>
        <w:trPr>
          <w:trHeight w:val="228"/>
        </w:trPr>
        <w:tc>
          <w:tcPr>
            <w:tcW w:w="8100" w:type="dxa"/>
            <w:vAlign w:val="bottom"/>
          </w:tcPr>
          <w:p>
            <w:pPr>
              <w:ind w:left="20"/>
              <w:spacing w:after="0"/>
              <w:rPr>
                <w:sz w:val="20"/>
                <w:szCs w:val="20"/>
                <w:color w:val="auto"/>
              </w:rPr>
            </w:pPr>
            <w:r>
              <w:rPr>
                <w:rFonts w:ascii="Arial" w:cs="Arial" w:eastAsia="Arial" w:hAnsi="Arial"/>
                <w:sz w:val="16"/>
                <w:szCs w:val="16"/>
                <w:color w:val="6D6D6D"/>
              </w:rPr>
              <w:t>Cash held in escrows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50,029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79,060</w:t>
            </w:r>
          </w:p>
        </w:tc>
        <w:tc>
          <w:tcPr>
            <w:tcW w:w="0" w:type="dxa"/>
            <w:vAlign w:val="bottom"/>
          </w:tcPr>
          <w:p>
            <w:pPr>
              <w:spacing w:after="0"/>
              <w:rPr>
                <w:sz w:val="1"/>
                <w:szCs w:val="1"/>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Investments in securities</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45,932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44,614</w:t>
            </w: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6"/>
                <w:szCs w:val="16"/>
                <w:color w:val="6D6D6D"/>
              </w:rPr>
              <w:t>Tenant and other receivables, net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92,300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92,625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Note receivable, net</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12,495</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9,373</w:t>
            </w:r>
          </w:p>
        </w:tc>
        <w:tc>
          <w:tcPr>
            <w:tcW w:w="0" w:type="dxa"/>
            <w:vAlign w:val="bottom"/>
          </w:tcPr>
          <w:p>
            <w:pPr>
              <w:spacing w:after="0"/>
              <w:rPr>
                <w:sz w:val="1"/>
                <w:szCs w:val="1"/>
                <w:color w:val="auto"/>
              </w:rPr>
            </w:pPr>
          </w:p>
        </w:tc>
      </w:tr>
      <w:tr>
        <w:trPr>
          <w:trHeight w:val="228"/>
        </w:trPr>
        <w:tc>
          <w:tcPr>
            <w:tcW w:w="8100" w:type="dxa"/>
            <w:vAlign w:val="bottom"/>
          </w:tcPr>
          <w:p>
            <w:pPr>
              <w:ind w:left="20"/>
              <w:spacing w:after="0"/>
              <w:rPr>
                <w:sz w:val="20"/>
                <w:szCs w:val="20"/>
                <w:color w:val="auto"/>
              </w:rPr>
            </w:pPr>
            <w:r>
              <w:rPr>
                <w:rFonts w:ascii="Arial" w:cs="Arial" w:eastAsia="Arial" w:hAnsi="Arial"/>
                <w:sz w:val="16"/>
                <w:szCs w:val="16"/>
                <w:color w:val="6D6D6D"/>
              </w:rPr>
              <w:t>Related party notes receivable, net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28,166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28,346</w:t>
            </w:r>
          </w:p>
        </w:tc>
        <w:tc>
          <w:tcPr>
            <w:tcW w:w="0" w:type="dxa"/>
            <w:vAlign w:val="bottom"/>
          </w:tcPr>
          <w:p>
            <w:pPr>
              <w:spacing w:after="0"/>
              <w:rPr>
                <w:sz w:val="1"/>
                <w:szCs w:val="1"/>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Sales-type lease receivable, net</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16,332</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15,672</w:t>
            </w:r>
          </w:p>
        </w:tc>
        <w:tc>
          <w:tcPr>
            <w:tcW w:w="0" w:type="dxa"/>
            <w:vAlign w:val="bottom"/>
          </w:tcPr>
          <w:p>
            <w:pPr>
              <w:spacing w:after="0"/>
              <w:rPr>
                <w:sz w:val="1"/>
                <w:szCs w:val="1"/>
                <w:color w:val="auto"/>
              </w:rPr>
            </w:pPr>
          </w:p>
        </w:tc>
      </w:tr>
      <w:tr>
        <w:trPr>
          <w:trHeight w:val="228"/>
        </w:trPr>
        <w:tc>
          <w:tcPr>
            <w:tcW w:w="8100" w:type="dxa"/>
            <w:vAlign w:val="bottom"/>
          </w:tcPr>
          <w:p>
            <w:pPr>
              <w:ind w:left="20"/>
              <w:spacing w:after="0"/>
              <w:rPr>
                <w:sz w:val="20"/>
                <w:szCs w:val="20"/>
                <w:color w:val="auto"/>
              </w:rPr>
            </w:pPr>
            <w:r>
              <w:rPr>
                <w:rFonts w:ascii="Arial" w:cs="Arial" w:eastAsia="Arial" w:hAnsi="Arial"/>
                <w:sz w:val="16"/>
                <w:szCs w:val="16"/>
                <w:color w:val="6D6D6D"/>
              </w:rPr>
              <w:t>Accrued rental income, net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1,599,110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1,538,515</w:t>
            </w:r>
          </w:p>
        </w:tc>
        <w:tc>
          <w:tcPr>
            <w:tcW w:w="0" w:type="dxa"/>
            <w:vAlign w:val="bottom"/>
          </w:tcPr>
          <w:p>
            <w:pPr>
              <w:spacing w:after="0"/>
              <w:rPr>
                <w:sz w:val="1"/>
                <w:szCs w:val="1"/>
                <w:color w:val="auto"/>
              </w:rPr>
            </w:pPr>
          </w:p>
        </w:tc>
      </w:tr>
      <w:tr>
        <w:trPr>
          <w:trHeight w:val="23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Deferred charges, net</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843,151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847,690</w:t>
            </w:r>
          </w:p>
        </w:tc>
        <w:tc>
          <w:tcPr>
            <w:tcW w:w="0" w:type="dxa"/>
            <w:vAlign w:val="bottom"/>
          </w:tcPr>
          <w:p>
            <w:pPr>
              <w:spacing w:after="0"/>
              <w:rPr>
                <w:sz w:val="1"/>
                <w:szCs w:val="1"/>
                <w:color w:val="auto"/>
              </w:rPr>
            </w:pPr>
          </w:p>
        </w:tc>
      </w:tr>
      <w:tr>
        <w:trPr>
          <w:trHeight w:val="228"/>
        </w:trPr>
        <w:tc>
          <w:tcPr>
            <w:tcW w:w="8100" w:type="dxa"/>
            <w:vAlign w:val="bottom"/>
          </w:tcPr>
          <w:p>
            <w:pPr>
              <w:ind w:left="20"/>
              <w:spacing w:after="0"/>
              <w:rPr>
                <w:sz w:val="20"/>
                <w:szCs w:val="20"/>
                <w:color w:val="auto"/>
              </w:rPr>
            </w:pPr>
            <w:r>
              <w:rPr>
                <w:rFonts w:ascii="Arial" w:cs="Arial" w:eastAsia="Arial" w:hAnsi="Arial"/>
                <w:sz w:val="16"/>
                <w:szCs w:val="16"/>
                <w:color w:val="6D6D6D"/>
              </w:rPr>
              <w:t>Prepaid expenses and other assets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193,572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108,105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Investments in unconsolidated joint ventures</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831,228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999,309</w:t>
            </w:r>
          </w:p>
        </w:tc>
        <w:tc>
          <w:tcPr>
            <w:tcW w:w="0" w:type="dxa"/>
            <w:vAlign w:val="bottom"/>
          </w:tcPr>
          <w:p>
            <w:pPr>
              <w:spacing w:after="0"/>
              <w:rPr>
                <w:sz w:val="1"/>
                <w:szCs w:val="1"/>
                <w:color w:val="auto"/>
              </w:rPr>
            </w:pPr>
          </w:p>
        </w:tc>
      </w:tr>
      <w:tr>
        <w:trPr>
          <w:trHeight w:val="228"/>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6D6D6D"/>
              </w:rPr>
              <w:t>Assets held for sale</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10,425</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24,770</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6D6D6D"/>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26,271,838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26,166,164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3060"/>
              <w:spacing w:after="0"/>
              <w:rPr>
                <w:sz w:val="20"/>
                <w:szCs w:val="20"/>
                <w:color w:val="auto"/>
              </w:rPr>
            </w:pPr>
            <w:r>
              <w:rPr>
                <w:rFonts w:ascii="Arial" w:cs="Arial" w:eastAsia="Arial" w:hAnsi="Arial"/>
                <w:sz w:val="16"/>
                <w:szCs w:val="16"/>
                <w:b w:val="1"/>
                <w:bCs w:val="1"/>
                <w:color w:val="6D6D6D"/>
              </w:rPr>
              <w:t>LIABILITIES AND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Liabilities: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Arial" w:cs="Arial" w:eastAsia="Arial" w:hAnsi="Arial"/>
                <w:sz w:val="16"/>
                <w:szCs w:val="16"/>
                <w:color w:val="6D6D6D"/>
              </w:rPr>
              <w:t>Mortgage notes payable, net</w:t>
            </w:r>
          </w:p>
        </w:tc>
        <w:tc>
          <w:tcPr>
            <w:tcW w:w="140" w:type="dxa"/>
            <w:vAlign w:val="bottom"/>
          </w:tcPr>
          <w:p>
            <w:pPr>
              <w:jc w:val="right"/>
              <w:spacing w:after="0"/>
              <w:rPr>
                <w:sz w:val="20"/>
                <w:szCs w:val="20"/>
                <w:color w:val="auto"/>
              </w:rPr>
            </w:pPr>
            <w:r>
              <w:rPr>
                <w:rFonts w:ascii="Arial" w:cs="Arial" w:eastAsia="Arial" w:hAnsi="Arial"/>
                <w:sz w:val="16"/>
                <w:szCs w:val="16"/>
                <w:color w:val="6D6D6D"/>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6D6D6D"/>
              </w:rPr>
              <w:t>4,309,813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6D6D6D"/>
              </w:rPr>
              <w:t>$</w:t>
            </w:r>
          </w:p>
        </w:tc>
        <w:tc>
          <w:tcPr>
            <w:tcW w:w="1300" w:type="dxa"/>
            <w:vAlign w:val="bottom"/>
          </w:tcPr>
          <w:p>
            <w:pPr>
              <w:jc w:val="right"/>
              <w:spacing w:after="0"/>
              <w:rPr>
                <w:sz w:val="20"/>
                <w:szCs w:val="20"/>
                <w:color w:val="auto"/>
              </w:rPr>
            </w:pPr>
            <w:r>
              <w:rPr>
                <w:rFonts w:ascii="Arial" w:cs="Arial" w:eastAsia="Arial" w:hAnsi="Arial"/>
                <w:sz w:val="16"/>
                <w:szCs w:val="16"/>
                <w:color w:val="6D6D6D"/>
              </w:rPr>
              <w:t>4,280,067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Unsecured senior notes, net</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9,506,144</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9,806,100</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Arial" w:cs="Arial" w:eastAsia="Arial" w:hAnsi="Arial"/>
                <w:sz w:val="16"/>
                <w:szCs w:val="16"/>
                <w:color w:val="6D6D6D"/>
              </w:rPr>
              <w:t>Unsecured exchangeable senior notes, net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979,894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976,263</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Unsecured line of credit</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247,000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28"/>
        </w:trPr>
        <w:tc>
          <w:tcPr>
            <w:tcW w:w="8100" w:type="dxa"/>
            <w:vAlign w:val="bottom"/>
          </w:tcPr>
          <w:p>
            <w:pPr>
              <w:ind w:left="360"/>
              <w:spacing w:after="0"/>
              <w:rPr>
                <w:sz w:val="20"/>
                <w:szCs w:val="20"/>
                <w:color w:val="auto"/>
              </w:rPr>
            </w:pPr>
            <w:r>
              <w:rPr>
                <w:rFonts w:ascii="Arial" w:cs="Arial" w:eastAsia="Arial" w:hAnsi="Arial"/>
                <w:sz w:val="16"/>
                <w:szCs w:val="16"/>
                <w:color w:val="6D6D6D"/>
              </w:rPr>
              <w:t>Unsecured term loans, net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797,671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797,053</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Unsecured commercial paper</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750,000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750,000</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Arial" w:cs="Arial" w:eastAsia="Arial" w:hAnsi="Arial"/>
                <w:sz w:val="16"/>
                <w:szCs w:val="16"/>
                <w:color w:val="6D6D6D"/>
              </w:rPr>
              <w:t>Lease liabilities - finance leases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350,953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360,039</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Lease liabilities - operating leases</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384,213</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389,213</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Arial" w:cs="Arial" w:eastAsia="Arial" w:hAnsi="Arial"/>
                <w:sz w:val="16"/>
                <w:szCs w:val="16"/>
                <w:color w:val="6D6D6D"/>
              </w:rPr>
              <w:t>Accounts payable and accrued expenses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536,428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480,017</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Dividends and distributions payable</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123,849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123,753</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Arial" w:cs="Arial" w:eastAsia="Arial" w:hAnsi="Arial"/>
                <w:sz w:val="16"/>
                <w:szCs w:val="16"/>
                <w:color w:val="6D6D6D"/>
              </w:rPr>
              <w:t>Accrued interest payable</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127,383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125,345</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Other liabilities</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346,911</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386,074</w:t>
            </w:r>
          </w:p>
        </w:tc>
        <w:tc>
          <w:tcPr>
            <w:tcW w:w="0" w:type="dxa"/>
            <w:vAlign w:val="bottom"/>
          </w:tcPr>
          <w:p>
            <w:pPr>
              <w:spacing w:after="0"/>
              <w:rPr>
                <w:sz w:val="1"/>
                <w:szCs w:val="1"/>
                <w:color w:val="auto"/>
              </w:rPr>
            </w:pPr>
          </w:p>
        </w:tc>
      </w:tr>
      <w:tr>
        <w:trPr>
          <w:trHeight w:val="243"/>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6D6D6D"/>
              </w:rPr>
              <w:t>Liabilities held for sale</w:t>
            </w: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111</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00" w:type="dxa"/>
            <w:vAlign w:val="bottom"/>
            <w:shd w:val="clear" w:color="auto" w:fill="CCEEFF"/>
          </w:tcPr>
          <w:p>
            <w:pPr>
              <w:ind w:left="680"/>
              <w:spacing w:after="0"/>
              <w:rPr>
                <w:sz w:val="20"/>
                <w:szCs w:val="20"/>
                <w:color w:val="auto"/>
              </w:rPr>
            </w:pPr>
            <w:r>
              <w:rPr>
                <w:rFonts w:ascii="Arial" w:cs="Arial" w:eastAsia="Arial" w:hAnsi="Arial"/>
                <w:sz w:val="16"/>
                <w:szCs w:val="16"/>
                <w:color w:val="6D6D6D"/>
              </w:rPr>
              <w:t>Total liabilities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18,460,370</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18,473,924</w:t>
            </w:r>
          </w:p>
        </w:tc>
        <w:tc>
          <w:tcPr>
            <w:tcW w:w="0" w:type="dxa"/>
            <w:vAlign w:val="bottom"/>
          </w:tcPr>
          <w:p>
            <w:pPr>
              <w:spacing w:after="0"/>
              <w:rPr>
                <w:sz w:val="1"/>
                <w:szCs w:val="1"/>
                <w:color w:val="auto"/>
              </w:rPr>
            </w:pPr>
          </w:p>
        </w:tc>
      </w:tr>
      <w:tr>
        <w:trPr>
          <w:trHeight w:val="216"/>
        </w:trPr>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Commitments and contingencies</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6D6D6D"/>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22"/>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6D6D6D"/>
              </w:rPr>
              <w:t>Redeemable deferred stock units</w:t>
            </w:r>
          </w:p>
        </w:tc>
        <w:tc>
          <w:tcPr>
            <w:tcW w:w="1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6D6D6D"/>
              </w:rPr>
              <w:t>7,577</w:t>
            </w:r>
          </w:p>
        </w:tc>
        <w:tc>
          <w:tcPr>
            <w:tcW w:w="2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6D6D6D"/>
              </w:rPr>
              <w:t>7,538</w:t>
            </w:r>
          </w:p>
        </w:tc>
        <w:tc>
          <w:tcPr>
            <w:tcW w:w="0" w:type="dxa"/>
            <w:vAlign w:val="bottom"/>
          </w:tcPr>
          <w:p>
            <w:pPr>
              <w:spacing w:after="0"/>
              <w:rPr>
                <w:sz w:val="1"/>
                <w:szCs w:val="1"/>
                <w:color w:val="auto"/>
              </w:rPr>
            </w:pPr>
          </w:p>
        </w:tc>
      </w:tr>
      <w:tr>
        <w:trPr>
          <w:trHeight w:val="211"/>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Equity:</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6"/>
                <w:szCs w:val="16"/>
                <w:color w:val="6D6D6D"/>
              </w:rPr>
              <w:t>Stockholders’ equity attributable to BXP, Inc.:</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Excess stock, $0.01 par value, 150,000,000 shares authorized, none issued or outstanding</w:t>
            </w:r>
          </w:p>
        </w:tc>
        <w:tc>
          <w:tcPr>
            <w:tcW w:w="14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6D6D6D"/>
              </w:rPr>
              <w:t>—</w:t>
            </w: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228"/>
        </w:trPr>
        <w:tc>
          <w:tcPr>
            <w:tcW w:w="8100" w:type="dxa"/>
            <w:vAlign w:val="bottom"/>
          </w:tcPr>
          <w:p>
            <w:pPr>
              <w:ind w:left="360"/>
              <w:spacing w:after="0"/>
              <w:rPr>
                <w:sz w:val="20"/>
                <w:szCs w:val="20"/>
                <w:color w:val="auto"/>
              </w:rPr>
            </w:pPr>
            <w:r>
              <w:rPr>
                <w:rFonts w:ascii="Arial" w:cs="Arial" w:eastAsia="Arial" w:hAnsi="Arial"/>
                <w:sz w:val="16"/>
                <w:szCs w:val="16"/>
                <w:color w:val="6D6D6D"/>
              </w:rPr>
              <w:t>Preferred stock, $0.01 par value, 50,000,000 shares authorized; none issued or outstanding</w:t>
            </w:r>
          </w:p>
        </w:tc>
        <w:tc>
          <w:tcPr>
            <w:tcW w:w="14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6D6D6D"/>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w:t>
            </w:r>
          </w:p>
        </w:tc>
        <w:tc>
          <w:tcPr>
            <w:tcW w:w="0" w:type="dxa"/>
            <w:vAlign w:val="bottom"/>
          </w:tcPr>
          <w:p>
            <w:pPr>
              <w:spacing w:after="0"/>
              <w:rPr>
                <w:sz w:val="1"/>
                <w:szCs w:val="1"/>
                <w:color w:val="auto"/>
              </w:rPr>
            </w:pPr>
          </w:p>
        </w:tc>
      </w:tr>
      <w:tr>
        <w:trPr>
          <w:trHeight w:val="176"/>
        </w:trPr>
        <w:tc>
          <w:tcPr>
            <w:tcW w:w="8100" w:type="dxa"/>
            <w:vAlign w:val="bottom"/>
            <w:shd w:val="clear" w:color="auto" w:fill="CCEEFF"/>
          </w:tcPr>
          <w:p>
            <w:pPr>
              <w:ind w:left="360"/>
              <w:spacing w:after="0" w:line="177" w:lineRule="exact"/>
              <w:rPr>
                <w:sz w:val="20"/>
                <w:szCs w:val="20"/>
                <w:color w:val="auto"/>
              </w:rPr>
            </w:pPr>
            <w:r>
              <w:rPr>
                <w:rFonts w:ascii="Arial" w:cs="Arial" w:eastAsia="Arial" w:hAnsi="Arial"/>
                <w:sz w:val="16"/>
                <w:szCs w:val="16"/>
                <w:color w:val="6D6D6D"/>
              </w:rPr>
              <w:t>Common stock, $0.01 par value, 250,000,000 shares authorized, 159,751,217 and 158,627,198 issued and</w:t>
            </w: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6D6D6D"/>
              </w:rPr>
              <w:t>1,597</w:t>
            </w: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6D6D6D"/>
              </w:rPr>
              <w:t>1,585</w:t>
            </w:r>
          </w:p>
        </w:tc>
        <w:tc>
          <w:tcPr>
            <w:tcW w:w="0" w:type="dxa"/>
            <w:vAlign w:val="bottom"/>
          </w:tcPr>
          <w:p>
            <w:pPr>
              <w:spacing w:after="0"/>
              <w:rPr>
                <w:sz w:val="1"/>
                <w:szCs w:val="1"/>
                <w:color w:val="auto"/>
              </w:rPr>
            </w:pPr>
          </w:p>
        </w:tc>
      </w:tr>
      <w:tr>
        <w:trPr>
          <w:trHeight w:val="216"/>
        </w:trPr>
        <w:tc>
          <w:tcPr>
            <w:tcW w:w="8100" w:type="dxa"/>
            <w:vAlign w:val="bottom"/>
            <w:shd w:val="clear" w:color="auto" w:fill="CCEEFF"/>
          </w:tcPr>
          <w:p>
            <w:pPr>
              <w:ind w:left="600"/>
              <w:spacing w:after="0"/>
              <w:rPr>
                <w:sz w:val="20"/>
                <w:szCs w:val="20"/>
                <w:color w:val="auto"/>
              </w:rPr>
            </w:pPr>
            <w:r>
              <w:rPr>
                <w:rFonts w:ascii="Arial" w:cs="Arial" w:eastAsia="Arial" w:hAnsi="Arial"/>
                <w:sz w:val="16"/>
                <w:szCs w:val="16"/>
                <w:color w:val="6D6D6D"/>
              </w:rPr>
              <w:t>159,672,317 and 158,548,298 outstanding at September 30, 2026 and December 31, 2025, respectively</w:t>
            </w:r>
          </w:p>
        </w:tc>
        <w:tc>
          <w:tcPr>
            <w:tcW w:w="14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Arial" w:cs="Arial" w:eastAsia="Arial" w:hAnsi="Arial"/>
                <w:sz w:val="16"/>
                <w:szCs w:val="16"/>
                <w:color w:val="6D6D6D"/>
              </w:rPr>
              <w:t>Additional paid-in capital</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6,902,261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6,836,243</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Dividends in excess of earnings</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(1,724,898)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(1,674,995)</w:t>
            </w: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Arial" w:cs="Arial" w:eastAsia="Arial" w:hAnsi="Arial"/>
                <w:sz w:val="16"/>
                <w:szCs w:val="16"/>
                <w:color w:val="6D6D6D"/>
              </w:rPr>
              <w:t>Treasury common stock at cost, 78,900 shares at September 30, 2026 and December 31, 2025</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(2,722)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(2,722)</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Accumulated other comprehensive income (loss)</w:t>
            </w: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15,265</w:t>
            </w:r>
          </w:p>
        </w:tc>
        <w:tc>
          <w:tcPr>
            <w:tcW w:w="2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(12,921)</w:t>
            </w:r>
          </w:p>
        </w:tc>
        <w:tc>
          <w:tcPr>
            <w:tcW w:w="0" w:type="dxa"/>
            <w:vAlign w:val="bottom"/>
          </w:tcPr>
          <w:p>
            <w:pPr>
              <w:spacing w:after="0"/>
              <w:rPr>
                <w:sz w:val="1"/>
                <w:szCs w:val="1"/>
                <w:color w:val="auto"/>
              </w:rPr>
            </w:pPr>
          </w:p>
        </w:tc>
      </w:tr>
      <w:tr>
        <w:trPr>
          <w:trHeight w:val="222"/>
        </w:trPr>
        <w:tc>
          <w:tcPr>
            <w:tcW w:w="8100" w:type="dxa"/>
            <w:vAlign w:val="bottom"/>
          </w:tcPr>
          <w:p>
            <w:pPr>
              <w:ind w:left="680"/>
              <w:spacing w:after="0"/>
              <w:rPr>
                <w:sz w:val="20"/>
                <w:szCs w:val="20"/>
                <w:color w:val="auto"/>
              </w:rPr>
            </w:pPr>
            <w:r>
              <w:rPr>
                <w:rFonts w:ascii="Arial" w:cs="Arial" w:eastAsia="Arial" w:hAnsi="Arial"/>
                <w:sz w:val="16"/>
                <w:szCs w:val="16"/>
                <w:color w:val="6D6D6D"/>
              </w:rPr>
              <w:t>Total stockholders’ equity attributable to BXP, Inc.</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5,191,503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5,147,190</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Noncontrolling interests:</w:t>
            </w: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tcPr>
          <w:p>
            <w:pPr>
              <w:ind w:left="360"/>
              <w:spacing w:after="0"/>
              <w:rPr>
                <w:sz w:val="20"/>
                <w:szCs w:val="20"/>
                <w:color w:val="auto"/>
              </w:rPr>
            </w:pPr>
            <w:r>
              <w:rPr>
                <w:rFonts w:ascii="Arial" w:cs="Arial" w:eastAsia="Arial" w:hAnsi="Arial"/>
                <w:sz w:val="16"/>
                <w:szCs w:val="16"/>
                <w:color w:val="6D6D6D"/>
              </w:rPr>
              <w:t>Common units of the Operating Partnership</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6D6D6D"/>
              </w:rPr>
              <w:t>555,123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6D6D6D"/>
              </w:rPr>
              <w:t>566,563</w:t>
            </w:r>
          </w:p>
        </w:tc>
        <w:tc>
          <w:tcPr>
            <w:tcW w:w="0" w:type="dxa"/>
            <w:vAlign w:val="bottom"/>
          </w:tcPr>
          <w:p>
            <w:pPr>
              <w:spacing w:after="0"/>
              <w:rPr>
                <w:sz w:val="1"/>
                <w:szCs w:val="1"/>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Property partnerships</w:t>
            </w:r>
          </w:p>
        </w:tc>
        <w:tc>
          <w:tcPr>
            <w:tcW w:w="1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2,057,265</w:t>
            </w:r>
          </w:p>
        </w:tc>
        <w:tc>
          <w:tcPr>
            <w:tcW w:w="2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1,970,949</w:t>
            </w:r>
          </w:p>
        </w:tc>
        <w:tc>
          <w:tcPr>
            <w:tcW w:w="0" w:type="dxa"/>
            <w:vAlign w:val="bottom"/>
          </w:tcPr>
          <w:p>
            <w:pPr>
              <w:spacing w:after="0"/>
              <w:rPr>
                <w:sz w:val="1"/>
                <w:szCs w:val="1"/>
                <w:color w:val="auto"/>
              </w:rPr>
            </w:pPr>
          </w:p>
        </w:tc>
      </w:tr>
      <w:tr>
        <w:trPr>
          <w:trHeight w:val="222"/>
        </w:trPr>
        <w:tc>
          <w:tcPr>
            <w:tcW w:w="81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6D6D6D"/>
              </w:rPr>
              <w:t>Total equity</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7,803,891</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7,684,702</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6D6D6D"/>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26,271,838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26,166,164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17" w:right="339" w:bottom="703" w:gutter="0" w:footer="0" w:header="0"/>
        </w:sectPr>
      </w:pPr>
    </w:p>
    <w:bookmarkStart w:id="81" w:name="page82"/>
    <w:bookmarkEnd w:id="81"/>
    <w:p>
      <w:pPr>
        <w:jc w:val="center"/>
        <w:ind w:right="-19"/>
        <w:spacing w:after="0"/>
        <w:rPr>
          <w:sz w:val="20"/>
          <w:szCs w:val="20"/>
          <w:color w:val="auto"/>
        </w:rPr>
      </w:pPr>
      <w:r>
        <w:rPr>
          <w:rFonts w:ascii="Arial" w:cs="Arial" w:eastAsia="Arial" w:hAnsi="Arial"/>
          <w:sz w:val="18"/>
          <w:szCs w:val="18"/>
          <w:b w:val="1"/>
          <w:bCs w:val="1"/>
          <w:color w:val="6D6D6D"/>
        </w:rPr>
        <w:t>BXP,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D6D6D"/>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D6D6D"/>
        </w:rPr>
        <w:t>(Unaudited)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6D6D6D"/>
              </w:rPr>
              <w:t>Three months ended</w:t>
            </w:r>
          </w:p>
        </w:tc>
        <w:tc>
          <w:tcPr>
            <w:tcW w:w="180" w:type="dxa"/>
            <w:vAlign w:val="bottom"/>
          </w:tcPr>
          <w:p>
            <w:pPr>
              <w:spacing w:after="0"/>
              <w:rPr>
                <w:sz w:val="16"/>
                <w:szCs w:val="16"/>
                <w:color w:val="auto"/>
              </w:rPr>
            </w:pPr>
          </w:p>
        </w:tc>
        <w:tc>
          <w:tcPr>
            <w:tcW w:w="210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6D6D6D"/>
              </w:rPr>
              <w:t>Nine months ended</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6D6D6D"/>
              </w:rPr>
              <w:t>September 30,</w:t>
            </w:r>
          </w:p>
        </w:tc>
        <w:tc>
          <w:tcPr>
            <w:tcW w:w="180" w:type="dxa"/>
            <w:vAlign w:val="bottom"/>
          </w:tcPr>
          <w:p>
            <w:pPr>
              <w:spacing w:after="0"/>
              <w:rPr>
                <w:sz w:val="18"/>
                <w:szCs w:val="18"/>
                <w:color w:val="auto"/>
              </w:rPr>
            </w:pPr>
          </w:p>
        </w:tc>
        <w:tc>
          <w:tcPr>
            <w:tcW w:w="210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6D6D6D"/>
              </w:rPr>
              <w:t>September 30,</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6D6D6D"/>
              </w:rPr>
              <w:t>2026</w:t>
            </w: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6D6D6D"/>
              </w:rPr>
              <w:t>2025</w:t>
            </w:r>
          </w:p>
        </w:tc>
        <w:tc>
          <w:tcPr>
            <w:tcW w:w="2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6D6D6D"/>
              </w:rPr>
              <w:t>2026</w:t>
            </w: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6D6D6D"/>
              </w:rPr>
              <w:t>2025</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60" w:type="dxa"/>
            <w:vAlign w:val="bottom"/>
            <w:gridSpan w:val="10"/>
          </w:tcPr>
          <w:p>
            <w:pPr>
              <w:jc w:val="right"/>
              <w:ind w:right="579"/>
              <w:spacing w:after="0"/>
              <w:rPr>
                <w:sz w:val="20"/>
                <w:szCs w:val="20"/>
                <w:color w:val="auto"/>
              </w:rPr>
            </w:pPr>
            <w:r>
              <w:rPr>
                <w:rFonts w:ascii="Arial" w:cs="Arial" w:eastAsia="Arial" w:hAnsi="Arial"/>
                <w:sz w:val="16"/>
                <w:szCs w:val="16"/>
                <w:b w:val="1"/>
                <w:bCs w:val="1"/>
                <w:color w:val="6D6D6D"/>
              </w:rPr>
              <w:t>(in thousands, except for per share amounts)</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Revenue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440" w:type="dxa"/>
            <w:vAlign w:val="bottom"/>
          </w:tcPr>
          <w:p>
            <w:pPr>
              <w:ind w:left="360"/>
              <w:spacing w:after="0"/>
              <w:rPr>
                <w:sz w:val="20"/>
                <w:szCs w:val="20"/>
                <w:color w:val="auto"/>
              </w:rPr>
            </w:pPr>
            <w:r>
              <w:rPr>
                <w:rFonts w:ascii="Arial" w:cs="Arial" w:eastAsia="Arial" w:hAnsi="Arial"/>
                <w:sz w:val="16"/>
                <w:szCs w:val="16"/>
                <w:color w:val="6D6D6D"/>
              </w:rPr>
              <w:t>Lease</w:t>
            </w:r>
          </w:p>
        </w:tc>
        <w:tc>
          <w:tcPr>
            <w:tcW w:w="220" w:type="dxa"/>
            <w:vAlign w:val="bottom"/>
          </w:tcPr>
          <w:p>
            <w:pPr>
              <w:jc w:val="right"/>
              <w:ind w:right="39"/>
              <w:spacing w:after="0"/>
              <w:rPr>
                <w:sz w:val="20"/>
                <w:szCs w:val="20"/>
                <w:color w:val="auto"/>
              </w:rPr>
            </w:pPr>
            <w:r>
              <w:rPr>
                <w:rFonts w:ascii="Arial" w:cs="Arial" w:eastAsia="Arial" w:hAnsi="Arial"/>
                <w:sz w:val="16"/>
                <w:szCs w:val="16"/>
                <w:color w:val="6D6D6D"/>
                <w:w w:val="89"/>
              </w:rPr>
              <w:t>$</w:t>
            </w:r>
          </w:p>
        </w:tc>
        <w:tc>
          <w:tcPr>
            <w:tcW w:w="860" w:type="dxa"/>
            <w:vAlign w:val="bottom"/>
          </w:tcPr>
          <w:p>
            <w:pPr>
              <w:jc w:val="right"/>
              <w:spacing w:after="0"/>
              <w:rPr>
                <w:sz w:val="20"/>
                <w:szCs w:val="20"/>
                <w:color w:val="auto"/>
              </w:rPr>
            </w:pPr>
            <w:r>
              <w:rPr>
                <w:rFonts w:ascii="Arial" w:cs="Arial" w:eastAsia="Arial" w:hAnsi="Arial"/>
                <w:sz w:val="16"/>
                <w:szCs w:val="16"/>
                <w:color w:val="6D6D6D"/>
              </w:rPr>
              <w:t>846,159</w:t>
            </w:r>
          </w:p>
        </w:tc>
        <w:tc>
          <w:tcPr>
            <w:tcW w:w="12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6D6D6D"/>
              </w:rPr>
              <w:t>$</w:t>
            </w:r>
          </w:p>
        </w:tc>
        <w:tc>
          <w:tcPr>
            <w:tcW w:w="840" w:type="dxa"/>
            <w:vAlign w:val="bottom"/>
          </w:tcPr>
          <w:p>
            <w:pPr>
              <w:jc w:val="right"/>
              <w:spacing w:after="0"/>
              <w:rPr>
                <w:sz w:val="20"/>
                <w:szCs w:val="20"/>
                <w:color w:val="auto"/>
              </w:rPr>
            </w:pPr>
            <w:r>
              <w:rPr>
                <w:rFonts w:ascii="Arial" w:cs="Arial" w:eastAsia="Arial" w:hAnsi="Arial"/>
                <w:sz w:val="16"/>
                <w:szCs w:val="16"/>
                <w:color w:val="6D6D6D"/>
              </w:rPr>
              <w:t>809,820</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6D6D6D"/>
                <w:w w:val="89"/>
              </w:rPr>
              <w:t>$</w:t>
            </w:r>
          </w:p>
        </w:tc>
        <w:tc>
          <w:tcPr>
            <w:tcW w:w="900" w:type="dxa"/>
            <w:vAlign w:val="bottom"/>
          </w:tcPr>
          <w:p>
            <w:pPr>
              <w:jc w:val="right"/>
              <w:spacing w:after="0"/>
              <w:rPr>
                <w:sz w:val="20"/>
                <w:szCs w:val="20"/>
                <w:color w:val="auto"/>
              </w:rPr>
            </w:pPr>
            <w:r>
              <w:rPr>
                <w:rFonts w:ascii="Arial" w:cs="Arial" w:eastAsia="Arial" w:hAnsi="Arial"/>
                <w:sz w:val="16"/>
                <w:szCs w:val="16"/>
                <w:color w:val="6D6D6D"/>
              </w:rPr>
              <w:t>2,495,993</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6D6D6D"/>
              </w:rPr>
              <w:t>$</w:t>
            </w:r>
          </w:p>
        </w:tc>
        <w:tc>
          <w:tcPr>
            <w:tcW w:w="880" w:type="dxa"/>
            <w:vAlign w:val="bottom"/>
          </w:tcPr>
          <w:p>
            <w:pPr>
              <w:jc w:val="right"/>
              <w:spacing w:after="0"/>
              <w:rPr>
                <w:sz w:val="20"/>
                <w:szCs w:val="20"/>
                <w:color w:val="auto"/>
              </w:rPr>
            </w:pPr>
            <w:r>
              <w:rPr>
                <w:rFonts w:ascii="Arial" w:cs="Arial" w:eastAsia="Arial" w:hAnsi="Arial"/>
                <w:sz w:val="16"/>
                <w:szCs w:val="16"/>
                <w:color w:val="6D6D6D"/>
              </w:rPr>
              <w:t>2,426,857</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Parking and other</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38,269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35,390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106,669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100,431</w:t>
            </w:r>
          </w:p>
        </w:tc>
        <w:tc>
          <w:tcPr>
            <w:tcW w:w="0" w:type="dxa"/>
            <w:vAlign w:val="bottom"/>
          </w:tcPr>
          <w:p>
            <w:pPr>
              <w:spacing w:after="0"/>
              <w:rPr>
                <w:sz w:val="1"/>
                <w:szCs w:val="1"/>
                <w:color w:val="auto"/>
              </w:rPr>
            </w:pPr>
          </w:p>
        </w:tc>
      </w:tr>
      <w:tr>
        <w:trPr>
          <w:trHeight w:val="228"/>
        </w:trPr>
        <w:tc>
          <w:tcPr>
            <w:tcW w:w="6440" w:type="dxa"/>
            <w:vAlign w:val="bottom"/>
          </w:tcPr>
          <w:p>
            <w:pPr>
              <w:ind w:left="360"/>
              <w:spacing w:after="0"/>
              <w:rPr>
                <w:sz w:val="20"/>
                <w:szCs w:val="20"/>
                <w:color w:val="auto"/>
              </w:rPr>
            </w:pPr>
            <w:r>
              <w:rPr>
                <w:rFonts w:ascii="Arial" w:cs="Arial" w:eastAsia="Arial" w:hAnsi="Arial"/>
                <w:sz w:val="16"/>
                <w:szCs w:val="16"/>
                <w:color w:val="6D6D6D"/>
              </w:rPr>
              <w:t>Hotel</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13,219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13,162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37,221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37,532</w:t>
            </w:r>
          </w:p>
        </w:tc>
        <w:tc>
          <w:tcPr>
            <w:tcW w:w="0" w:type="dxa"/>
            <w:vAlign w:val="bottom"/>
          </w:tcPr>
          <w:p>
            <w:pPr>
              <w:spacing w:after="0"/>
              <w:rPr>
                <w:sz w:val="1"/>
                <w:szCs w:val="1"/>
                <w:color w:val="auto"/>
              </w:rPr>
            </w:pPr>
          </w:p>
        </w:tc>
      </w:tr>
      <w:tr>
        <w:trPr>
          <w:trHeight w:val="231"/>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Development and management services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9,792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9,317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26,632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27,938</w:t>
            </w:r>
          </w:p>
        </w:tc>
        <w:tc>
          <w:tcPr>
            <w:tcW w:w="0" w:type="dxa"/>
            <w:vAlign w:val="bottom"/>
          </w:tcPr>
          <w:p>
            <w:pPr>
              <w:spacing w:after="0"/>
              <w:rPr>
                <w:sz w:val="1"/>
                <w:szCs w:val="1"/>
                <w:color w:val="auto"/>
              </w:rPr>
            </w:pPr>
          </w:p>
        </w:tc>
      </w:tr>
      <w:tr>
        <w:trPr>
          <w:trHeight w:val="176"/>
        </w:trPr>
        <w:tc>
          <w:tcPr>
            <w:tcW w:w="6440" w:type="dxa"/>
            <w:vAlign w:val="bottom"/>
          </w:tcPr>
          <w:p>
            <w:pPr>
              <w:ind w:left="360"/>
              <w:spacing w:after="0" w:line="175" w:lineRule="exact"/>
              <w:rPr>
                <w:sz w:val="20"/>
                <w:szCs w:val="20"/>
                <w:color w:val="auto"/>
              </w:rPr>
            </w:pPr>
            <w:r>
              <w:rPr>
                <w:rFonts w:ascii="Arial" w:cs="Arial" w:eastAsia="Arial" w:hAnsi="Arial"/>
                <w:sz w:val="16"/>
                <w:szCs w:val="16"/>
                <w:color w:val="6D6D6D"/>
              </w:rPr>
              <w:t>Direct reimbursements of payroll and related costs from management services</w:t>
            </w:r>
          </w:p>
        </w:tc>
        <w:tc>
          <w:tcPr>
            <w:tcW w:w="22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6D6D6D"/>
              </w:rPr>
              <w:t>3,992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6D6D6D"/>
              </w:rPr>
              <w:t>3,821</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6D6D6D"/>
              </w:rPr>
              <w:t>12,763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6D6D6D"/>
              </w:rPr>
              <w:t>12,424</w:t>
            </w:r>
          </w:p>
        </w:tc>
        <w:tc>
          <w:tcPr>
            <w:tcW w:w="0" w:type="dxa"/>
            <w:vAlign w:val="bottom"/>
          </w:tcPr>
          <w:p>
            <w:pPr>
              <w:spacing w:after="0"/>
              <w:rPr>
                <w:sz w:val="1"/>
                <w:szCs w:val="1"/>
                <w:color w:val="auto"/>
              </w:rPr>
            </w:pPr>
          </w:p>
        </w:tc>
      </w:tr>
      <w:tr>
        <w:trPr>
          <w:trHeight w:val="215"/>
        </w:trPr>
        <w:tc>
          <w:tcPr>
            <w:tcW w:w="64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6D6D6D"/>
              </w:rPr>
              <w:t>contracts</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1120"/>
              <w:spacing w:after="0"/>
              <w:rPr>
                <w:sz w:val="20"/>
                <w:szCs w:val="20"/>
                <w:color w:val="auto"/>
              </w:rPr>
            </w:pPr>
            <w:r>
              <w:rPr>
                <w:rFonts w:ascii="Arial" w:cs="Arial" w:eastAsia="Arial" w:hAnsi="Arial"/>
                <w:sz w:val="16"/>
                <w:szCs w:val="16"/>
                <w:color w:val="6D6D6D"/>
              </w:rPr>
              <w:t>Total revenue</w:t>
            </w: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911,431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871,510</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2,679,278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2,605,182</w:t>
            </w:r>
          </w:p>
        </w:tc>
        <w:tc>
          <w:tcPr>
            <w:tcW w:w="0" w:type="dxa"/>
            <w:vAlign w:val="bottom"/>
          </w:tcPr>
          <w:p>
            <w:pPr>
              <w:spacing w:after="0"/>
              <w:rPr>
                <w:sz w:val="1"/>
                <w:szCs w:val="1"/>
                <w:color w:val="auto"/>
              </w:rPr>
            </w:pPr>
          </w:p>
        </w:tc>
      </w:tr>
      <w:tr>
        <w:trPr>
          <w:trHeight w:val="208"/>
        </w:trPr>
        <w:tc>
          <w:tcPr>
            <w:tcW w:w="6440" w:type="dxa"/>
            <w:vAlign w:val="bottom"/>
          </w:tcPr>
          <w:p>
            <w:pPr>
              <w:ind w:left="20"/>
              <w:spacing w:after="0"/>
              <w:rPr>
                <w:sz w:val="20"/>
                <w:szCs w:val="20"/>
                <w:color w:val="auto"/>
              </w:rPr>
            </w:pPr>
            <w:r>
              <w:rPr>
                <w:rFonts w:ascii="Arial" w:cs="Arial" w:eastAsia="Arial" w:hAnsi="Arial"/>
                <w:sz w:val="16"/>
                <w:szCs w:val="16"/>
                <w:color w:val="6D6D6D"/>
              </w:rPr>
              <w:t>Expenses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Operating</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6440" w:type="dxa"/>
            <w:vAlign w:val="bottom"/>
          </w:tcPr>
          <w:p>
            <w:pPr>
              <w:ind w:left="680"/>
              <w:spacing w:after="0"/>
              <w:rPr>
                <w:sz w:val="20"/>
                <w:szCs w:val="20"/>
                <w:color w:val="auto"/>
              </w:rPr>
            </w:pPr>
            <w:r>
              <w:rPr>
                <w:rFonts w:ascii="Arial" w:cs="Arial" w:eastAsia="Arial" w:hAnsi="Arial"/>
                <w:sz w:val="16"/>
                <w:szCs w:val="16"/>
                <w:color w:val="6D6D6D"/>
              </w:rPr>
              <w:t>Rental</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335,345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331,736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1,015,568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995,376</w:t>
            </w:r>
          </w:p>
        </w:tc>
        <w:tc>
          <w:tcPr>
            <w:tcW w:w="0" w:type="dxa"/>
            <w:vAlign w:val="bottom"/>
          </w:tcPr>
          <w:p>
            <w:pPr>
              <w:spacing w:after="0"/>
              <w:rPr>
                <w:sz w:val="1"/>
                <w:szCs w:val="1"/>
                <w:color w:val="auto"/>
              </w:rPr>
            </w:pPr>
          </w:p>
        </w:tc>
      </w:tr>
      <w:tr>
        <w:trPr>
          <w:trHeight w:val="231"/>
        </w:trPr>
        <w:tc>
          <w:tcPr>
            <w:tcW w:w="6440" w:type="dxa"/>
            <w:vAlign w:val="bottom"/>
            <w:shd w:val="clear" w:color="auto" w:fill="CCEEFF"/>
          </w:tcPr>
          <w:p>
            <w:pPr>
              <w:ind w:left="680"/>
              <w:spacing w:after="0"/>
              <w:rPr>
                <w:sz w:val="20"/>
                <w:szCs w:val="20"/>
                <w:color w:val="auto"/>
              </w:rPr>
            </w:pPr>
            <w:r>
              <w:rPr>
                <w:rFonts w:ascii="Arial" w:cs="Arial" w:eastAsia="Arial" w:hAnsi="Arial"/>
                <w:sz w:val="16"/>
                <w:szCs w:val="16"/>
                <w:color w:val="6D6D6D"/>
              </w:rPr>
              <w:t>Hotel</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9,925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9,628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27,276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26,558</w:t>
            </w:r>
          </w:p>
        </w:tc>
        <w:tc>
          <w:tcPr>
            <w:tcW w:w="0" w:type="dxa"/>
            <w:vAlign w:val="bottom"/>
          </w:tcPr>
          <w:p>
            <w:pPr>
              <w:spacing w:after="0"/>
              <w:rPr>
                <w:sz w:val="1"/>
                <w:szCs w:val="1"/>
                <w:color w:val="auto"/>
              </w:rPr>
            </w:pPr>
          </w:p>
        </w:tc>
      </w:tr>
      <w:tr>
        <w:trPr>
          <w:trHeight w:val="228"/>
        </w:trPr>
        <w:tc>
          <w:tcPr>
            <w:tcW w:w="6440" w:type="dxa"/>
            <w:vAlign w:val="bottom"/>
          </w:tcPr>
          <w:p>
            <w:pPr>
              <w:ind w:left="360"/>
              <w:spacing w:after="0"/>
              <w:rPr>
                <w:sz w:val="20"/>
                <w:szCs w:val="20"/>
                <w:color w:val="auto"/>
              </w:rPr>
            </w:pPr>
            <w:r>
              <w:rPr>
                <w:rFonts w:ascii="Arial" w:cs="Arial" w:eastAsia="Arial" w:hAnsi="Arial"/>
                <w:sz w:val="16"/>
                <w:szCs w:val="16"/>
                <w:color w:val="6D6D6D"/>
              </w:rPr>
              <w:t>General and administrative</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37,604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36,188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147,389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130,988</w:t>
            </w:r>
          </w:p>
        </w:tc>
        <w:tc>
          <w:tcPr>
            <w:tcW w:w="0" w:type="dxa"/>
            <w:vAlign w:val="bottom"/>
          </w:tcPr>
          <w:p>
            <w:pPr>
              <w:spacing w:after="0"/>
              <w:rPr>
                <w:sz w:val="1"/>
                <w:szCs w:val="1"/>
                <w:color w:val="auto"/>
              </w:rPr>
            </w:pPr>
          </w:p>
        </w:tc>
      </w:tr>
      <w:tr>
        <w:trPr>
          <w:trHeight w:val="231"/>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Payroll and related costs from management services contracts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3,992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3,821</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12,763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12,424</w:t>
            </w:r>
          </w:p>
        </w:tc>
        <w:tc>
          <w:tcPr>
            <w:tcW w:w="0" w:type="dxa"/>
            <w:vAlign w:val="bottom"/>
          </w:tcPr>
          <w:p>
            <w:pPr>
              <w:spacing w:after="0"/>
              <w:rPr>
                <w:sz w:val="1"/>
                <w:szCs w:val="1"/>
                <w:color w:val="auto"/>
              </w:rPr>
            </w:pPr>
          </w:p>
        </w:tc>
      </w:tr>
      <w:tr>
        <w:trPr>
          <w:trHeight w:val="228"/>
        </w:trPr>
        <w:tc>
          <w:tcPr>
            <w:tcW w:w="6440" w:type="dxa"/>
            <w:vAlign w:val="bottom"/>
          </w:tcPr>
          <w:p>
            <w:pPr>
              <w:ind w:left="360"/>
              <w:spacing w:after="0"/>
              <w:rPr>
                <w:sz w:val="20"/>
                <w:szCs w:val="20"/>
                <w:color w:val="auto"/>
              </w:rPr>
            </w:pPr>
            <w:r>
              <w:rPr>
                <w:rFonts w:ascii="Arial" w:cs="Arial" w:eastAsia="Arial" w:hAnsi="Arial"/>
                <w:sz w:val="16"/>
                <w:szCs w:val="16"/>
                <w:color w:val="6D6D6D"/>
              </w:rPr>
              <w:t>Transaction costs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101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1,431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168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2,556</w:t>
            </w:r>
          </w:p>
        </w:tc>
        <w:tc>
          <w:tcPr>
            <w:tcW w:w="0" w:type="dxa"/>
            <w:vAlign w:val="bottom"/>
          </w:tcPr>
          <w:p>
            <w:pPr>
              <w:spacing w:after="0"/>
              <w:rPr>
                <w:sz w:val="1"/>
                <w:szCs w:val="1"/>
                <w:color w:val="auto"/>
              </w:rPr>
            </w:pPr>
          </w:p>
        </w:tc>
      </w:tr>
      <w:tr>
        <w:trPr>
          <w:trHeight w:val="231"/>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Depreciation and amortization</w:t>
            </w: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228,679</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236,147</w:t>
            </w:r>
          </w:p>
        </w:tc>
        <w:tc>
          <w:tcPr>
            <w:tcW w:w="2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693,623</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680,073</w:t>
            </w:r>
          </w:p>
        </w:tc>
        <w:tc>
          <w:tcPr>
            <w:tcW w:w="0" w:type="dxa"/>
            <w:vAlign w:val="bottom"/>
          </w:tcPr>
          <w:p>
            <w:pPr>
              <w:spacing w:after="0"/>
              <w:rPr>
                <w:sz w:val="1"/>
                <w:szCs w:val="1"/>
                <w:color w:val="auto"/>
              </w:rPr>
            </w:pPr>
          </w:p>
        </w:tc>
      </w:tr>
      <w:tr>
        <w:trPr>
          <w:trHeight w:val="222"/>
        </w:trPr>
        <w:tc>
          <w:tcPr>
            <w:tcW w:w="6440" w:type="dxa"/>
            <w:vAlign w:val="bottom"/>
            <w:tcBorders>
              <w:bottom w:val="single" w:sz="8" w:color="CCEEFF"/>
            </w:tcBorders>
          </w:tcPr>
          <w:p>
            <w:pPr>
              <w:ind w:left="1120"/>
              <w:spacing w:after="0"/>
              <w:rPr>
                <w:sz w:val="20"/>
                <w:szCs w:val="20"/>
                <w:color w:val="auto"/>
              </w:rPr>
            </w:pPr>
            <w:r>
              <w:rPr>
                <w:rFonts w:ascii="Arial" w:cs="Arial" w:eastAsia="Arial" w:hAnsi="Arial"/>
                <w:sz w:val="16"/>
                <w:szCs w:val="16"/>
                <w:color w:val="6D6D6D"/>
              </w:rPr>
              <w:t>Total expenses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615,646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618,951</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1,896,787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1,847,975</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Other income (expense)</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40" w:type="dxa"/>
            <w:vAlign w:val="bottom"/>
          </w:tcPr>
          <w:p>
            <w:pPr>
              <w:ind w:left="360"/>
              <w:spacing w:after="0"/>
              <w:rPr>
                <w:sz w:val="20"/>
                <w:szCs w:val="20"/>
                <w:color w:val="auto"/>
              </w:rPr>
            </w:pPr>
            <w:r>
              <w:rPr>
                <w:rFonts w:ascii="Arial" w:cs="Arial" w:eastAsia="Arial" w:hAnsi="Arial"/>
                <w:sz w:val="16"/>
                <w:szCs w:val="16"/>
                <w:color w:val="6D6D6D"/>
              </w:rPr>
              <w:t>Income (loss) from unconsolidated joint ventures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1,145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(148,329)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34,110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(153,792)</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Gains on sales of real estate</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10,441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1,932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30,840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20,322</w:t>
            </w:r>
          </w:p>
        </w:tc>
        <w:tc>
          <w:tcPr>
            <w:tcW w:w="0" w:type="dxa"/>
            <w:vAlign w:val="bottom"/>
          </w:tcPr>
          <w:p>
            <w:pPr>
              <w:spacing w:after="0"/>
              <w:rPr>
                <w:sz w:val="1"/>
                <w:szCs w:val="1"/>
                <w:color w:val="auto"/>
              </w:rPr>
            </w:pPr>
          </w:p>
        </w:tc>
      </w:tr>
      <w:tr>
        <w:trPr>
          <w:trHeight w:val="228"/>
        </w:trPr>
        <w:tc>
          <w:tcPr>
            <w:tcW w:w="6440" w:type="dxa"/>
            <w:vAlign w:val="bottom"/>
          </w:tcPr>
          <w:p>
            <w:pPr>
              <w:ind w:left="360"/>
              <w:spacing w:after="0"/>
              <w:rPr>
                <w:sz w:val="20"/>
                <w:szCs w:val="20"/>
                <w:color w:val="auto"/>
              </w:rPr>
            </w:pPr>
            <w:r>
              <w:rPr>
                <w:rFonts w:ascii="Arial" w:cs="Arial" w:eastAsia="Arial" w:hAnsi="Arial"/>
                <w:sz w:val="16"/>
                <w:szCs w:val="16"/>
                <w:color w:val="6D6D6D"/>
              </w:rPr>
              <w:t>Loss on sales-type lease</w:t>
            </w:r>
          </w:p>
        </w:tc>
        <w:tc>
          <w:tcPr>
            <w:tcW w:w="2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6D6D6D"/>
              </w:rPr>
              <w:t>—</w:t>
            </w:r>
          </w:p>
        </w:tc>
        <w:tc>
          <w:tcPr>
            <w:tcW w:w="24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6D6D6D"/>
              </w:rPr>
              <w:t>—</w:t>
            </w:r>
          </w:p>
        </w:tc>
        <w:tc>
          <w:tcPr>
            <w:tcW w:w="1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6D6D6D"/>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(2,490)</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Interest and other income</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7,608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7,620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22,630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23,433</w:t>
            </w:r>
          </w:p>
        </w:tc>
        <w:tc>
          <w:tcPr>
            <w:tcW w:w="0" w:type="dxa"/>
            <w:vAlign w:val="bottom"/>
          </w:tcPr>
          <w:p>
            <w:pPr>
              <w:spacing w:after="0"/>
              <w:rPr>
                <w:sz w:val="1"/>
                <w:szCs w:val="1"/>
                <w:color w:val="auto"/>
              </w:rPr>
            </w:pPr>
          </w:p>
        </w:tc>
      </w:tr>
      <w:tr>
        <w:trPr>
          <w:trHeight w:val="228"/>
        </w:trPr>
        <w:tc>
          <w:tcPr>
            <w:tcW w:w="6440" w:type="dxa"/>
            <w:vAlign w:val="bottom"/>
          </w:tcPr>
          <w:p>
            <w:pPr>
              <w:ind w:left="360"/>
              <w:spacing w:after="0"/>
              <w:rPr>
                <w:sz w:val="20"/>
                <w:szCs w:val="20"/>
                <w:color w:val="auto"/>
              </w:rPr>
            </w:pPr>
            <w:r>
              <w:rPr>
                <w:rFonts w:ascii="Arial" w:cs="Arial" w:eastAsia="Arial" w:hAnsi="Arial"/>
                <w:sz w:val="16"/>
                <w:szCs w:val="16"/>
                <w:color w:val="6D6D6D"/>
              </w:rPr>
              <w:t>Gains (losses) from investments in securities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6D6D6D"/>
              </w:rPr>
              <w:t>(744)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2,400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3,075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4,635</w:t>
            </w:r>
          </w:p>
        </w:tc>
        <w:tc>
          <w:tcPr>
            <w:tcW w:w="0" w:type="dxa"/>
            <w:vAlign w:val="bottom"/>
          </w:tcPr>
          <w:p>
            <w:pPr>
              <w:spacing w:after="0"/>
              <w:rPr>
                <w:sz w:val="1"/>
                <w:szCs w:val="1"/>
                <w:color w:val="auto"/>
              </w:rPr>
            </w:pPr>
          </w:p>
        </w:tc>
      </w:tr>
      <w:tr>
        <w:trPr>
          <w:trHeight w:val="231"/>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Unrealized gain (loss) on non-real estate investments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386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178</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499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(344)</w:t>
            </w:r>
          </w:p>
        </w:tc>
        <w:tc>
          <w:tcPr>
            <w:tcW w:w="0" w:type="dxa"/>
            <w:vAlign w:val="bottom"/>
          </w:tcPr>
          <w:p>
            <w:pPr>
              <w:spacing w:after="0"/>
              <w:rPr>
                <w:sz w:val="1"/>
                <w:szCs w:val="1"/>
                <w:color w:val="auto"/>
              </w:rPr>
            </w:pPr>
          </w:p>
        </w:tc>
      </w:tr>
      <w:tr>
        <w:trPr>
          <w:trHeight w:val="228"/>
        </w:trPr>
        <w:tc>
          <w:tcPr>
            <w:tcW w:w="6440" w:type="dxa"/>
            <w:vAlign w:val="bottom"/>
          </w:tcPr>
          <w:p>
            <w:pPr>
              <w:ind w:left="360"/>
              <w:spacing w:after="0"/>
              <w:rPr>
                <w:sz w:val="20"/>
                <w:szCs w:val="20"/>
                <w:color w:val="auto"/>
              </w:rPr>
            </w:pPr>
            <w:r>
              <w:rPr>
                <w:rFonts w:ascii="Arial" w:cs="Arial" w:eastAsia="Arial" w:hAnsi="Arial"/>
                <w:sz w:val="16"/>
                <w:szCs w:val="16"/>
                <w:color w:val="6D6D6D"/>
              </w:rPr>
              <w:t>Impairment losses</w:t>
            </w:r>
          </w:p>
        </w:tc>
        <w:tc>
          <w:tcPr>
            <w:tcW w:w="22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6D6D6D"/>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(68,901)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6D6D6D"/>
              </w:rPr>
              <w:t>(18,036)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6D6D6D"/>
              </w:rPr>
              <w:t>(68,901)</w:t>
            </w: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Loss from early extinguishment of debt</w:t>
            </w:r>
          </w:p>
        </w:tc>
        <w:tc>
          <w:tcPr>
            <w:tcW w:w="2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6D6D6D"/>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6D6D6D"/>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6D6D6D"/>
              </w:rPr>
              <w:t>—</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(338)</w:t>
            </w:r>
          </w:p>
        </w:tc>
        <w:tc>
          <w:tcPr>
            <w:tcW w:w="0" w:type="dxa"/>
            <w:vAlign w:val="bottom"/>
          </w:tcPr>
          <w:p>
            <w:pPr>
              <w:spacing w:after="0"/>
              <w:rPr>
                <w:sz w:val="1"/>
                <w:szCs w:val="1"/>
                <w:color w:val="auto"/>
              </w:rPr>
            </w:pPr>
          </w:p>
        </w:tc>
      </w:tr>
      <w:tr>
        <w:trPr>
          <w:trHeight w:val="229"/>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6D6D6D"/>
              </w:rPr>
              <w:t>Interest expense</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(159,127)</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(164,299)</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(464,645)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(490,526)</w:t>
            </w:r>
          </w:p>
        </w:tc>
        <w:tc>
          <w:tcPr>
            <w:tcW w:w="0" w:type="dxa"/>
            <w:vAlign w:val="bottom"/>
          </w:tcPr>
          <w:p>
            <w:pPr>
              <w:spacing w:after="0"/>
              <w:rPr>
                <w:sz w:val="1"/>
                <w:szCs w:val="1"/>
                <w:color w:val="auto"/>
              </w:rPr>
            </w:pPr>
          </w:p>
        </w:tc>
      </w:tr>
      <w:tr>
        <w:trPr>
          <w:trHeight w:val="224"/>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Net income (loss)</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155,494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(116,840)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390,964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89,206</w:t>
            </w:r>
          </w:p>
        </w:tc>
        <w:tc>
          <w:tcPr>
            <w:tcW w:w="0" w:type="dxa"/>
            <w:vAlign w:val="bottom"/>
          </w:tcPr>
          <w:p>
            <w:pPr>
              <w:spacing w:after="0"/>
              <w:rPr>
                <w:sz w:val="1"/>
                <w:szCs w:val="1"/>
                <w:color w:val="auto"/>
              </w:rPr>
            </w:pPr>
          </w:p>
        </w:tc>
      </w:tr>
      <w:tr>
        <w:trPr>
          <w:trHeight w:val="229"/>
        </w:trPr>
        <w:tc>
          <w:tcPr>
            <w:tcW w:w="6440" w:type="dxa"/>
            <w:vAlign w:val="bottom"/>
          </w:tcPr>
          <w:p>
            <w:pPr>
              <w:ind w:left="20"/>
              <w:spacing w:after="0"/>
              <w:rPr>
                <w:sz w:val="20"/>
                <w:szCs w:val="20"/>
                <w:color w:val="auto"/>
              </w:rPr>
            </w:pPr>
            <w:r>
              <w:rPr>
                <w:rFonts w:ascii="Arial" w:cs="Arial" w:eastAsia="Arial" w:hAnsi="Arial"/>
                <w:sz w:val="16"/>
                <w:szCs w:val="16"/>
                <w:color w:val="6D6D6D"/>
              </w:rPr>
              <w:t>Net (income) loss attributable to noncontrolling interests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Noncontrolling interests in property partnerships</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(28,692)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(17,853)</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(74,682)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6D6D6D"/>
              </w:rPr>
              <w:t>(56,702)</w:t>
            </w:r>
          </w:p>
        </w:tc>
        <w:tc>
          <w:tcPr>
            <w:tcW w:w="0" w:type="dxa"/>
            <w:vAlign w:val="bottom"/>
          </w:tcPr>
          <w:p>
            <w:pPr>
              <w:spacing w:after="0"/>
              <w:rPr>
                <w:sz w:val="1"/>
                <w:szCs w:val="1"/>
                <w:color w:val="auto"/>
              </w:rPr>
            </w:pPr>
          </w:p>
        </w:tc>
      </w:tr>
      <w:tr>
        <w:trPr>
          <w:trHeight w:val="228"/>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6D6D6D"/>
              </w:rPr>
              <w:t>Noncontrolling interest—common units of the Operating Partnership</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(12,320)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12,981</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(31,676)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(4,054)</w:t>
            </w:r>
          </w:p>
        </w:tc>
        <w:tc>
          <w:tcPr>
            <w:tcW w:w="0" w:type="dxa"/>
            <w:vAlign w:val="bottom"/>
          </w:tcPr>
          <w:p>
            <w:pPr>
              <w:spacing w:after="0"/>
              <w:rPr>
                <w:sz w:val="1"/>
                <w:szCs w:val="1"/>
                <w:color w:val="auto"/>
              </w:rPr>
            </w:pPr>
          </w:p>
        </w:tc>
      </w:tr>
      <w:tr>
        <w:trPr>
          <w:trHeight w:val="24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6D6D6D"/>
              </w:rPr>
              <w:t>Net income (loss) attributable to BXP, Inc.</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6D6D6D"/>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114,482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6D6D6D"/>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(121,712)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284,606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28,450</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6D6D6D"/>
              </w:rPr>
              <w:t>Basic earnings per common share attributable to BXP, Inc.</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40" w:type="dxa"/>
            <w:vAlign w:val="bottom"/>
            <w:shd w:val="clear" w:color="auto" w:fill="CCEEFF"/>
          </w:tcPr>
          <w:p>
            <w:pPr>
              <w:ind w:left="360"/>
              <w:spacing w:after="0"/>
              <w:rPr>
                <w:sz w:val="20"/>
                <w:szCs w:val="20"/>
                <w:color w:val="auto"/>
              </w:rPr>
            </w:pPr>
            <w:r>
              <w:rPr>
                <w:rFonts w:ascii="Arial" w:cs="Arial" w:eastAsia="Arial" w:hAnsi="Arial"/>
                <w:sz w:val="16"/>
                <w:szCs w:val="16"/>
                <w:color w:val="6D6D6D"/>
              </w:rPr>
              <w:t>Net income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6D6D6D"/>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0.72</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6D6D6D"/>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(0.77)</w:t>
            </w:r>
          </w:p>
        </w:tc>
        <w:tc>
          <w:tcPr>
            <w:tcW w:w="2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1.79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6D6D6D"/>
              </w:rPr>
              <w:t>0.18</w:t>
            </w:r>
          </w:p>
        </w:tc>
        <w:tc>
          <w:tcPr>
            <w:tcW w:w="0" w:type="dxa"/>
            <w:vAlign w:val="bottom"/>
          </w:tcPr>
          <w:p>
            <w:pPr>
              <w:spacing w:after="0"/>
              <w:rPr>
                <w:sz w:val="1"/>
                <w:szCs w:val="1"/>
                <w:color w:val="auto"/>
              </w:rPr>
            </w:pPr>
          </w:p>
        </w:tc>
      </w:tr>
      <w:tr>
        <w:trPr>
          <w:trHeight w:val="222"/>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6D6D6D"/>
              </w:rPr>
              <w:t>Weighted average number of common shares outstanding</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159,585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158,345</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159,106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158,287</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Diluted earnings per common share attributable to BXP, Inc.</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4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6D6D6D"/>
              </w:rPr>
              <w:t>Net income (loss)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6D6D6D"/>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0.71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6D6D6D"/>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(0.77)</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1.78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0.18</w:t>
            </w:r>
          </w:p>
        </w:tc>
        <w:tc>
          <w:tcPr>
            <w:tcW w:w="0" w:type="dxa"/>
            <w:vAlign w:val="bottom"/>
          </w:tcPr>
          <w:p>
            <w:pPr>
              <w:spacing w:after="0"/>
              <w:rPr>
                <w:sz w:val="1"/>
                <w:szCs w:val="1"/>
                <w:color w:val="auto"/>
              </w:rPr>
            </w:pPr>
          </w:p>
        </w:tc>
      </w:tr>
      <w:tr>
        <w:trPr>
          <w:trHeight w:val="157"/>
        </w:trPr>
        <w:tc>
          <w:tcPr>
            <w:tcW w:w="6440" w:type="dxa"/>
            <w:vAlign w:val="bottom"/>
            <w:shd w:val="clear" w:color="auto" w:fill="CCEEFF"/>
          </w:tcPr>
          <w:p>
            <w:pPr>
              <w:ind w:left="360"/>
              <w:spacing w:after="0" w:line="157" w:lineRule="exact"/>
              <w:rPr>
                <w:sz w:val="20"/>
                <w:szCs w:val="20"/>
                <w:color w:val="auto"/>
              </w:rPr>
            </w:pPr>
            <w:r>
              <w:rPr>
                <w:rFonts w:ascii="Arial" w:cs="Arial" w:eastAsia="Arial" w:hAnsi="Arial"/>
                <w:sz w:val="16"/>
                <w:szCs w:val="16"/>
                <w:color w:val="6D6D6D"/>
              </w:rPr>
              <w:t>Weighted average number of common and common equivalent shares</w:t>
            </w:r>
          </w:p>
        </w:tc>
        <w:tc>
          <w:tcPr>
            <w:tcW w:w="2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6D6D6D"/>
              </w:rPr>
              <w:t>160,109</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6D6D6D"/>
              </w:rPr>
              <w:t>158,345</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6D6D6D"/>
              </w:rPr>
              <w:t>159,601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6D6D6D"/>
              </w:rPr>
              <w:t>158,787</w:t>
            </w:r>
          </w:p>
        </w:tc>
        <w:tc>
          <w:tcPr>
            <w:tcW w:w="0" w:type="dxa"/>
            <w:vAlign w:val="bottom"/>
          </w:tcPr>
          <w:p>
            <w:pPr>
              <w:spacing w:after="0"/>
              <w:rPr>
                <w:sz w:val="1"/>
                <w:szCs w:val="1"/>
                <w:color w:val="auto"/>
              </w:rPr>
            </w:pPr>
          </w:p>
        </w:tc>
      </w:tr>
      <w:tr>
        <w:trPr>
          <w:trHeight w:val="215"/>
        </w:trPr>
        <w:tc>
          <w:tcPr>
            <w:tcW w:w="6440" w:type="dxa"/>
            <w:vAlign w:val="bottom"/>
            <w:shd w:val="clear" w:color="auto" w:fill="CCEEFF"/>
          </w:tcPr>
          <w:p>
            <w:pPr>
              <w:ind w:left="600"/>
              <w:spacing w:after="0"/>
              <w:rPr>
                <w:sz w:val="20"/>
                <w:szCs w:val="20"/>
                <w:color w:val="auto"/>
              </w:rPr>
            </w:pPr>
            <w:r>
              <w:rPr>
                <w:rFonts w:ascii="Arial" w:cs="Arial" w:eastAsia="Arial" w:hAnsi="Arial"/>
                <w:sz w:val="16"/>
                <w:szCs w:val="16"/>
                <w:color w:val="6D6D6D"/>
              </w:rPr>
              <w:t>outstanding</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769" w:right="35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6D6D6D"/>
        </w:rPr>
        <w:t>BXP, INC.</w:t>
      </w:r>
    </w:p>
    <w:p>
      <w:pPr>
        <w:jc w:val="center"/>
        <w:ind w:right="-19"/>
        <w:spacing w:after="0" w:line="220" w:lineRule="auto"/>
        <w:rPr>
          <w:sz w:val="20"/>
          <w:szCs w:val="20"/>
          <w:color w:val="auto"/>
        </w:rPr>
      </w:pPr>
      <w:r>
        <w:rPr>
          <w:rFonts w:ascii="Arial" w:cs="Arial" w:eastAsia="Arial" w:hAnsi="Arial"/>
          <w:sz w:val="18"/>
          <w:szCs w:val="18"/>
          <w:b w:val="1"/>
          <w:bCs w:val="1"/>
          <w:color w:val="6D6D6D"/>
        </w:rPr>
        <w:t xml:space="preserve">FUNDS FROM OPERATIONS </w:t>
      </w:r>
      <w:r>
        <w:rPr>
          <w:rFonts w:ascii="Arial" w:cs="Arial" w:eastAsia="Arial" w:hAnsi="Arial"/>
          <w:sz w:val="23"/>
          <w:szCs w:val="23"/>
          <w:b w:val="1"/>
          <w:bCs w:val="1"/>
          <w:color w:val="6D6D6D"/>
          <w:vertAlign w:val="superscript"/>
        </w:rPr>
        <w:t>(1)</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D6D6D"/>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2720" w:type="dxa"/>
            <w:vAlign w:val="bottom"/>
            <w:gridSpan w:val="7"/>
          </w:tcPr>
          <w:p>
            <w:pPr>
              <w:ind w:left="20"/>
              <w:spacing w:after="0"/>
              <w:rPr>
                <w:sz w:val="20"/>
                <w:szCs w:val="20"/>
                <w:color w:val="auto"/>
              </w:rPr>
            </w:pPr>
            <w:r>
              <w:rPr>
                <w:rFonts w:ascii="Arial" w:cs="Arial" w:eastAsia="Arial" w:hAnsi="Arial"/>
                <w:sz w:val="16"/>
                <w:szCs w:val="16"/>
                <w:b w:val="1"/>
                <w:bCs w:val="1"/>
                <w:color w:val="6D6D6D"/>
              </w:rPr>
              <w:t>Three months ended September</w:t>
            </w:r>
          </w:p>
        </w:tc>
        <w:tc>
          <w:tcPr>
            <w:tcW w:w="2500" w:type="dxa"/>
            <w:vAlign w:val="bottom"/>
            <w:gridSpan w:val="6"/>
          </w:tcPr>
          <w:p>
            <w:pPr>
              <w:jc w:val="right"/>
              <w:spacing w:after="0"/>
              <w:rPr>
                <w:sz w:val="20"/>
                <w:szCs w:val="20"/>
                <w:color w:val="auto"/>
              </w:rPr>
            </w:pPr>
            <w:r>
              <w:rPr>
                <w:rFonts w:ascii="Arial" w:cs="Arial" w:eastAsia="Arial" w:hAnsi="Arial"/>
                <w:sz w:val="16"/>
                <w:szCs w:val="16"/>
                <w:b w:val="1"/>
                <w:bCs w:val="1"/>
                <w:color w:val="6D6D6D"/>
              </w:rPr>
              <w:t>Nine months ended September</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6D6D6D"/>
              </w:rPr>
              <w:t>30,</w:t>
            </w:r>
          </w:p>
        </w:tc>
        <w:tc>
          <w:tcPr>
            <w:tcW w:w="96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6"/>
                <w:szCs w:val="16"/>
                <w:b w:val="1"/>
                <w:bCs w:val="1"/>
                <w:color w:val="6D6D6D"/>
              </w:rPr>
              <w:t>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6D6D6D"/>
              </w:rPr>
              <w:t>2026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6D6D6D"/>
              </w:rPr>
              <w:t>2025</w:t>
            </w: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6D6D6D"/>
              </w:rPr>
              <w:t>2026</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6D6D6D"/>
              </w:rPr>
              <w:t>2025</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140" w:type="dxa"/>
            <w:vAlign w:val="bottom"/>
            <w:gridSpan w:val="11"/>
          </w:tcPr>
          <w:p>
            <w:pPr>
              <w:jc w:val="right"/>
              <w:ind w:right="40"/>
              <w:spacing w:after="0"/>
              <w:rPr>
                <w:sz w:val="20"/>
                <w:szCs w:val="20"/>
                <w:color w:val="auto"/>
              </w:rPr>
            </w:pPr>
            <w:r>
              <w:rPr>
                <w:rFonts w:ascii="Arial" w:cs="Arial" w:eastAsia="Arial" w:hAnsi="Arial"/>
                <w:sz w:val="16"/>
                <w:szCs w:val="16"/>
                <w:b w:val="1"/>
                <w:bCs w:val="1"/>
                <w:color w:val="6D6D6D"/>
              </w:rPr>
              <w:t>(in thousands, except for per share amounts)</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Net income (loss) attributable to BXP, Inc.</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114,482</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6D6D6D"/>
              </w:rPr>
              <w:t>$</w:t>
            </w: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6D6D6D"/>
              </w:rPr>
              <w:t>(121,712)</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6D6D6D"/>
                <w:w w:val="8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284,606</w:t>
            </w: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6D6D6D"/>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28,450</w:t>
            </w:r>
          </w:p>
        </w:tc>
        <w:tc>
          <w:tcPr>
            <w:tcW w:w="0" w:type="dxa"/>
            <w:vAlign w:val="bottom"/>
          </w:tcPr>
          <w:p>
            <w:pPr>
              <w:spacing w:after="0"/>
              <w:rPr>
                <w:sz w:val="1"/>
                <w:szCs w:val="1"/>
                <w:color w:val="auto"/>
              </w:rPr>
            </w:pPr>
          </w:p>
        </w:tc>
      </w:tr>
      <w:tr>
        <w:trPr>
          <w:trHeight w:val="228"/>
        </w:trPr>
        <w:tc>
          <w:tcPr>
            <w:tcW w:w="6000" w:type="dxa"/>
            <w:vAlign w:val="bottom"/>
          </w:tcPr>
          <w:p>
            <w:pPr>
              <w:ind w:left="20"/>
              <w:spacing w:after="0"/>
              <w:rPr>
                <w:sz w:val="20"/>
                <w:szCs w:val="20"/>
                <w:color w:val="auto"/>
              </w:rPr>
            </w:pPr>
            <w:r>
              <w:rPr>
                <w:rFonts w:ascii="Arial" w:cs="Arial" w:eastAsia="Arial" w:hAnsi="Arial"/>
                <w:sz w:val="16"/>
                <w:szCs w:val="16"/>
                <w:color w:val="6D6D6D"/>
              </w:rPr>
              <w:t>Add:</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60"/>
              <w:spacing w:after="0"/>
              <w:rPr>
                <w:sz w:val="20"/>
                <w:szCs w:val="20"/>
                <w:color w:val="auto"/>
              </w:rPr>
            </w:pPr>
            <w:r>
              <w:rPr>
                <w:rFonts w:ascii="Arial" w:cs="Arial" w:eastAsia="Arial" w:hAnsi="Arial"/>
                <w:sz w:val="16"/>
                <w:szCs w:val="16"/>
                <w:color w:val="6D6D6D"/>
              </w:rPr>
              <w:t>Noncontrolling interest - common units of the Operating Partnership</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12,320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6D6D6D"/>
              </w:rPr>
              <w:t>(12,981)</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31,676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4,054</w:t>
            </w:r>
          </w:p>
        </w:tc>
        <w:tc>
          <w:tcPr>
            <w:tcW w:w="0" w:type="dxa"/>
            <w:vAlign w:val="bottom"/>
          </w:tcPr>
          <w:p>
            <w:pPr>
              <w:spacing w:after="0"/>
              <w:rPr>
                <w:sz w:val="1"/>
                <w:szCs w:val="1"/>
                <w:color w:val="auto"/>
              </w:rPr>
            </w:pPr>
          </w:p>
        </w:tc>
      </w:tr>
      <w:tr>
        <w:trPr>
          <w:trHeight w:val="228"/>
        </w:trPr>
        <w:tc>
          <w:tcPr>
            <w:tcW w:w="60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6D6D6D"/>
              </w:rPr>
              <w:t>Noncontrolling interests in property partnerships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6D6D6D"/>
              </w:rPr>
              <w:t>28,692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6D6D6D"/>
              </w:rPr>
              <w:t>17,853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6D6D6D"/>
              </w:rPr>
              <w:t>74,682</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6D6D6D"/>
              </w:rPr>
              <w:t>56,702</w:t>
            </w:r>
          </w:p>
        </w:tc>
        <w:tc>
          <w:tcPr>
            <w:tcW w:w="0" w:type="dxa"/>
            <w:vAlign w:val="bottom"/>
          </w:tcPr>
          <w:p>
            <w:pPr>
              <w:spacing w:after="0"/>
              <w:rPr>
                <w:sz w:val="1"/>
                <w:szCs w:val="1"/>
                <w:color w:val="auto"/>
              </w:rPr>
            </w:pPr>
          </w:p>
        </w:tc>
      </w:tr>
      <w:tr>
        <w:trPr>
          <w:trHeight w:val="224"/>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Net income (loss)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155,494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6D6D6D"/>
              </w:rPr>
              <w:t>(116,840)</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390,964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89,206</w:t>
            </w:r>
          </w:p>
        </w:tc>
        <w:tc>
          <w:tcPr>
            <w:tcW w:w="0" w:type="dxa"/>
            <w:vAlign w:val="bottom"/>
          </w:tcPr>
          <w:p>
            <w:pPr>
              <w:spacing w:after="0"/>
              <w:rPr>
                <w:sz w:val="1"/>
                <w:szCs w:val="1"/>
                <w:color w:val="auto"/>
              </w:rPr>
            </w:pPr>
          </w:p>
        </w:tc>
      </w:tr>
      <w:tr>
        <w:trPr>
          <w:trHeight w:val="228"/>
        </w:trPr>
        <w:tc>
          <w:tcPr>
            <w:tcW w:w="6000" w:type="dxa"/>
            <w:vAlign w:val="bottom"/>
          </w:tcPr>
          <w:p>
            <w:pPr>
              <w:ind w:left="20"/>
              <w:spacing w:after="0"/>
              <w:rPr>
                <w:sz w:val="20"/>
                <w:szCs w:val="20"/>
                <w:color w:val="auto"/>
              </w:rPr>
            </w:pPr>
            <w:r>
              <w:rPr>
                <w:rFonts w:ascii="Arial" w:cs="Arial" w:eastAsia="Arial" w:hAnsi="Arial"/>
                <w:sz w:val="16"/>
                <w:szCs w:val="16"/>
                <w:color w:val="6D6D6D"/>
              </w:rPr>
              <w:t>Add:</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00" w:type="dxa"/>
            <w:vAlign w:val="bottom"/>
            <w:shd w:val="clear" w:color="auto" w:fill="CCEEFF"/>
          </w:tcPr>
          <w:p>
            <w:pPr>
              <w:ind w:left="260"/>
              <w:spacing w:after="0"/>
              <w:rPr>
                <w:sz w:val="20"/>
                <w:szCs w:val="20"/>
                <w:color w:val="auto"/>
              </w:rPr>
            </w:pPr>
            <w:r>
              <w:rPr>
                <w:rFonts w:ascii="Arial" w:cs="Arial" w:eastAsia="Arial" w:hAnsi="Arial"/>
                <w:sz w:val="16"/>
                <w:szCs w:val="16"/>
                <w:color w:val="6D6D6D"/>
              </w:rPr>
              <w:t>Depreciation and amortization expense</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228,679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236,147</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693,623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680,073</w:t>
            </w:r>
          </w:p>
        </w:tc>
        <w:tc>
          <w:tcPr>
            <w:tcW w:w="0" w:type="dxa"/>
            <w:vAlign w:val="bottom"/>
          </w:tcPr>
          <w:p>
            <w:pPr>
              <w:spacing w:after="0"/>
              <w:rPr>
                <w:sz w:val="1"/>
                <w:szCs w:val="1"/>
                <w:color w:val="auto"/>
              </w:rPr>
            </w:pPr>
          </w:p>
        </w:tc>
      </w:tr>
      <w:tr>
        <w:trPr>
          <w:trHeight w:val="176"/>
        </w:trPr>
        <w:tc>
          <w:tcPr>
            <w:tcW w:w="6000" w:type="dxa"/>
            <w:vAlign w:val="bottom"/>
          </w:tcPr>
          <w:p>
            <w:pPr>
              <w:ind w:left="260"/>
              <w:spacing w:after="0" w:line="175" w:lineRule="exact"/>
              <w:rPr>
                <w:sz w:val="20"/>
                <w:szCs w:val="20"/>
                <w:color w:val="auto"/>
              </w:rPr>
            </w:pPr>
            <w:r>
              <w:rPr>
                <w:rFonts w:ascii="Arial" w:cs="Arial" w:eastAsia="Arial" w:hAnsi="Arial"/>
                <w:sz w:val="16"/>
                <w:szCs w:val="16"/>
                <w:color w:val="6D6D6D"/>
              </w:rPr>
              <w:t>Noncontrolling interests in property partnerships’ share of depreciation and</w:t>
            </w:r>
          </w:p>
        </w:tc>
        <w:tc>
          <w:tcPr>
            <w:tcW w:w="26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6D6D6D"/>
              </w:rPr>
              <w:t>(23,901)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79"/>
              <w:spacing w:after="0"/>
              <w:rPr>
                <w:sz w:val="20"/>
                <w:szCs w:val="20"/>
                <w:color w:val="auto"/>
              </w:rPr>
            </w:pPr>
            <w:r>
              <w:rPr>
                <w:rFonts w:ascii="Arial" w:cs="Arial" w:eastAsia="Arial" w:hAnsi="Arial"/>
                <w:sz w:val="16"/>
                <w:szCs w:val="16"/>
                <w:color w:val="6D6D6D"/>
              </w:rPr>
              <w:t>(22,615)</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6D6D6D"/>
              </w:rPr>
              <w:t>(68,108)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restart"/>
          </w:tcPr>
          <w:p>
            <w:pPr>
              <w:jc w:val="right"/>
              <w:ind w:right="79"/>
              <w:spacing w:after="0"/>
              <w:rPr>
                <w:sz w:val="20"/>
                <w:szCs w:val="20"/>
                <w:color w:val="auto"/>
              </w:rPr>
            </w:pPr>
            <w:r>
              <w:rPr>
                <w:rFonts w:ascii="Arial" w:cs="Arial" w:eastAsia="Arial" w:hAnsi="Arial"/>
                <w:sz w:val="16"/>
                <w:szCs w:val="16"/>
                <w:color w:val="6D6D6D"/>
              </w:rPr>
              <w:t>(64,024)</w:t>
            </w:r>
          </w:p>
        </w:tc>
        <w:tc>
          <w:tcPr>
            <w:tcW w:w="0" w:type="dxa"/>
            <w:vAlign w:val="bottom"/>
          </w:tcPr>
          <w:p>
            <w:pPr>
              <w:spacing w:after="0"/>
              <w:rPr>
                <w:sz w:val="1"/>
                <w:szCs w:val="1"/>
                <w:color w:val="auto"/>
              </w:rPr>
            </w:pPr>
          </w:p>
        </w:tc>
      </w:tr>
      <w:tr>
        <w:trPr>
          <w:trHeight w:val="215"/>
        </w:trPr>
        <w:tc>
          <w:tcPr>
            <w:tcW w:w="6000" w:type="dxa"/>
            <w:vAlign w:val="bottom"/>
          </w:tcPr>
          <w:p>
            <w:pPr>
              <w:ind w:left="520"/>
              <w:spacing w:after="0"/>
              <w:rPr>
                <w:sz w:val="20"/>
                <w:szCs w:val="20"/>
                <w:color w:val="auto"/>
              </w:rPr>
            </w:pPr>
            <w:r>
              <w:rPr>
                <w:rFonts w:ascii="Arial" w:cs="Arial" w:eastAsia="Arial" w:hAnsi="Arial"/>
                <w:sz w:val="16"/>
                <w:szCs w:val="16"/>
                <w:color w:val="6D6D6D"/>
              </w:rPr>
              <w:t>amortization</w:t>
            </w: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260"/>
              <w:spacing w:after="0" w:line="176" w:lineRule="exact"/>
              <w:rPr>
                <w:sz w:val="20"/>
                <w:szCs w:val="20"/>
                <w:color w:val="auto"/>
              </w:rPr>
            </w:pPr>
            <w:r>
              <w:rPr>
                <w:rFonts w:ascii="Arial" w:cs="Arial" w:eastAsia="Arial" w:hAnsi="Arial"/>
                <w:sz w:val="16"/>
                <w:szCs w:val="16"/>
                <w:color w:val="6D6D6D"/>
              </w:rPr>
              <w:t>Company’s share of depreciation and amortization from unconsolidated joint</w:t>
            </w: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6D6D6D"/>
              </w:rPr>
              <w:t>12,047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6D6D6D"/>
              </w:rPr>
              <w:t>17,272</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6D6D6D"/>
              </w:rPr>
              <w:t>38,269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6D6D6D"/>
              </w:rPr>
              <w:t>51,273</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520"/>
              <w:spacing w:after="0"/>
              <w:rPr>
                <w:sz w:val="20"/>
                <w:szCs w:val="20"/>
                <w:color w:val="auto"/>
              </w:rPr>
            </w:pPr>
            <w:r>
              <w:rPr>
                <w:rFonts w:ascii="Arial" w:cs="Arial" w:eastAsia="Arial" w:hAnsi="Arial"/>
                <w:sz w:val="16"/>
                <w:szCs w:val="16"/>
                <w:color w:val="6D6D6D"/>
              </w:rPr>
              <w:t>ventures</w:t>
            </w:r>
          </w:p>
        </w:tc>
        <w:tc>
          <w:tcPr>
            <w:tcW w:w="2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6000" w:type="dxa"/>
            <w:vAlign w:val="bottom"/>
          </w:tcPr>
          <w:p>
            <w:pPr>
              <w:ind w:left="260"/>
              <w:spacing w:after="0"/>
              <w:rPr>
                <w:sz w:val="20"/>
                <w:szCs w:val="20"/>
                <w:color w:val="auto"/>
              </w:rPr>
            </w:pPr>
            <w:r>
              <w:rPr>
                <w:rFonts w:ascii="Arial" w:cs="Arial" w:eastAsia="Arial" w:hAnsi="Arial"/>
                <w:sz w:val="16"/>
                <w:szCs w:val="16"/>
                <w:color w:val="6D6D6D"/>
              </w:rPr>
              <w:t>Corporate-related depreciation and amortization</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6D6D6D"/>
              </w:rPr>
              <w:t>(632)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6D6D6D"/>
              </w:rPr>
              <w:t>(582)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6D6D6D"/>
              </w:rPr>
              <w:t>(1,748)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6D6D6D"/>
              </w:rPr>
              <w:t>(1,898)</w:t>
            </w:r>
          </w:p>
        </w:tc>
        <w:tc>
          <w:tcPr>
            <w:tcW w:w="0" w:type="dxa"/>
            <w:vAlign w:val="bottom"/>
          </w:tcPr>
          <w:p>
            <w:pPr>
              <w:spacing w:after="0"/>
              <w:rPr>
                <w:sz w:val="1"/>
                <w:szCs w:val="1"/>
                <w:color w:val="auto"/>
              </w:rPr>
            </w:pPr>
          </w:p>
        </w:tc>
      </w:tr>
      <w:tr>
        <w:trPr>
          <w:trHeight w:val="231"/>
        </w:trPr>
        <w:tc>
          <w:tcPr>
            <w:tcW w:w="6000" w:type="dxa"/>
            <w:vAlign w:val="bottom"/>
            <w:shd w:val="clear" w:color="auto" w:fill="CCEEFF"/>
          </w:tcPr>
          <w:p>
            <w:pPr>
              <w:ind w:left="260"/>
              <w:spacing w:after="0"/>
              <w:rPr>
                <w:sz w:val="20"/>
                <w:szCs w:val="20"/>
                <w:color w:val="auto"/>
              </w:rPr>
            </w:pPr>
            <w:r>
              <w:rPr>
                <w:rFonts w:ascii="Arial" w:cs="Arial" w:eastAsia="Arial" w:hAnsi="Arial"/>
                <w:sz w:val="16"/>
                <w:szCs w:val="16"/>
                <w:color w:val="6D6D6D"/>
              </w:rPr>
              <w:t>Non-real estate related amortization</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2,131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2,130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6,393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6,391</w:t>
            </w:r>
          </w:p>
        </w:tc>
        <w:tc>
          <w:tcPr>
            <w:tcW w:w="0" w:type="dxa"/>
            <w:vAlign w:val="bottom"/>
          </w:tcPr>
          <w:p>
            <w:pPr>
              <w:spacing w:after="0"/>
              <w:rPr>
                <w:sz w:val="1"/>
                <w:szCs w:val="1"/>
                <w:color w:val="auto"/>
              </w:rPr>
            </w:pPr>
          </w:p>
        </w:tc>
      </w:tr>
      <w:tr>
        <w:trPr>
          <w:trHeight w:val="229"/>
        </w:trPr>
        <w:tc>
          <w:tcPr>
            <w:tcW w:w="6000" w:type="dxa"/>
            <w:vAlign w:val="bottom"/>
          </w:tcPr>
          <w:p>
            <w:pPr>
              <w:ind w:left="260"/>
              <w:spacing w:after="0"/>
              <w:rPr>
                <w:sz w:val="20"/>
                <w:szCs w:val="20"/>
                <w:color w:val="auto"/>
              </w:rPr>
            </w:pPr>
            <w:r>
              <w:rPr>
                <w:rFonts w:ascii="Arial" w:cs="Arial" w:eastAsia="Arial" w:hAnsi="Arial"/>
                <w:sz w:val="16"/>
                <w:szCs w:val="16"/>
                <w:color w:val="6D6D6D"/>
              </w:rPr>
              <w:t>Loss on sales-type lease</w:t>
            </w:r>
          </w:p>
        </w:tc>
        <w:tc>
          <w:tcPr>
            <w:tcW w:w="26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6D6D6D"/>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6"/>
                <w:szCs w:val="16"/>
                <w:color w:val="6D6D6D"/>
              </w:rPr>
              <w:t>—</w:t>
            </w:r>
          </w:p>
        </w:tc>
        <w:tc>
          <w:tcPr>
            <w:tcW w:w="2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6D6D6D"/>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6D6D6D"/>
              </w:rPr>
              <w:t>2,490</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60"/>
              <w:spacing w:after="0"/>
              <w:rPr>
                <w:sz w:val="20"/>
                <w:szCs w:val="20"/>
                <w:color w:val="auto"/>
              </w:rPr>
            </w:pPr>
            <w:r>
              <w:rPr>
                <w:rFonts w:ascii="Arial" w:cs="Arial" w:eastAsia="Arial" w:hAnsi="Arial"/>
                <w:sz w:val="16"/>
                <w:szCs w:val="16"/>
                <w:color w:val="6D6D6D"/>
              </w:rPr>
              <w:t>Impairment losses</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68,901</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18,036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68,901</w:t>
            </w:r>
          </w:p>
        </w:tc>
        <w:tc>
          <w:tcPr>
            <w:tcW w:w="0" w:type="dxa"/>
            <w:vAlign w:val="bottom"/>
          </w:tcPr>
          <w:p>
            <w:pPr>
              <w:spacing w:after="0"/>
              <w:rPr>
                <w:sz w:val="1"/>
                <w:szCs w:val="1"/>
                <w:color w:val="auto"/>
              </w:rPr>
            </w:pPr>
          </w:p>
        </w:tc>
      </w:tr>
      <w:tr>
        <w:trPr>
          <w:trHeight w:val="176"/>
        </w:trPr>
        <w:tc>
          <w:tcPr>
            <w:tcW w:w="6000" w:type="dxa"/>
            <w:vAlign w:val="bottom"/>
          </w:tcPr>
          <w:p>
            <w:pPr>
              <w:ind w:left="260"/>
              <w:spacing w:after="0" w:line="175" w:lineRule="exact"/>
              <w:rPr>
                <w:sz w:val="20"/>
                <w:szCs w:val="20"/>
                <w:color w:val="auto"/>
              </w:rPr>
            </w:pPr>
            <w:r>
              <w:rPr>
                <w:rFonts w:ascii="Arial" w:cs="Arial" w:eastAsia="Arial" w:hAnsi="Arial"/>
                <w:sz w:val="16"/>
                <w:szCs w:val="16"/>
                <w:color w:val="6D6D6D"/>
              </w:rPr>
              <w:t>Impairment losses included within Income (loss) from unconsolidated joint</w:t>
            </w:r>
          </w:p>
        </w:tc>
        <w:tc>
          <w:tcPr>
            <w:tcW w:w="260" w:type="dxa"/>
            <w:vAlign w:val="bottom"/>
          </w:tcPr>
          <w:p>
            <w:pPr>
              <w:spacing w:after="0"/>
              <w:rPr>
                <w:sz w:val="15"/>
                <w:szCs w:val="15"/>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color w:val="6D6D6D"/>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6D6D6D"/>
              </w:rPr>
              <w:t>145,133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6D6D6D"/>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6D6D6D"/>
              </w:rPr>
              <w:t>145,133</w:t>
            </w:r>
          </w:p>
        </w:tc>
        <w:tc>
          <w:tcPr>
            <w:tcW w:w="0" w:type="dxa"/>
            <w:vAlign w:val="bottom"/>
          </w:tcPr>
          <w:p>
            <w:pPr>
              <w:spacing w:after="0"/>
              <w:rPr>
                <w:sz w:val="1"/>
                <w:szCs w:val="1"/>
                <w:color w:val="auto"/>
              </w:rPr>
            </w:pPr>
          </w:p>
        </w:tc>
      </w:tr>
      <w:tr>
        <w:trPr>
          <w:trHeight w:val="215"/>
        </w:trPr>
        <w:tc>
          <w:tcPr>
            <w:tcW w:w="6000" w:type="dxa"/>
            <w:vAlign w:val="bottom"/>
          </w:tcPr>
          <w:p>
            <w:pPr>
              <w:ind w:left="520"/>
              <w:spacing w:after="0"/>
              <w:rPr>
                <w:sz w:val="20"/>
                <w:szCs w:val="20"/>
                <w:color w:val="auto"/>
              </w:rPr>
            </w:pPr>
            <w:r>
              <w:rPr>
                <w:rFonts w:ascii="Arial" w:cs="Arial" w:eastAsia="Arial" w:hAnsi="Arial"/>
                <w:sz w:val="16"/>
                <w:szCs w:val="16"/>
                <w:color w:val="6D6D6D"/>
              </w:rPr>
              <w:t>ventures</w:t>
            </w: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Less:</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60"/>
              <w:spacing w:after="0"/>
              <w:rPr>
                <w:sz w:val="20"/>
                <w:szCs w:val="20"/>
                <w:color w:val="auto"/>
              </w:rPr>
            </w:pPr>
            <w:r>
              <w:rPr>
                <w:rFonts w:ascii="Arial" w:cs="Arial" w:eastAsia="Arial" w:hAnsi="Arial"/>
                <w:sz w:val="16"/>
                <w:szCs w:val="16"/>
                <w:color w:val="6D6D6D"/>
              </w:rPr>
              <w:t>Gains on sales of real estate</w:t>
            </w:r>
          </w:p>
        </w:tc>
        <w:tc>
          <w:tcPr>
            <w:tcW w:w="26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6D6D6D"/>
              </w:rPr>
              <w:t>10,441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6D6D6D"/>
              </w:rPr>
              <w:t>1,932</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6D6D6D"/>
              </w:rPr>
              <w:t>30,840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6D6D6D"/>
              </w:rPr>
              <w:t>20,322</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60"/>
              <w:spacing w:after="0"/>
              <w:rPr>
                <w:sz w:val="20"/>
                <w:szCs w:val="20"/>
                <w:color w:val="auto"/>
              </w:rPr>
            </w:pPr>
            <w:r>
              <w:rPr>
                <w:rFonts w:ascii="Arial" w:cs="Arial" w:eastAsia="Arial" w:hAnsi="Arial"/>
                <w:sz w:val="16"/>
                <w:szCs w:val="16"/>
                <w:color w:val="6D6D6D"/>
              </w:rPr>
              <w:t>Gains on sales included within income (loss) from unconsolidated joint ventures</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2,236</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42,390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2,236</w:t>
            </w:r>
          </w:p>
        </w:tc>
        <w:tc>
          <w:tcPr>
            <w:tcW w:w="0" w:type="dxa"/>
            <w:vAlign w:val="bottom"/>
          </w:tcPr>
          <w:p>
            <w:pPr>
              <w:spacing w:after="0"/>
              <w:rPr>
                <w:sz w:val="1"/>
                <w:szCs w:val="1"/>
                <w:color w:val="auto"/>
              </w:rPr>
            </w:pPr>
          </w:p>
        </w:tc>
      </w:tr>
      <w:tr>
        <w:trPr>
          <w:trHeight w:val="228"/>
        </w:trPr>
        <w:tc>
          <w:tcPr>
            <w:tcW w:w="6000" w:type="dxa"/>
            <w:vAlign w:val="bottom"/>
          </w:tcPr>
          <w:p>
            <w:pPr>
              <w:ind w:left="260"/>
              <w:spacing w:after="0"/>
              <w:rPr>
                <w:sz w:val="20"/>
                <w:szCs w:val="20"/>
                <w:color w:val="auto"/>
              </w:rPr>
            </w:pPr>
            <w:r>
              <w:rPr>
                <w:rFonts w:ascii="Arial" w:cs="Arial" w:eastAsia="Arial" w:hAnsi="Arial"/>
                <w:sz w:val="16"/>
                <w:szCs w:val="16"/>
                <w:color w:val="6D6D6D"/>
              </w:rPr>
              <w:t>Unrealized gain (loss) on non-real estate investments</w:t>
            </w:r>
          </w:p>
        </w:tc>
        <w:tc>
          <w:tcPr>
            <w:tcW w:w="26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6D6D6D"/>
              </w:rPr>
              <w:t>386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6D6D6D"/>
              </w:rPr>
              <w:t>178</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6D6D6D"/>
              </w:rPr>
              <w:t>499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6D6D6D"/>
              </w:rPr>
              <w:t>(344)</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60"/>
              <w:spacing w:after="0"/>
              <w:rPr>
                <w:sz w:val="20"/>
                <w:szCs w:val="20"/>
                <w:color w:val="auto"/>
              </w:rPr>
            </w:pPr>
            <w:r>
              <w:rPr>
                <w:rFonts w:ascii="Arial" w:cs="Arial" w:eastAsia="Arial" w:hAnsi="Arial"/>
                <w:sz w:val="16"/>
                <w:szCs w:val="16"/>
                <w:color w:val="6D6D6D"/>
              </w:rPr>
              <w:t>Noncontrolling interests in property partnerships</w:t>
            </w:r>
          </w:p>
        </w:tc>
        <w:tc>
          <w:tcPr>
            <w:tcW w:w="2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28,692</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17,853</w:t>
            </w:r>
          </w:p>
        </w:tc>
        <w:tc>
          <w:tcPr>
            <w:tcW w:w="2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74,682</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56,702</w:t>
            </w:r>
          </w:p>
        </w:tc>
        <w:tc>
          <w:tcPr>
            <w:tcW w:w="0" w:type="dxa"/>
            <w:vAlign w:val="bottom"/>
          </w:tcPr>
          <w:p>
            <w:pPr>
              <w:spacing w:after="0"/>
              <w:rPr>
                <w:sz w:val="1"/>
                <w:szCs w:val="1"/>
                <w:color w:val="auto"/>
              </w:rPr>
            </w:pPr>
          </w:p>
        </w:tc>
      </w:tr>
      <w:tr>
        <w:trPr>
          <w:trHeight w:val="156"/>
        </w:trPr>
        <w:tc>
          <w:tcPr>
            <w:tcW w:w="6000" w:type="dxa"/>
            <w:vAlign w:val="bottom"/>
          </w:tcPr>
          <w:p>
            <w:pPr>
              <w:ind w:left="20"/>
              <w:spacing w:after="0" w:line="155" w:lineRule="exact"/>
              <w:rPr>
                <w:sz w:val="20"/>
                <w:szCs w:val="20"/>
                <w:color w:val="auto"/>
              </w:rPr>
            </w:pPr>
            <w:r>
              <w:rPr>
                <w:rFonts w:ascii="Arial" w:cs="Arial" w:eastAsia="Arial" w:hAnsi="Arial"/>
                <w:sz w:val="16"/>
                <w:szCs w:val="16"/>
                <w:color w:val="6D6D6D"/>
              </w:rPr>
              <w:t>Funds from operations (FFO) attributable to the Operating Partnership (including</w:t>
            </w:r>
          </w:p>
        </w:tc>
        <w:tc>
          <w:tcPr>
            <w:tcW w:w="260" w:type="dxa"/>
            <w:vAlign w:val="bottom"/>
          </w:tcPr>
          <w:p>
            <w:pPr>
              <w:spacing w:after="0"/>
              <w:rPr>
                <w:sz w:val="13"/>
                <w:szCs w:val="13"/>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color w:val="6D6D6D"/>
              </w:rPr>
              <w:t>334,299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6D6D6D"/>
              </w:rPr>
              <w:t>307,347</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6D6D6D"/>
              </w:rPr>
              <w:t>929,018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6D6D6D"/>
              </w:rPr>
              <w:t>898,629</w:t>
            </w:r>
          </w:p>
        </w:tc>
        <w:tc>
          <w:tcPr>
            <w:tcW w:w="0" w:type="dxa"/>
            <w:vAlign w:val="bottom"/>
          </w:tcPr>
          <w:p>
            <w:pPr>
              <w:spacing w:after="0"/>
              <w:rPr>
                <w:sz w:val="1"/>
                <w:szCs w:val="1"/>
                <w:color w:val="auto"/>
              </w:rPr>
            </w:pPr>
          </w:p>
        </w:tc>
      </w:tr>
      <w:tr>
        <w:trPr>
          <w:trHeight w:val="215"/>
        </w:trPr>
        <w:tc>
          <w:tcPr>
            <w:tcW w:w="6000" w:type="dxa"/>
            <w:vAlign w:val="bottom"/>
          </w:tcPr>
          <w:p>
            <w:pPr>
              <w:ind w:left="260"/>
              <w:spacing w:after="0"/>
              <w:rPr>
                <w:sz w:val="20"/>
                <w:szCs w:val="20"/>
                <w:color w:val="auto"/>
              </w:rPr>
            </w:pPr>
            <w:r>
              <w:rPr>
                <w:rFonts w:ascii="Arial" w:cs="Arial" w:eastAsia="Arial" w:hAnsi="Arial"/>
                <w:sz w:val="16"/>
                <w:szCs w:val="16"/>
                <w:color w:val="6D6D6D"/>
              </w:rPr>
              <w:t>BXP, Inc.)</w:t>
            </w:r>
          </w:p>
        </w:tc>
        <w:tc>
          <w:tcPr>
            <w:tcW w:w="2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Less:</w:t>
            </w: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000" w:type="dxa"/>
            <w:vAlign w:val="bottom"/>
          </w:tcPr>
          <w:p>
            <w:pPr>
              <w:ind w:left="260"/>
              <w:spacing w:after="0" w:line="175" w:lineRule="exact"/>
              <w:rPr>
                <w:sz w:val="20"/>
                <w:szCs w:val="20"/>
                <w:color w:val="auto"/>
              </w:rPr>
            </w:pPr>
            <w:r>
              <w:rPr>
                <w:rFonts w:ascii="Arial" w:cs="Arial" w:eastAsia="Arial" w:hAnsi="Arial"/>
                <w:sz w:val="16"/>
                <w:szCs w:val="16"/>
                <w:color w:val="6D6D6D"/>
              </w:rPr>
              <w:t>Noncontrolling interest - common units of the Operating Partnership’s share of</w:t>
            </w:r>
          </w:p>
        </w:tc>
        <w:tc>
          <w:tcPr>
            <w:tcW w:w="260" w:type="dxa"/>
            <w:vAlign w:val="bottom"/>
          </w:tcPr>
          <w:p>
            <w:pPr>
              <w:spacing w:after="0"/>
              <w:rPr>
                <w:sz w:val="15"/>
                <w:szCs w:val="15"/>
                <w:color w:val="auto"/>
              </w:rPr>
            </w:pPr>
          </w:p>
        </w:tc>
        <w:tc>
          <w:tcPr>
            <w:tcW w:w="820" w:type="dxa"/>
            <w:vAlign w:val="bottom"/>
            <w:vMerge w:val="restart"/>
          </w:tcPr>
          <w:p>
            <w:pPr>
              <w:jc w:val="right"/>
              <w:ind w:right="19"/>
              <w:spacing w:after="0"/>
              <w:rPr>
                <w:sz w:val="20"/>
                <w:szCs w:val="20"/>
                <w:color w:val="auto"/>
              </w:rPr>
            </w:pPr>
            <w:r>
              <w:rPr>
                <w:rFonts w:ascii="Arial" w:cs="Arial" w:eastAsia="Arial" w:hAnsi="Arial"/>
                <w:sz w:val="16"/>
                <w:szCs w:val="16"/>
                <w:color w:val="6D6D6D"/>
              </w:rPr>
              <w:t>32,059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vMerge w:val="restart"/>
          </w:tcPr>
          <w:p>
            <w:pPr>
              <w:jc w:val="right"/>
              <w:ind w:right="119"/>
              <w:spacing w:after="0"/>
              <w:rPr>
                <w:sz w:val="20"/>
                <w:szCs w:val="20"/>
                <w:color w:val="auto"/>
              </w:rPr>
            </w:pPr>
            <w:r>
              <w:rPr>
                <w:rFonts w:ascii="Arial" w:cs="Arial" w:eastAsia="Arial" w:hAnsi="Arial"/>
                <w:sz w:val="16"/>
                <w:szCs w:val="16"/>
                <w:color w:val="6D6D6D"/>
              </w:rPr>
              <w:t>30,673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color w:val="6D6D6D"/>
              </w:rPr>
              <w:t>91,230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vMerge w:val="restart"/>
          </w:tcPr>
          <w:p>
            <w:pPr>
              <w:jc w:val="right"/>
              <w:ind w:right="119"/>
              <w:spacing w:after="0"/>
              <w:rPr>
                <w:sz w:val="20"/>
                <w:szCs w:val="20"/>
                <w:color w:val="auto"/>
              </w:rPr>
            </w:pPr>
            <w:r>
              <w:rPr>
                <w:rFonts w:ascii="Arial" w:cs="Arial" w:eastAsia="Arial" w:hAnsi="Arial"/>
                <w:sz w:val="16"/>
                <w:szCs w:val="16"/>
                <w:color w:val="6D6D6D"/>
              </w:rPr>
              <w:t>89,683</w:t>
            </w:r>
          </w:p>
        </w:tc>
        <w:tc>
          <w:tcPr>
            <w:tcW w:w="0" w:type="dxa"/>
            <w:vAlign w:val="bottom"/>
          </w:tcPr>
          <w:p>
            <w:pPr>
              <w:spacing w:after="0"/>
              <w:rPr>
                <w:sz w:val="1"/>
                <w:szCs w:val="1"/>
                <w:color w:val="auto"/>
              </w:rPr>
            </w:pPr>
          </w:p>
        </w:tc>
      </w:tr>
      <w:tr>
        <w:trPr>
          <w:trHeight w:val="215"/>
        </w:trPr>
        <w:tc>
          <w:tcPr>
            <w:tcW w:w="6000" w:type="dxa"/>
            <w:vAlign w:val="bottom"/>
            <w:tcBorders>
              <w:bottom w:val="single" w:sz="8" w:color="CCEEFF"/>
            </w:tcBorders>
          </w:tcPr>
          <w:p>
            <w:pPr>
              <w:ind w:left="520"/>
              <w:spacing w:after="0"/>
              <w:rPr>
                <w:sz w:val="20"/>
                <w:szCs w:val="20"/>
                <w:color w:val="auto"/>
              </w:rPr>
            </w:pPr>
            <w:r>
              <w:rPr>
                <w:rFonts w:ascii="Arial" w:cs="Arial" w:eastAsia="Arial" w:hAnsi="Arial"/>
                <w:sz w:val="16"/>
                <w:szCs w:val="16"/>
                <w:color w:val="6D6D6D"/>
              </w:rPr>
              <w:t>funds from operations</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600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Funds from operations attributable to BXP, Inc.</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6D6D6D"/>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302,240</w:t>
            </w:r>
          </w:p>
        </w:tc>
        <w:tc>
          <w:tcPr>
            <w:tcW w:w="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6D6D6D"/>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276,674</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6D6D6D"/>
                <w:w w:val="8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6D6D6D"/>
              </w:rPr>
              <w:t>837,788</w:t>
            </w: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6D6D6D"/>
              </w:rPr>
              <w:t>$</w:t>
            </w:r>
          </w:p>
        </w:tc>
        <w:tc>
          <w:tcPr>
            <w:tcW w:w="8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6D6D6D"/>
              </w:rPr>
              <w:t>808,946</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00" w:type="dxa"/>
            <w:vAlign w:val="bottom"/>
          </w:tcPr>
          <w:p>
            <w:pPr>
              <w:ind w:left="20"/>
              <w:spacing w:after="0"/>
              <w:rPr>
                <w:sz w:val="20"/>
                <w:szCs w:val="20"/>
                <w:color w:val="auto"/>
              </w:rPr>
            </w:pPr>
            <w:r>
              <w:rPr>
                <w:rFonts w:ascii="Arial" w:cs="Arial" w:eastAsia="Arial" w:hAnsi="Arial"/>
                <w:sz w:val="16"/>
                <w:szCs w:val="16"/>
                <w:color w:val="6D6D6D"/>
              </w:rPr>
              <w:t>BXP, Inc.’s percentage share of funds from operations - basic</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6D6D6D"/>
              </w:rPr>
              <w:t>90.41%</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90.02%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6D6D6D"/>
              </w:rPr>
              <w:t>90.18%</w:t>
            </w: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6D6D6D"/>
              </w:rPr>
              <w:t>90.02%</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6D6D6D"/>
              </w:rPr>
              <w:t>Weighted average shares outstanding - basic</w:t>
            </w: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159,585</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158,345</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159,106</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158,287</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tcPr>
          <w:p>
            <w:pPr>
              <w:ind w:left="260"/>
              <w:spacing w:after="0"/>
              <w:rPr>
                <w:sz w:val="20"/>
                <w:szCs w:val="20"/>
                <w:color w:val="auto"/>
              </w:rPr>
            </w:pPr>
            <w:r>
              <w:rPr>
                <w:rFonts w:ascii="Arial" w:cs="Arial" w:eastAsia="Arial" w:hAnsi="Arial"/>
                <w:sz w:val="16"/>
                <w:szCs w:val="16"/>
                <w:color w:val="6D6D6D"/>
              </w:rPr>
              <w:t>FFO per share basic</w:t>
            </w:r>
          </w:p>
        </w:tc>
        <w:tc>
          <w:tcPr>
            <w:tcW w:w="260" w:type="dxa"/>
            <w:vAlign w:val="bottom"/>
          </w:tcPr>
          <w:p>
            <w:pPr>
              <w:ind w:left="20"/>
              <w:spacing w:after="0"/>
              <w:rPr>
                <w:sz w:val="20"/>
                <w:szCs w:val="20"/>
                <w:color w:val="auto"/>
              </w:rPr>
            </w:pPr>
            <w:r>
              <w:rPr>
                <w:rFonts w:ascii="Arial" w:cs="Arial" w:eastAsia="Arial" w:hAnsi="Arial"/>
                <w:sz w:val="16"/>
                <w:szCs w:val="16"/>
                <w:color w:val="6D6D6D"/>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6D6D6D"/>
              </w:rPr>
              <w:t>1.89</w:t>
            </w: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6D6D6D"/>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6D6D6D"/>
              </w:rPr>
              <w:t>1.75</w:t>
            </w:r>
          </w:p>
        </w:tc>
        <w:tc>
          <w:tcPr>
            <w:tcW w:w="2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6D6D6D"/>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6D6D6D"/>
              </w:rPr>
              <w:t>5.27</w:t>
            </w:r>
          </w:p>
        </w:tc>
        <w:tc>
          <w:tcPr>
            <w:tcW w:w="600" w:type="dxa"/>
            <w:vAlign w:val="bottom"/>
            <w:gridSpan w:val="3"/>
          </w:tcPr>
          <w:p>
            <w:pPr>
              <w:jc w:val="right"/>
              <w:ind w:right="260"/>
              <w:spacing w:after="0"/>
              <w:rPr>
                <w:sz w:val="20"/>
                <w:szCs w:val="20"/>
                <w:color w:val="auto"/>
              </w:rPr>
            </w:pPr>
            <w:r>
              <w:rPr>
                <w:rFonts w:ascii="Arial" w:cs="Arial" w:eastAsia="Arial" w:hAnsi="Arial"/>
                <w:sz w:val="16"/>
                <w:szCs w:val="16"/>
                <w:color w:val="6D6D6D"/>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6D6D6D"/>
              </w:rPr>
              <w:t>5.11</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6D6D6D"/>
              </w:rPr>
              <w:t>Weighted average shares outstanding - diluted</w:t>
            </w: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160,109</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158,928</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6D6D6D"/>
              </w:rPr>
              <w:t>159,601</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6D6D6D"/>
              </w:rPr>
              <w:t>158,787</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tcPr>
          <w:p>
            <w:pPr>
              <w:ind w:left="260"/>
              <w:spacing w:after="0"/>
              <w:rPr>
                <w:sz w:val="20"/>
                <w:szCs w:val="20"/>
                <w:color w:val="auto"/>
              </w:rPr>
            </w:pPr>
            <w:r>
              <w:rPr>
                <w:rFonts w:ascii="Arial" w:cs="Arial" w:eastAsia="Arial" w:hAnsi="Arial"/>
                <w:sz w:val="16"/>
                <w:szCs w:val="16"/>
                <w:color w:val="6D6D6D"/>
              </w:rPr>
              <w:t>FFO per share diluted</w:t>
            </w:r>
          </w:p>
        </w:tc>
        <w:tc>
          <w:tcPr>
            <w:tcW w:w="260" w:type="dxa"/>
            <w:vAlign w:val="bottom"/>
          </w:tcPr>
          <w:p>
            <w:pPr>
              <w:ind w:left="20"/>
              <w:spacing w:after="0"/>
              <w:rPr>
                <w:sz w:val="20"/>
                <w:szCs w:val="20"/>
                <w:color w:val="auto"/>
              </w:rPr>
            </w:pPr>
            <w:r>
              <w:rPr>
                <w:rFonts w:ascii="Arial" w:cs="Arial" w:eastAsia="Arial" w:hAnsi="Arial"/>
                <w:sz w:val="16"/>
                <w:szCs w:val="16"/>
                <w:color w:val="6D6D6D"/>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6D6D6D"/>
              </w:rPr>
              <w:t>1.89</w:t>
            </w: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6D6D6D"/>
              </w:rPr>
              <w:t>$</w:t>
            </w:r>
          </w:p>
        </w:tc>
        <w:tc>
          <w:tcPr>
            <w:tcW w:w="960" w:type="dxa"/>
            <w:vAlign w:val="bottom"/>
          </w:tcPr>
          <w:p>
            <w:pPr>
              <w:jc w:val="right"/>
              <w:ind w:right="119"/>
              <w:spacing w:after="0"/>
              <w:rPr>
                <w:sz w:val="20"/>
                <w:szCs w:val="20"/>
                <w:color w:val="auto"/>
              </w:rPr>
            </w:pPr>
            <w:r>
              <w:rPr>
                <w:rFonts w:ascii="Arial" w:cs="Arial" w:eastAsia="Arial" w:hAnsi="Arial"/>
                <w:sz w:val="16"/>
                <w:szCs w:val="16"/>
                <w:color w:val="6D6D6D"/>
              </w:rPr>
              <w:t>1.74</w:t>
            </w:r>
          </w:p>
        </w:tc>
        <w:tc>
          <w:tcPr>
            <w:tcW w:w="2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6D6D6D"/>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6D6D6D"/>
              </w:rPr>
              <w:t>5.25</w:t>
            </w:r>
          </w:p>
        </w:tc>
        <w:tc>
          <w:tcPr>
            <w:tcW w:w="600" w:type="dxa"/>
            <w:vAlign w:val="bottom"/>
            <w:gridSpan w:val="3"/>
          </w:tcPr>
          <w:p>
            <w:pPr>
              <w:jc w:val="right"/>
              <w:ind w:right="260"/>
              <w:spacing w:after="0"/>
              <w:rPr>
                <w:sz w:val="20"/>
                <w:szCs w:val="20"/>
                <w:color w:val="auto"/>
              </w:rPr>
            </w:pPr>
            <w:r>
              <w:rPr>
                <w:rFonts w:ascii="Arial" w:cs="Arial" w:eastAsia="Arial" w:hAnsi="Arial"/>
                <w:sz w:val="16"/>
                <w:szCs w:val="16"/>
                <w:color w:val="6D6D6D"/>
              </w:rPr>
              <w:t>$</w:t>
            </w:r>
          </w:p>
        </w:tc>
        <w:tc>
          <w:tcPr>
            <w:tcW w:w="820" w:type="dxa"/>
            <w:vAlign w:val="bottom"/>
          </w:tcPr>
          <w:p>
            <w:pPr>
              <w:jc w:val="right"/>
              <w:ind w:right="119"/>
              <w:spacing w:after="0"/>
              <w:rPr>
                <w:sz w:val="20"/>
                <w:szCs w:val="20"/>
                <w:color w:val="auto"/>
              </w:rPr>
            </w:pPr>
            <w:r>
              <w:rPr>
                <w:rFonts w:ascii="Arial" w:cs="Arial" w:eastAsia="Arial" w:hAnsi="Arial"/>
                <w:sz w:val="16"/>
                <w:szCs w:val="16"/>
                <w:color w:val="6D6D6D"/>
              </w:rPr>
              <w:t>5.09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1093" w:right="359" w:bottom="1440" w:gutter="0" w:footer="0" w:header="0"/>
        </w:sectPr>
      </w:pPr>
    </w:p>
    <w:bookmarkStart w:id="83" w:name="page84"/>
    <w:bookmarkEnd w:id="83"/>
    <w:p>
      <w:pPr>
        <w:ind w:left="332" w:hanging="332"/>
        <w:spacing w:after="0" w:line="253" w:lineRule="auto"/>
        <w:tabs>
          <w:tab w:leader="none" w:pos="322" w:val="left"/>
        </w:tabs>
        <w:numPr>
          <w:ilvl w:val="0"/>
          <w:numId w:val="138"/>
        </w:numPr>
        <w:rPr>
          <w:rFonts w:ascii="Arial" w:cs="Arial" w:eastAsia="Arial" w:hAnsi="Arial"/>
          <w:sz w:val="18"/>
          <w:szCs w:val="18"/>
          <w:color w:val="6D6D6D"/>
        </w:rPr>
      </w:pPr>
      <w:r>
        <w:rPr>
          <w:rFonts w:ascii="Arial" w:cs="Arial" w:eastAsia="Arial" w:hAnsi="Arial"/>
          <w:sz w:val="18"/>
          <w:szCs w:val="18"/>
          <w:color w:val="6D6D6D"/>
        </w:rPr>
        <w:t>Pursuant to the revised definition of Funds from Operations adopted by the Board of Governors of the National Association of Real Estate Investment Trusts (“Nareit”), we calculate Funds from Operations, or “FFO,” by adjusting net income (loss) attributable to BXP, Inc. (computed in accordance with GAAP) for gains (or losses) from sales of properties, including a change in control, impairment losses on depreciable real estate consolidated on our balance sheet, impairment losses on our investments in unconsolidated joint ventures driven by a measurable decrease in the fair value of depreciable real estate held by the unconsolidated joint ventures and real estate-related depreciation and amortization. FFO is a non-GAAP financial measure, but we believe the presentation of FFO, combined with the presentation of required GAAP financial measures, has improved the understanding of operating results of REITs among the investing public and has helped make comparisons of REIT operating results more meaningful. Management generally considers FFO and FFO per share to be useful measures for understanding and comparing our operating results because, by excluding gains and losses related to sales or a change in control of previously depreciated operating real estate assets, impairment losses and real estate asset depreciation and amortization (which can differ across owners of similar assets in similar condition based on historical cost accounting and useful life estimates), FFO and FFO per share can help investors compare the operating performance of a company</w:t>
      </w:r>
      <w:r>
        <w:rPr>
          <w:rFonts w:ascii="Arial" w:cs="Arial" w:eastAsia="Arial" w:hAnsi="Arial"/>
          <w:sz w:val="16"/>
          <w:szCs w:val="16"/>
          <w:color w:val="6D6D6D"/>
        </w:rPr>
        <w:t>’</w:t>
      </w:r>
      <w:r>
        <w:rPr>
          <w:rFonts w:ascii="Arial" w:cs="Arial" w:eastAsia="Arial" w:hAnsi="Arial"/>
          <w:sz w:val="18"/>
          <w:szCs w:val="18"/>
          <w:color w:val="6D6D6D"/>
        </w:rPr>
        <w:t>s real estate across reporting periods and to the operating performance of other companies.</w:t>
      </w:r>
    </w:p>
    <w:p>
      <w:pPr>
        <w:spacing w:after="0" w:line="133" w:lineRule="exact"/>
        <w:rPr>
          <w:rFonts w:ascii="Arial" w:cs="Arial" w:eastAsia="Arial" w:hAnsi="Arial"/>
          <w:sz w:val="18"/>
          <w:szCs w:val="18"/>
          <w:color w:val="6D6D6D"/>
        </w:rPr>
      </w:pPr>
    </w:p>
    <w:p>
      <w:pPr>
        <w:ind w:left="332" w:right="200"/>
        <w:spacing w:after="0" w:line="287" w:lineRule="auto"/>
        <w:rPr>
          <w:rFonts w:ascii="Arial" w:cs="Arial" w:eastAsia="Arial" w:hAnsi="Arial"/>
          <w:sz w:val="18"/>
          <w:szCs w:val="18"/>
          <w:color w:val="6D6D6D"/>
        </w:rPr>
      </w:pPr>
      <w:r>
        <w:rPr>
          <w:rFonts w:ascii="Arial" w:cs="Arial" w:eastAsia="Arial" w:hAnsi="Arial"/>
          <w:sz w:val="18"/>
          <w:szCs w:val="18"/>
          <w:color w:val="6D6D6D"/>
        </w:rPr>
        <w:t>Our calculation of FFO may not be comparable to FFO reported by other REITs or real estate companies that do not define the term in accordance with the current Nareit definition or that interpret the current Nareit definition differently.</w:t>
      </w:r>
    </w:p>
    <w:p>
      <w:pPr>
        <w:spacing w:after="0" w:line="98" w:lineRule="exact"/>
        <w:rPr>
          <w:rFonts w:ascii="Arial" w:cs="Arial" w:eastAsia="Arial" w:hAnsi="Arial"/>
          <w:sz w:val="18"/>
          <w:szCs w:val="18"/>
          <w:color w:val="6D6D6D"/>
        </w:rPr>
      </w:pPr>
    </w:p>
    <w:p>
      <w:pPr>
        <w:ind w:left="332" w:right="160"/>
        <w:spacing w:after="0" w:line="259" w:lineRule="auto"/>
        <w:rPr>
          <w:rFonts w:ascii="Arial" w:cs="Arial" w:eastAsia="Arial" w:hAnsi="Arial"/>
          <w:sz w:val="18"/>
          <w:szCs w:val="18"/>
          <w:color w:val="6D6D6D"/>
        </w:rPr>
      </w:pPr>
      <w:r>
        <w:rPr>
          <w:rFonts w:ascii="Arial" w:cs="Arial" w:eastAsia="Arial" w:hAnsi="Arial"/>
          <w:sz w:val="18"/>
          <w:szCs w:val="18"/>
          <w:color w:val="6D6D6D"/>
        </w:rPr>
        <w:t>In order to facilitate a clear understanding of the Company’s operating results, FFO should be examined in conjunction with net income (loss) attributable to BXP, Inc. as presented in the Company’s consolidated financial statements. FFO should not be considered as a substitute for net income (loss) attributable to BXP, Inc. (determined in accordance with GAAP) or any other GAAP financial measures and should only be considered together with and as a supplement to the Company’s financial information prepared in accordance with GAAP.</w:t>
      </w:r>
    </w:p>
    <w:p>
      <w:pPr>
        <w:sectPr>
          <w:pgSz w:w="11900" w:h="16838" w:orient="portrait"/>
          <w:cols w:equalWidth="0" w:num="1">
            <w:col w:w="11192"/>
          </w:cols>
          <w:pgMar w:left="328" w:top="1093" w:right="379" w:bottom="1440" w:gutter="0" w:footer="0" w:header="0"/>
        </w:sectPr>
      </w:pPr>
    </w:p>
    <w:bookmarkStart w:id="84" w:name="page85"/>
    <w:bookmarkEnd w:id="84"/>
    <w:p>
      <w:pPr>
        <w:jc w:val="center"/>
        <w:ind w:right="-79"/>
        <w:spacing w:after="0"/>
        <w:rPr>
          <w:sz w:val="20"/>
          <w:szCs w:val="20"/>
          <w:color w:val="auto"/>
        </w:rPr>
      </w:pPr>
      <w:r>
        <w:rPr>
          <w:rFonts w:ascii="Arial" w:cs="Arial" w:eastAsia="Arial" w:hAnsi="Arial"/>
          <w:sz w:val="18"/>
          <w:szCs w:val="18"/>
          <w:b w:val="1"/>
          <w:bCs w:val="1"/>
          <w:color w:val="6D6D6D"/>
        </w:rPr>
        <w:t>BXP,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6D6D6D"/>
        </w:rPr>
        <w:t>PORTFOLIO LEASING PERCENTAGES</w:t>
      </w:r>
    </w:p>
    <w:p>
      <w:pPr>
        <w:sectPr>
          <w:pgSz w:w="11900" w:h="16838" w:orient="portrait"/>
          <w:cols w:equalWidth="0" w:num="1">
            <w:col w:w="11180"/>
          </w:cols>
          <w:pgMar w:left="320" w:top="1093" w:right="3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6D6D6D"/>
        </w:rPr>
        <w:t>CBD Portfolio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Borders>
              <w:bottom w:val="single" w:sz="8" w:color="auto"/>
            </w:tcBorders>
            <w:gridSpan w:val="2"/>
          </w:tcPr>
          <w:p>
            <w:pPr>
              <w:ind w:left="1100"/>
              <w:spacing w:after="0"/>
              <w:rPr>
                <w:sz w:val="20"/>
                <w:szCs w:val="20"/>
                <w:color w:val="auto"/>
              </w:rPr>
            </w:pPr>
            <w:r>
              <w:rPr>
                <w:rFonts w:ascii="Arial" w:cs="Arial" w:eastAsia="Arial" w:hAnsi="Arial"/>
                <w:sz w:val="16"/>
                <w:szCs w:val="16"/>
                <w:b w:val="1"/>
                <w:bCs w:val="1"/>
                <w:color w:val="6D6D6D"/>
              </w:rPr>
              <w:t xml:space="preserve">% Occupied by Location </w:t>
            </w:r>
            <w:r>
              <w:rPr>
                <w:rFonts w:ascii="Arial" w:cs="Arial" w:eastAsia="Arial" w:hAnsi="Arial"/>
                <w:sz w:val="21"/>
                <w:szCs w:val="21"/>
                <w:b w:val="1"/>
                <w:bCs w:val="1"/>
                <w:color w:val="6D6D6D"/>
                <w:vertAlign w:val="superscript"/>
              </w:rPr>
              <w:t>(1)</w:t>
            </w:r>
          </w:p>
        </w:tc>
        <w:tc>
          <w:tcPr>
            <w:tcW w:w="260" w:type="dxa"/>
            <w:vAlign w:val="bottom"/>
          </w:tcPr>
          <w:p>
            <w:pPr>
              <w:spacing w:after="0"/>
              <w:rPr>
                <w:sz w:val="21"/>
                <w:szCs w:val="21"/>
                <w:color w:val="auto"/>
              </w:rPr>
            </w:pPr>
          </w:p>
        </w:tc>
        <w:tc>
          <w:tcPr>
            <w:tcW w:w="4180" w:type="dxa"/>
            <w:vAlign w:val="bottom"/>
            <w:tcBorders>
              <w:bottom w:val="single" w:sz="8" w:color="auto"/>
            </w:tcBorders>
            <w:gridSpan w:val="2"/>
          </w:tcPr>
          <w:p>
            <w:pPr>
              <w:ind w:left="1140"/>
              <w:spacing w:after="0"/>
              <w:rPr>
                <w:sz w:val="20"/>
                <w:szCs w:val="20"/>
                <w:color w:val="auto"/>
              </w:rPr>
            </w:pPr>
            <w:r>
              <w:rPr>
                <w:rFonts w:ascii="Arial" w:cs="Arial" w:eastAsia="Arial" w:hAnsi="Arial"/>
                <w:sz w:val="16"/>
                <w:szCs w:val="16"/>
                <w:b w:val="1"/>
                <w:bCs w:val="1"/>
                <w:color w:val="6D6D6D"/>
              </w:rPr>
              <w:t xml:space="preserve">% Leased by Location </w:t>
            </w:r>
            <w:r>
              <w:rPr>
                <w:rFonts w:ascii="Arial" w:cs="Arial" w:eastAsia="Arial" w:hAnsi="Arial"/>
                <w:sz w:val="21"/>
                <w:szCs w:val="21"/>
                <w:b w:val="1"/>
                <w:bCs w:val="1"/>
                <w:color w:val="6D6D6D"/>
                <w:vertAlign w:val="superscript"/>
              </w:rPr>
              <w:t>(2)</w:t>
            </w:r>
          </w:p>
        </w:tc>
      </w:tr>
      <w:tr>
        <w:trPr>
          <w:trHeight w:val="223"/>
        </w:trPr>
        <w:tc>
          <w:tcPr>
            <w:tcW w:w="2140" w:type="dxa"/>
            <w:vAlign w:val="bottom"/>
          </w:tcPr>
          <w:p>
            <w:pPr>
              <w:ind w:left="260"/>
              <w:spacing w:after="0"/>
              <w:rPr>
                <w:sz w:val="20"/>
                <w:szCs w:val="20"/>
                <w:color w:val="auto"/>
              </w:rPr>
            </w:pPr>
            <w:r>
              <w:rPr>
                <w:rFonts w:ascii="Arial" w:cs="Arial" w:eastAsia="Arial" w:hAnsi="Arial"/>
                <w:sz w:val="16"/>
                <w:szCs w:val="16"/>
                <w:b w:val="1"/>
                <w:bCs w:val="1"/>
                <w:color w:val="6D6D6D"/>
              </w:rPr>
              <w:t>September 30, 2026</w:t>
            </w:r>
          </w:p>
        </w:tc>
        <w:tc>
          <w:tcPr>
            <w:tcW w:w="2360" w:type="dxa"/>
            <w:vAlign w:val="bottom"/>
            <w:gridSpan w:val="2"/>
          </w:tcPr>
          <w:p>
            <w:pPr>
              <w:ind w:left="380"/>
              <w:spacing w:after="0"/>
              <w:rPr>
                <w:sz w:val="20"/>
                <w:szCs w:val="20"/>
                <w:color w:val="auto"/>
              </w:rPr>
            </w:pPr>
            <w:r>
              <w:rPr>
                <w:rFonts w:ascii="Arial" w:cs="Arial" w:eastAsia="Arial" w:hAnsi="Arial"/>
                <w:sz w:val="16"/>
                <w:szCs w:val="16"/>
                <w:b w:val="1"/>
                <w:bCs w:val="1"/>
                <w:color w:val="6D6D6D"/>
              </w:rPr>
              <w:t>December 31, 2025</w:t>
            </w:r>
          </w:p>
        </w:tc>
        <w:tc>
          <w:tcPr>
            <w:tcW w:w="2100" w:type="dxa"/>
            <w:vAlign w:val="bottom"/>
          </w:tcPr>
          <w:p>
            <w:pPr>
              <w:ind w:left="240"/>
              <w:spacing w:after="0"/>
              <w:rPr>
                <w:sz w:val="20"/>
                <w:szCs w:val="20"/>
                <w:color w:val="auto"/>
              </w:rPr>
            </w:pPr>
            <w:r>
              <w:rPr>
                <w:rFonts w:ascii="Arial" w:cs="Arial" w:eastAsia="Arial" w:hAnsi="Arial"/>
                <w:sz w:val="16"/>
                <w:szCs w:val="16"/>
                <w:b w:val="1"/>
                <w:bCs w:val="1"/>
                <w:color w:val="6D6D6D"/>
              </w:rPr>
              <w:t>September 30, 2026</w:t>
            </w:r>
          </w:p>
        </w:tc>
        <w:tc>
          <w:tcPr>
            <w:tcW w:w="2080" w:type="dxa"/>
            <w:vAlign w:val="bottom"/>
          </w:tcPr>
          <w:p>
            <w:pPr>
              <w:ind w:left="360"/>
              <w:spacing w:after="0"/>
              <w:rPr>
                <w:sz w:val="20"/>
                <w:szCs w:val="20"/>
                <w:color w:val="auto"/>
              </w:rPr>
            </w:pPr>
            <w:r>
              <w:rPr>
                <w:rFonts w:ascii="Arial" w:cs="Arial" w:eastAsia="Arial" w:hAnsi="Arial"/>
                <w:sz w:val="16"/>
                <w:szCs w:val="16"/>
                <w:b w:val="1"/>
                <w:bCs w:val="1"/>
                <w:color w:val="6D6D6D"/>
              </w:rPr>
              <w:t>December 31, 2025</w:t>
            </w:r>
          </w:p>
        </w:tc>
      </w:tr>
    </w:tbl>
    <w:p>
      <w:pPr>
        <w:spacing w:after="0" w:line="1" w:lineRule="exact"/>
        <w:rPr>
          <w:sz w:val="20"/>
          <w:szCs w:val="20"/>
          <w:color w:val="auto"/>
        </w:rPr>
      </w:pPr>
    </w:p>
    <w:p>
      <w:pPr>
        <w:sectPr>
          <w:pgSz w:w="11900" w:h="16838" w:orient="portrait"/>
          <w:cols w:equalWidth="0" w:num="2">
            <w:col w:w="1780" w:space="720"/>
            <w:col w:w="8680"/>
          </w:cols>
          <w:pgMar w:left="320" w:top="1093" w:right="399" w:bottom="1440" w:gutter="0" w:footer="0" w:header="0"/>
          <w:type w:val="continuous"/>
        </w:sectPr>
      </w:pPr>
    </w:p>
    <w:tbl>
      <w:tblPr>
        <w:tblLayout w:type="fixed"/>
        <w:tblInd w:w="80" w:type="dxa"/>
        <w:tblCellMar>
          <w:top w:w="0" w:type="dxa"/>
          <w:left w:w="0" w:type="dxa"/>
          <w:bottom w:w="0" w:type="dxa"/>
          <w:right w:w="0" w:type="dxa"/>
        </w:tblCellMar>
      </w:tblPr>
      <w:tr>
        <w:trPr>
          <w:trHeight w:val="237"/>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6D6D6D"/>
              </w:rPr>
              <w:t>Boston</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97.4 %</w:t>
            </w:r>
          </w:p>
        </w:tc>
        <w:tc>
          <w:tcPr>
            <w:tcW w:w="200" w:type="dxa"/>
            <w:vAlign w:val="bottom"/>
            <w:tcBorders>
              <w:top w:val="single" w:sz="8" w:color="CCEEFF"/>
            </w:tcBorders>
            <w:shd w:val="clear" w:color="auto" w:fill="CCEEFF"/>
          </w:tcPr>
          <w:p>
            <w:pPr>
              <w:spacing w:after="0"/>
              <w:rPr>
                <w:sz w:val="20"/>
                <w:szCs w:val="20"/>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97.6 %</w:t>
            </w:r>
          </w:p>
        </w:tc>
        <w:tc>
          <w:tcPr>
            <w:tcW w:w="260" w:type="dxa"/>
            <w:vAlign w:val="bottom"/>
            <w:tcBorders>
              <w:top w:val="single" w:sz="8" w:color="CCEEFF"/>
            </w:tcBorders>
            <w:shd w:val="clear" w:color="auto" w:fill="CCEEFF"/>
          </w:tcPr>
          <w:p>
            <w:pPr>
              <w:spacing w:after="0"/>
              <w:rPr>
                <w:sz w:val="20"/>
                <w:szCs w:val="20"/>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97.7 %</w:t>
            </w:r>
          </w:p>
        </w:tc>
        <w:tc>
          <w:tcPr>
            <w:tcW w:w="200" w:type="dxa"/>
            <w:vAlign w:val="bottom"/>
            <w:tcBorders>
              <w:top w:val="single" w:sz="8" w:color="CCEEFF"/>
            </w:tcBorders>
            <w:shd w:val="clear" w:color="auto" w:fill="CCEEFF"/>
          </w:tcPr>
          <w:p>
            <w:pPr>
              <w:spacing w:after="0"/>
              <w:rPr>
                <w:sz w:val="20"/>
                <w:szCs w:val="20"/>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98.6 %</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6D6D6D"/>
              </w:rPr>
              <w:t>Los Angeles</w:t>
            </w:r>
          </w:p>
        </w:tc>
        <w:tc>
          <w:tcPr>
            <w:tcW w:w="2060" w:type="dxa"/>
            <w:vAlign w:val="bottom"/>
          </w:tcPr>
          <w:p>
            <w:pPr>
              <w:jc w:val="right"/>
              <w:spacing w:after="0"/>
              <w:rPr>
                <w:sz w:val="20"/>
                <w:szCs w:val="20"/>
                <w:color w:val="auto"/>
              </w:rPr>
            </w:pPr>
            <w:r>
              <w:rPr>
                <w:rFonts w:ascii="Arial" w:cs="Arial" w:eastAsia="Arial" w:hAnsi="Arial"/>
                <w:sz w:val="18"/>
                <w:szCs w:val="18"/>
                <w:color w:val="6D6D6D"/>
              </w:rPr>
              <w:t>90.0 %</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86.5 %</w:t>
            </w: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6D6D6D"/>
              </w:rPr>
              <w:t>91.9 %</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87.0 %</w:t>
            </w:r>
          </w:p>
        </w:tc>
      </w:tr>
      <w:tr>
        <w:trPr>
          <w:trHeight w:val="243"/>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6D6D6D"/>
              </w:rPr>
              <w:t>New York</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89.8 %</w:t>
            </w:r>
          </w:p>
        </w:tc>
        <w:tc>
          <w:tcPr>
            <w:tcW w:w="2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86.2 %</w:t>
            </w:r>
          </w:p>
        </w:tc>
        <w:tc>
          <w:tcPr>
            <w:tcW w:w="26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95.2 %</w:t>
            </w:r>
          </w:p>
        </w:tc>
        <w:tc>
          <w:tcPr>
            <w:tcW w:w="2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92.1 %</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6D6D6D"/>
              </w:rPr>
              <w:t>San Francisco</w:t>
            </w:r>
          </w:p>
        </w:tc>
        <w:tc>
          <w:tcPr>
            <w:tcW w:w="2060" w:type="dxa"/>
            <w:vAlign w:val="bottom"/>
          </w:tcPr>
          <w:p>
            <w:pPr>
              <w:jc w:val="right"/>
              <w:spacing w:after="0"/>
              <w:rPr>
                <w:sz w:val="20"/>
                <w:szCs w:val="20"/>
                <w:color w:val="auto"/>
              </w:rPr>
            </w:pPr>
            <w:r>
              <w:rPr>
                <w:rFonts w:ascii="Arial" w:cs="Arial" w:eastAsia="Arial" w:hAnsi="Arial"/>
                <w:sz w:val="18"/>
                <w:szCs w:val="18"/>
                <w:color w:val="6D6D6D"/>
              </w:rPr>
              <w:t>84.4 %</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81.9 %</w:t>
            </w: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6D6D6D"/>
              </w:rPr>
              <w:t>86.5 %</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84.4 %</w:t>
            </w:r>
          </w:p>
        </w:tc>
      </w:tr>
      <w:tr>
        <w:trPr>
          <w:trHeight w:val="243"/>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6D6D6D"/>
              </w:rPr>
              <w:t>Seattle</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87.0 %</w:t>
            </w:r>
          </w:p>
        </w:tc>
        <w:tc>
          <w:tcPr>
            <w:tcW w:w="2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79.8 %</w:t>
            </w:r>
          </w:p>
        </w:tc>
        <w:tc>
          <w:tcPr>
            <w:tcW w:w="26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87.9 %</w:t>
            </w:r>
          </w:p>
        </w:tc>
        <w:tc>
          <w:tcPr>
            <w:tcW w:w="2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81.3 %</w:t>
            </w:r>
          </w:p>
        </w:tc>
      </w:tr>
      <w:tr>
        <w:trPr>
          <w:trHeight w:val="243"/>
        </w:trPr>
        <w:tc>
          <w:tcPr>
            <w:tcW w:w="2420" w:type="dxa"/>
            <w:vAlign w:val="bottom"/>
            <w:tcBorders>
              <w:bottom w:val="single" w:sz="8" w:color="CCEEFF"/>
            </w:tcBorders>
          </w:tcPr>
          <w:p>
            <w:pPr>
              <w:spacing w:after="0"/>
              <w:rPr>
                <w:sz w:val="20"/>
                <w:szCs w:val="20"/>
                <w:color w:val="auto"/>
              </w:rPr>
            </w:pPr>
            <w:r>
              <w:rPr>
                <w:rFonts w:ascii="Arial" w:cs="Arial" w:eastAsia="Arial" w:hAnsi="Arial"/>
                <w:sz w:val="18"/>
                <w:szCs w:val="18"/>
                <w:color w:val="6D6D6D"/>
              </w:rPr>
              <w:t>Washington, DC</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93.1 %</w:t>
            </w:r>
          </w:p>
        </w:tc>
        <w:tc>
          <w:tcPr>
            <w:tcW w:w="200" w:type="dxa"/>
            <w:vAlign w:val="bottom"/>
            <w:tcBorders>
              <w:bottom w:val="single" w:sz="8" w:color="CCEEFF"/>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92.4 %</w:t>
            </w:r>
          </w:p>
        </w:tc>
        <w:tc>
          <w:tcPr>
            <w:tcW w:w="260" w:type="dxa"/>
            <w:vAlign w:val="bottom"/>
            <w:tcBorders>
              <w:bottom w:val="single" w:sz="8" w:color="CCEEFF"/>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94.4 %</w:t>
            </w:r>
          </w:p>
        </w:tc>
        <w:tc>
          <w:tcPr>
            <w:tcW w:w="200" w:type="dxa"/>
            <w:vAlign w:val="bottom"/>
            <w:tcBorders>
              <w:bottom w:val="single" w:sz="8" w:color="CCEEFF"/>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94.2 %</w:t>
            </w:r>
          </w:p>
        </w:tc>
      </w:tr>
      <w:tr>
        <w:trPr>
          <w:trHeight w:val="236"/>
        </w:trPr>
        <w:tc>
          <w:tcPr>
            <w:tcW w:w="2420" w:type="dxa"/>
            <w:vAlign w:val="bottom"/>
            <w:shd w:val="clear" w:color="auto" w:fill="CCEEFF"/>
          </w:tcPr>
          <w:p>
            <w:pPr>
              <w:ind w:left="660"/>
              <w:spacing w:after="0"/>
              <w:rPr>
                <w:sz w:val="20"/>
                <w:szCs w:val="20"/>
                <w:color w:val="auto"/>
              </w:rPr>
            </w:pPr>
            <w:r>
              <w:rPr>
                <w:rFonts w:ascii="Arial" w:cs="Arial" w:eastAsia="Arial" w:hAnsi="Arial"/>
                <w:sz w:val="18"/>
                <w:szCs w:val="18"/>
                <w:color w:val="6D6D6D"/>
              </w:rPr>
              <w:t>CBD Portfolio</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91.8 %</w:t>
            </w:r>
          </w:p>
        </w:tc>
        <w:tc>
          <w:tcPr>
            <w:tcW w:w="200" w:type="dxa"/>
            <w:vAlign w:val="bottom"/>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89.8 %</w:t>
            </w:r>
          </w:p>
        </w:tc>
        <w:tc>
          <w:tcPr>
            <w:tcW w:w="260" w:type="dxa"/>
            <w:vAlign w:val="bottom"/>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94.1 %</w:t>
            </w:r>
          </w:p>
        </w:tc>
        <w:tc>
          <w:tcPr>
            <w:tcW w:w="200" w:type="dxa"/>
            <w:vAlign w:val="bottom"/>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92.5 %</w:t>
            </w:r>
          </w:p>
        </w:tc>
      </w:tr>
    </w:tbl>
    <w:p>
      <w:pPr>
        <w:spacing w:after="0" w:line="200" w:lineRule="exact"/>
        <w:rPr>
          <w:sz w:val="20"/>
          <w:szCs w:val="20"/>
          <w:color w:val="auto"/>
        </w:rPr>
      </w:pPr>
    </w:p>
    <w:p>
      <w:pPr>
        <w:sectPr>
          <w:pgSz w:w="11900" w:h="16838" w:orient="portrait"/>
          <w:cols w:equalWidth="0" w:num="1">
            <w:col w:w="11180"/>
          </w:cols>
          <w:pgMar w:left="320" w:top="1093" w:right="39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80"/>
        <w:spacing w:after="0"/>
        <w:rPr>
          <w:sz w:val="20"/>
          <w:szCs w:val="20"/>
          <w:color w:val="auto"/>
        </w:rPr>
      </w:pPr>
      <w:r>
        <w:rPr>
          <w:rFonts w:ascii="Arial" w:cs="Arial" w:eastAsia="Arial" w:hAnsi="Arial"/>
          <w:sz w:val="21"/>
          <w:szCs w:val="21"/>
          <w:b w:val="1"/>
          <w:bCs w:val="1"/>
          <w:color w:val="6D6D6D"/>
        </w:rPr>
        <w:t>Total Portfolio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Borders>
              <w:bottom w:val="single" w:sz="8" w:color="auto"/>
            </w:tcBorders>
            <w:gridSpan w:val="2"/>
          </w:tcPr>
          <w:p>
            <w:pPr>
              <w:ind w:left="1100"/>
              <w:spacing w:after="0"/>
              <w:rPr>
                <w:sz w:val="20"/>
                <w:szCs w:val="20"/>
                <w:color w:val="auto"/>
              </w:rPr>
            </w:pPr>
            <w:r>
              <w:rPr>
                <w:rFonts w:ascii="Arial" w:cs="Arial" w:eastAsia="Arial" w:hAnsi="Arial"/>
                <w:sz w:val="16"/>
                <w:szCs w:val="16"/>
                <w:b w:val="1"/>
                <w:bCs w:val="1"/>
                <w:color w:val="6D6D6D"/>
              </w:rPr>
              <w:t xml:space="preserve">% Occupied by Location </w:t>
            </w:r>
            <w:r>
              <w:rPr>
                <w:rFonts w:ascii="Arial" w:cs="Arial" w:eastAsia="Arial" w:hAnsi="Arial"/>
                <w:sz w:val="21"/>
                <w:szCs w:val="21"/>
                <w:b w:val="1"/>
                <w:bCs w:val="1"/>
                <w:color w:val="6D6D6D"/>
                <w:vertAlign w:val="superscript"/>
              </w:rPr>
              <w:t>(1)</w:t>
            </w:r>
          </w:p>
        </w:tc>
        <w:tc>
          <w:tcPr>
            <w:tcW w:w="260" w:type="dxa"/>
            <w:vAlign w:val="bottom"/>
          </w:tcPr>
          <w:p>
            <w:pPr>
              <w:spacing w:after="0"/>
              <w:rPr>
                <w:sz w:val="21"/>
                <w:szCs w:val="21"/>
                <w:color w:val="auto"/>
              </w:rPr>
            </w:pPr>
          </w:p>
        </w:tc>
        <w:tc>
          <w:tcPr>
            <w:tcW w:w="4180" w:type="dxa"/>
            <w:vAlign w:val="bottom"/>
            <w:tcBorders>
              <w:bottom w:val="single" w:sz="8" w:color="auto"/>
            </w:tcBorders>
            <w:gridSpan w:val="2"/>
          </w:tcPr>
          <w:p>
            <w:pPr>
              <w:ind w:left="1140"/>
              <w:spacing w:after="0"/>
              <w:rPr>
                <w:sz w:val="20"/>
                <w:szCs w:val="20"/>
                <w:color w:val="auto"/>
              </w:rPr>
            </w:pPr>
            <w:r>
              <w:rPr>
                <w:rFonts w:ascii="Arial" w:cs="Arial" w:eastAsia="Arial" w:hAnsi="Arial"/>
                <w:sz w:val="16"/>
                <w:szCs w:val="16"/>
                <w:b w:val="1"/>
                <w:bCs w:val="1"/>
                <w:color w:val="6D6D6D"/>
              </w:rPr>
              <w:t xml:space="preserve">% Leased by Location </w:t>
            </w:r>
            <w:r>
              <w:rPr>
                <w:rFonts w:ascii="Arial" w:cs="Arial" w:eastAsia="Arial" w:hAnsi="Arial"/>
                <w:sz w:val="21"/>
                <w:szCs w:val="21"/>
                <w:b w:val="1"/>
                <w:bCs w:val="1"/>
                <w:color w:val="6D6D6D"/>
                <w:vertAlign w:val="superscript"/>
              </w:rPr>
              <w:t>(2)</w:t>
            </w:r>
          </w:p>
        </w:tc>
      </w:tr>
      <w:tr>
        <w:trPr>
          <w:trHeight w:val="223"/>
        </w:trPr>
        <w:tc>
          <w:tcPr>
            <w:tcW w:w="2140" w:type="dxa"/>
            <w:vAlign w:val="bottom"/>
          </w:tcPr>
          <w:p>
            <w:pPr>
              <w:ind w:left="260"/>
              <w:spacing w:after="0"/>
              <w:rPr>
                <w:sz w:val="20"/>
                <w:szCs w:val="20"/>
                <w:color w:val="auto"/>
              </w:rPr>
            </w:pPr>
            <w:r>
              <w:rPr>
                <w:rFonts w:ascii="Arial" w:cs="Arial" w:eastAsia="Arial" w:hAnsi="Arial"/>
                <w:sz w:val="16"/>
                <w:szCs w:val="16"/>
                <w:b w:val="1"/>
                <w:bCs w:val="1"/>
                <w:color w:val="6D6D6D"/>
              </w:rPr>
              <w:t>September 30, 2026</w:t>
            </w:r>
          </w:p>
        </w:tc>
        <w:tc>
          <w:tcPr>
            <w:tcW w:w="2360" w:type="dxa"/>
            <w:vAlign w:val="bottom"/>
            <w:gridSpan w:val="2"/>
          </w:tcPr>
          <w:p>
            <w:pPr>
              <w:ind w:left="380"/>
              <w:spacing w:after="0"/>
              <w:rPr>
                <w:sz w:val="20"/>
                <w:szCs w:val="20"/>
                <w:color w:val="auto"/>
              </w:rPr>
            </w:pPr>
            <w:r>
              <w:rPr>
                <w:rFonts w:ascii="Arial" w:cs="Arial" w:eastAsia="Arial" w:hAnsi="Arial"/>
                <w:sz w:val="16"/>
                <w:szCs w:val="16"/>
                <w:b w:val="1"/>
                <w:bCs w:val="1"/>
                <w:color w:val="6D6D6D"/>
              </w:rPr>
              <w:t>December 31, 2025</w:t>
            </w:r>
          </w:p>
        </w:tc>
        <w:tc>
          <w:tcPr>
            <w:tcW w:w="2100" w:type="dxa"/>
            <w:vAlign w:val="bottom"/>
          </w:tcPr>
          <w:p>
            <w:pPr>
              <w:ind w:left="240"/>
              <w:spacing w:after="0"/>
              <w:rPr>
                <w:sz w:val="20"/>
                <w:szCs w:val="20"/>
                <w:color w:val="auto"/>
              </w:rPr>
            </w:pPr>
            <w:r>
              <w:rPr>
                <w:rFonts w:ascii="Arial" w:cs="Arial" w:eastAsia="Arial" w:hAnsi="Arial"/>
                <w:sz w:val="16"/>
                <w:szCs w:val="16"/>
                <w:b w:val="1"/>
                <w:bCs w:val="1"/>
                <w:color w:val="6D6D6D"/>
              </w:rPr>
              <w:t>September 30, 2026</w:t>
            </w:r>
          </w:p>
        </w:tc>
        <w:tc>
          <w:tcPr>
            <w:tcW w:w="2080" w:type="dxa"/>
            <w:vAlign w:val="bottom"/>
          </w:tcPr>
          <w:p>
            <w:pPr>
              <w:ind w:left="360"/>
              <w:spacing w:after="0"/>
              <w:rPr>
                <w:sz w:val="20"/>
                <w:szCs w:val="20"/>
                <w:color w:val="auto"/>
              </w:rPr>
            </w:pPr>
            <w:r>
              <w:rPr>
                <w:rFonts w:ascii="Arial" w:cs="Arial" w:eastAsia="Arial" w:hAnsi="Arial"/>
                <w:sz w:val="16"/>
                <w:szCs w:val="16"/>
                <w:b w:val="1"/>
                <w:bCs w:val="1"/>
                <w:color w:val="6D6D6D"/>
              </w:rPr>
              <w:t>December 31, 2025</w:t>
            </w:r>
          </w:p>
        </w:tc>
      </w:tr>
    </w:tbl>
    <w:p>
      <w:pPr>
        <w:spacing w:after="0" w:line="1" w:lineRule="exact"/>
        <w:rPr>
          <w:sz w:val="20"/>
          <w:szCs w:val="20"/>
          <w:color w:val="auto"/>
        </w:rPr>
      </w:pPr>
    </w:p>
    <w:p>
      <w:pPr>
        <w:sectPr>
          <w:pgSz w:w="11900" w:h="16838" w:orient="portrait"/>
          <w:cols w:equalWidth="0" w:num="2">
            <w:col w:w="1780" w:space="720"/>
            <w:col w:w="8680"/>
          </w:cols>
          <w:pgMar w:left="320" w:top="1093" w:right="399" w:bottom="1440" w:gutter="0" w:footer="0" w:header="0"/>
          <w:type w:val="continuous"/>
        </w:sectPr>
      </w:pPr>
    </w:p>
    <w:tbl>
      <w:tblPr>
        <w:tblLayout w:type="fixed"/>
        <w:tblInd w:w="80" w:type="dxa"/>
        <w:tblCellMar>
          <w:top w:w="0" w:type="dxa"/>
          <w:left w:w="0" w:type="dxa"/>
          <w:bottom w:w="0" w:type="dxa"/>
          <w:right w:w="0" w:type="dxa"/>
        </w:tblCellMar>
      </w:tblPr>
      <w:tr>
        <w:trPr>
          <w:trHeight w:val="237"/>
        </w:trPr>
        <w:tc>
          <w:tcPr>
            <w:tcW w:w="2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6D6D6D"/>
              </w:rPr>
              <w:t>Boston</w:t>
            </w: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93.4 %</w:t>
            </w:r>
          </w:p>
        </w:tc>
        <w:tc>
          <w:tcPr>
            <w:tcW w:w="200" w:type="dxa"/>
            <w:vAlign w:val="bottom"/>
            <w:tcBorders>
              <w:top w:val="single" w:sz="8" w:color="CCEEFF"/>
            </w:tcBorders>
            <w:shd w:val="clear" w:color="auto" w:fill="CCEEFF"/>
          </w:tcPr>
          <w:p>
            <w:pPr>
              <w:spacing w:after="0"/>
              <w:rPr>
                <w:sz w:val="20"/>
                <w:szCs w:val="20"/>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91.9 %</w:t>
            </w:r>
          </w:p>
        </w:tc>
        <w:tc>
          <w:tcPr>
            <w:tcW w:w="260" w:type="dxa"/>
            <w:vAlign w:val="bottom"/>
            <w:tcBorders>
              <w:top w:val="single" w:sz="8" w:color="CCEEFF"/>
            </w:tcBorders>
            <w:shd w:val="clear" w:color="auto" w:fill="CCEEFF"/>
          </w:tcPr>
          <w:p>
            <w:pPr>
              <w:spacing w:after="0"/>
              <w:rPr>
                <w:sz w:val="20"/>
                <w:szCs w:val="20"/>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94.2 %</w:t>
            </w:r>
          </w:p>
        </w:tc>
        <w:tc>
          <w:tcPr>
            <w:tcW w:w="200" w:type="dxa"/>
            <w:vAlign w:val="bottom"/>
            <w:tcBorders>
              <w:top w:val="single" w:sz="8" w:color="CCEEFF"/>
            </w:tcBorders>
            <w:shd w:val="clear" w:color="auto" w:fill="CCEEFF"/>
          </w:tcPr>
          <w:p>
            <w:pPr>
              <w:spacing w:after="0"/>
              <w:rPr>
                <w:sz w:val="20"/>
                <w:szCs w:val="20"/>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93.1 %</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6D6D6D"/>
              </w:rPr>
              <w:t>Los Angeles</w:t>
            </w:r>
          </w:p>
        </w:tc>
        <w:tc>
          <w:tcPr>
            <w:tcW w:w="2060" w:type="dxa"/>
            <w:vAlign w:val="bottom"/>
          </w:tcPr>
          <w:p>
            <w:pPr>
              <w:jc w:val="right"/>
              <w:spacing w:after="0"/>
              <w:rPr>
                <w:sz w:val="20"/>
                <w:szCs w:val="20"/>
                <w:color w:val="auto"/>
              </w:rPr>
            </w:pPr>
            <w:r>
              <w:rPr>
                <w:rFonts w:ascii="Arial" w:cs="Arial" w:eastAsia="Arial" w:hAnsi="Arial"/>
                <w:sz w:val="18"/>
                <w:szCs w:val="18"/>
                <w:color w:val="6D6D6D"/>
              </w:rPr>
              <w:t>90.0 %</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86.5 %</w:t>
            </w: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6D6D6D"/>
              </w:rPr>
              <w:t>91.9 %</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87.0 %</w:t>
            </w:r>
          </w:p>
        </w:tc>
      </w:tr>
      <w:tr>
        <w:trPr>
          <w:trHeight w:val="243"/>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6D6D6D"/>
              </w:rPr>
              <w:t>New York</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87.3 %</w:t>
            </w:r>
          </w:p>
        </w:tc>
        <w:tc>
          <w:tcPr>
            <w:tcW w:w="2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83.8 %</w:t>
            </w:r>
          </w:p>
        </w:tc>
        <w:tc>
          <w:tcPr>
            <w:tcW w:w="26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92.4 %</w:t>
            </w:r>
          </w:p>
        </w:tc>
        <w:tc>
          <w:tcPr>
            <w:tcW w:w="2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89.4 %</w:t>
            </w:r>
          </w:p>
        </w:tc>
      </w:tr>
      <w:tr>
        <w:trPr>
          <w:trHeight w:val="243"/>
        </w:trPr>
        <w:tc>
          <w:tcPr>
            <w:tcW w:w="2420" w:type="dxa"/>
            <w:vAlign w:val="bottom"/>
          </w:tcPr>
          <w:p>
            <w:pPr>
              <w:spacing w:after="0"/>
              <w:rPr>
                <w:sz w:val="20"/>
                <w:szCs w:val="20"/>
                <w:color w:val="auto"/>
              </w:rPr>
            </w:pPr>
            <w:r>
              <w:rPr>
                <w:rFonts w:ascii="Arial" w:cs="Arial" w:eastAsia="Arial" w:hAnsi="Arial"/>
                <w:sz w:val="18"/>
                <w:szCs w:val="18"/>
                <w:color w:val="6D6D6D"/>
              </w:rPr>
              <w:t>San Francisco</w:t>
            </w:r>
          </w:p>
        </w:tc>
        <w:tc>
          <w:tcPr>
            <w:tcW w:w="2060" w:type="dxa"/>
            <w:vAlign w:val="bottom"/>
          </w:tcPr>
          <w:p>
            <w:pPr>
              <w:jc w:val="right"/>
              <w:spacing w:after="0"/>
              <w:rPr>
                <w:sz w:val="20"/>
                <w:szCs w:val="20"/>
                <w:color w:val="auto"/>
              </w:rPr>
            </w:pPr>
            <w:r>
              <w:rPr>
                <w:rFonts w:ascii="Arial" w:cs="Arial" w:eastAsia="Arial" w:hAnsi="Arial"/>
                <w:sz w:val="18"/>
                <w:szCs w:val="18"/>
                <w:color w:val="6D6D6D"/>
              </w:rPr>
              <w:t>81.4 %</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77.0 %</w:t>
            </w: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6D6D6D"/>
              </w:rPr>
              <w:t>84.0 %</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6D6D6D"/>
              </w:rPr>
              <w:t>79.2 %</w:t>
            </w:r>
          </w:p>
        </w:tc>
      </w:tr>
      <w:tr>
        <w:trPr>
          <w:trHeight w:val="243"/>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6D6D6D"/>
              </w:rPr>
              <w:t>Seattle</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87.0 %</w:t>
            </w:r>
          </w:p>
        </w:tc>
        <w:tc>
          <w:tcPr>
            <w:tcW w:w="2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79.8 %</w:t>
            </w:r>
          </w:p>
        </w:tc>
        <w:tc>
          <w:tcPr>
            <w:tcW w:w="260" w:type="dxa"/>
            <w:vAlign w:val="bottom"/>
            <w:shd w:val="clear" w:color="auto" w:fill="CCEEFF"/>
          </w:tcPr>
          <w:p>
            <w:pPr>
              <w:spacing w:after="0"/>
              <w:rPr>
                <w:sz w:val="21"/>
                <w:szCs w:val="21"/>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87.9 %</w:t>
            </w:r>
          </w:p>
        </w:tc>
        <w:tc>
          <w:tcPr>
            <w:tcW w:w="2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6D6D6D"/>
              </w:rPr>
              <w:t>81.3 %</w:t>
            </w:r>
          </w:p>
        </w:tc>
      </w:tr>
      <w:tr>
        <w:trPr>
          <w:trHeight w:val="243"/>
        </w:trPr>
        <w:tc>
          <w:tcPr>
            <w:tcW w:w="2420" w:type="dxa"/>
            <w:vAlign w:val="bottom"/>
            <w:tcBorders>
              <w:bottom w:val="single" w:sz="8" w:color="CCEEFF"/>
            </w:tcBorders>
          </w:tcPr>
          <w:p>
            <w:pPr>
              <w:spacing w:after="0"/>
              <w:rPr>
                <w:sz w:val="20"/>
                <w:szCs w:val="20"/>
                <w:color w:val="auto"/>
              </w:rPr>
            </w:pPr>
            <w:r>
              <w:rPr>
                <w:rFonts w:ascii="Arial" w:cs="Arial" w:eastAsia="Arial" w:hAnsi="Arial"/>
                <w:sz w:val="18"/>
                <w:szCs w:val="18"/>
                <w:color w:val="6D6D6D"/>
              </w:rPr>
              <w:t>Washington, DC</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92.2 %</w:t>
            </w:r>
          </w:p>
        </w:tc>
        <w:tc>
          <w:tcPr>
            <w:tcW w:w="200" w:type="dxa"/>
            <w:vAlign w:val="bottom"/>
            <w:tcBorders>
              <w:bottom w:val="single" w:sz="8" w:color="CCEEFF"/>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91.7 %</w:t>
            </w:r>
          </w:p>
        </w:tc>
        <w:tc>
          <w:tcPr>
            <w:tcW w:w="260" w:type="dxa"/>
            <w:vAlign w:val="bottom"/>
            <w:tcBorders>
              <w:bottom w:val="single" w:sz="8" w:color="CCEEFF"/>
            </w:tcBorders>
          </w:tcPr>
          <w:p>
            <w:pPr>
              <w:spacing w:after="0"/>
              <w:rPr>
                <w:sz w:val="21"/>
                <w:szCs w:val="21"/>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93.9 %</w:t>
            </w:r>
          </w:p>
        </w:tc>
        <w:tc>
          <w:tcPr>
            <w:tcW w:w="200" w:type="dxa"/>
            <w:vAlign w:val="bottom"/>
            <w:tcBorders>
              <w:bottom w:val="single" w:sz="8" w:color="CCEEFF"/>
            </w:tcBorders>
          </w:tcPr>
          <w:p>
            <w:pPr>
              <w:spacing w:after="0"/>
              <w:rPr>
                <w:sz w:val="21"/>
                <w:szCs w:val="21"/>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6D6D6D"/>
              </w:rPr>
              <w:t>93.8 %</w:t>
            </w:r>
          </w:p>
        </w:tc>
      </w:tr>
      <w:tr>
        <w:trPr>
          <w:trHeight w:val="236"/>
        </w:trPr>
        <w:tc>
          <w:tcPr>
            <w:tcW w:w="2420" w:type="dxa"/>
            <w:vAlign w:val="bottom"/>
            <w:shd w:val="clear" w:color="auto" w:fill="CCEEFF"/>
          </w:tcPr>
          <w:p>
            <w:pPr>
              <w:ind w:left="660"/>
              <w:spacing w:after="0"/>
              <w:rPr>
                <w:sz w:val="20"/>
                <w:szCs w:val="20"/>
                <w:color w:val="auto"/>
              </w:rPr>
            </w:pPr>
            <w:r>
              <w:rPr>
                <w:rFonts w:ascii="Arial" w:cs="Arial" w:eastAsia="Arial" w:hAnsi="Arial"/>
                <w:sz w:val="18"/>
                <w:szCs w:val="18"/>
                <w:color w:val="6D6D6D"/>
              </w:rPr>
              <w:t>Total Portfolio</w:t>
            </w: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89.4 %</w:t>
            </w:r>
          </w:p>
        </w:tc>
        <w:tc>
          <w:tcPr>
            <w:tcW w:w="200" w:type="dxa"/>
            <w:vAlign w:val="bottom"/>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86.7 %</w:t>
            </w:r>
          </w:p>
        </w:tc>
        <w:tc>
          <w:tcPr>
            <w:tcW w:w="260" w:type="dxa"/>
            <w:vAlign w:val="bottom"/>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91.9 %</w:t>
            </w:r>
          </w:p>
        </w:tc>
        <w:tc>
          <w:tcPr>
            <w:tcW w:w="200" w:type="dxa"/>
            <w:vAlign w:val="bottom"/>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6D6D6D"/>
              </w:rPr>
              <w:t>89.4 %</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20" w:hanging="312"/>
        <w:spacing w:after="0"/>
        <w:tabs>
          <w:tab w:leader="none" w:pos="320" w:val="left"/>
        </w:tabs>
        <w:numPr>
          <w:ilvl w:val="0"/>
          <w:numId w:val="139"/>
        </w:numPr>
        <w:rPr>
          <w:rFonts w:ascii="Arial" w:cs="Arial" w:eastAsia="Arial" w:hAnsi="Arial"/>
          <w:sz w:val="18"/>
          <w:szCs w:val="18"/>
          <w:color w:val="6D6D6D"/>
        </w:rPr>
      </w:pPr>
      <w:r>
        <w:rPr>
          <w:rFonts w:ascii="Arial" w:cs="Arial" w:eastAsia="Arial" w:hAnsi="Arial"/>
          <w:sz w:val="18"/>
          <w:szCs w:val="18"/>
          <w:color w:val="6D6D6D"/>
        </w:rPr>
        <w:t>Represents signed leases for which revenue recognition has commenced in accordance with GAAP.</w:t>
      </w:r>
    </w:p>
    <w:p>
      <w:pPr>
        <w:spacing w:after="0" w:line="103" w:lineRule="exact"/>
        <w:rPr>
          <w:rFonts w:ascii="Arial" w:cs="Arial" w:eastAsia="Arial" w:hAnsi="Arial"/>
          <w:sz w:val="18"/>
          <w:szCs w:val="18"/>
          <w:color w:val="6D6D6D"/>
        </w:rPr>
      </w:pPr>
    </w:p>
    <w:p>
      <w:pPr>
        <w:ind w:left="340" w:right="60" w:hanging="332"/>
        <w:spacing w:after="0" w:line="287" w:lineRule="auto"/>
        <w:tabs>
          <w:tab w:leader="none" w:pos="330" w:val="left"/>
        </w:tabs>
        <w:numPr>
          <w:ilvl w:val="0"/>
          <w:numId w:val="139"/>
        </w:numPr>
        <w:rPr>
          <w:rFonts w:ascii="Arial" w:cs="Arial" w:eastAsia="Arial" w:hAnsi="Arial"/>
          <w:sz w:val="18"/>
          <w:szCs w:val="18"/>
          <w:color w:val="6D6D6D"/>
        </w:rPr>
      </w:pPr>
      <w:r>
        <w:rPr>
          <w:rFonts w:ascii="Arial" w:cs="Arial" w:eastAsia="Arial" w:hAnsi="Arial"/>
          <w:sz w:val="18"/>
          <w:szCs w:val="18"/>
          <w:color w:val="6D6D6D"/>
        </w:rPr>
        <w:t>Represents signed leases for which revenue recognition has commenced in accordance with GAAP and signed leases for vacant space with future commencement dates.</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6B6B6B"/>
        </w:rPr>
        <w:t>AT BXP</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6B6B6B"/>
        </w:rPr>
        <w:t>Michael LaBelle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6B6B6B"/>
        </w:rPr>
        <w:t>Executive Vice President,</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6B6B6B"/>
        </w:rPr>
        <w:t>Chief Financial Officer and Treasurer</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color w:val="6B6B6B"/>
        </w:rPr>
        <w:t>mlabelle@bxp.com</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6B6B6B"/>
        </w:rPr>
        <w:t>Helen Han</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6B6B6B"/>
        </w:rPr>
        <w:t>Vice President, Investor Relations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6B6B6B"/>
        </w:rPr>
        <w:t>hhan@bxp.com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 # #</w:t>
      </w:r>
    </w:p>
    <w:sectPr>
      <w:pgSz w:w="11900" w:h="16838" w:orient="portrait"/>
      <w:cols w:equalWidth="0" w:num="1">
        <w:col w:w="11180"/>
      </w:cols>
      <w:pgMar w:left="320" w:top="1093"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abstractNum>
  <w:abstractNum w:abstractNumId="2">
    <w:nsid w:val="799D0247"/>
    <w:multiLevelType w:val="hybridMultilevel"/>
    <w:lvl w:ilvl="0">
      <w:lvlJc w:val="left"/>
      <w:lvlText w:val="1"/>
      <w:numFmt w:val="bullet"/>
      <w:start w:val="1"/>
    </w:lvl>
  </w:abstractNum>
  <w:abstractNum w:abstractNumId="3">
    <w:nsid w:val="6B94764"/>
    <w:multiLevelType w:val="hybridMultilevel"/>
    <w:lvl w:ilvl="0">
      <w:lvlJc w:val="left"/>
      <w:lvlText w:val="2"/>
      <w:numFmt w:val="bullet"/>
      <w:start w:val="1"/>
    </w:lvl>
  </w:abstractNum>
  <w:abstractNum w:abstractNumId="4">
    <w:nsid w:val="42C296BD"/>
    <w:multiLevelType w:val="hybridMultilevel"/>
    <w:lvl w:ilvl="0">
      <w:lvlJc w:val="left"/>
      <w:lvlText w:val="3"/>
      <w:numFmt w:val="bullet"/>
      <w:start w:val="1"/>
    </w:lvl>
  </w:abstractNum>
  <w:abstractNum w:abstractNumId="5">
    <w:nsid w:val="168E121F"/>
    <w:multiLevelType w:val="hybridMultilevel"/>
    <w:lvl w:ilvl="0">
      <w:lvlJc w:val="left"/>
      <w:lvlText w:val="(%1)"/>
      <w:numFmt w:val="decimal"/>
      <w:start w:val="4"/>
    </w:lvl>
  </w:abstractNum>
  <w:abstractNum w:abstractNumId="6">
    <w:nsid w:val="1EBA5D23"/>
    <w:multiLevelType w:val="hybridMultilevel"/>
    <w:lvl w:ilvl="0">
      <w:lvlJc w:val="left"/>
      <w:lvlText w:val="1"/>
      <w:numFmt w:val="bullet"/>
      <w:start w:val="1"/>
    </w:lvl>
  </w:abstractNum>
  <w:abstractNum w:abstractNumId="7">
    <w:nsid w:val="661E3F1E"/>
    <w:multiLevelType w:val="hybridMultilevel"/>
    <w:lvl w:ilvl="0">
      <w:lvlJc w:val="left"/>
      <w:lvlText w:val="2"/>
      <w:numFmt w:val="bullet"/>
      <w:start w:val="1"/>
    </w:lvl>
  </w:abstractNum>
  <w:abstractNum w:abstractNumId="8">
    <w:nsid w:val="5DC79EA8"/>
    <w:multiLevelType w:val="hybridMultilevel"/>
    <w:lvl w:ilvl="0">
      <w:lvlJc w:val="left"/>
      <w:lvlText w:val="1"/>
      <w:numFmt w:val="bullet"/>
      <w:start w:val="1"/>
    </w:lvl>
  </w:abstractNum>
  <w:abstractNum w:abstractNumId="9">
    <w:nsid w:val="540A471C"/>
    <w:multiLevelType w:val="hybridMultilevel"/>
    <w:lvl w:ilvl="0">
      <w:lvlJc w:val="left"/>
      <w:lvlText w:val="2"/>
      <w:numFmt w:val="bullet"/>
      <w:start w:val="1"/>
    </w:lvl>
  </w:abstractNum>
  <w:abstractNum w:abstractNumId="10">
    <w:nsid w:val="7BD3EE7B"/>
    <w:multiLevelType w:val="hybridMultilevel"/>
    <w:lvl w:ilvl="0">
      <w:lvlJc w:val="left"/>
      <w:lvlText w:val="3"/>
      <w:numFmt w:val="bullet"/>
      <w:start w:val="1"/>
    </w:lvl>
  </w:abstractNum>
  <w:abstractNum w:abstractNumId="11">
    <w:nsid w:val="51D9C564"/>
    <w:multiLevelType w:val="hybridMultilevel"/>
    <w:lvl w:ilvl="0">
      <w:lvlJc w:val="left"/>
      <w:lvlText w:val="4"/>
      <w:numFmt w:val="bullet"/>
      <w:start w:val="1"/>
    </w:lvl>
  </w:abstractNum>
  <w:abstractNum w:abstractNumId="12">
    <w:nsid w:val="613EFDC5"/>
    <w:multiLevelType w:val="hybridMultilevel"/>
    <w:lvl w:ilvl="0">
      <w:lvlJc w:val="left"/>
      <w:lvlText w:val="%1"/>
      <w:numFmt w:val="decimal"/>
      <w:start w:val="10"/>
    </w:lvl>
  </w:abstractNum>
  <w:abstractNum w:abstractNumId="13">
    <w:nsid w:val="BF72B14"/>
    <w:multiLevelType w:val="hybridMultilevel"/>
    <w:lvl w:ilvl="0">
      <w:lvlJc w:val="left"/>
      <w:lvlText w:val="%1"/>
      <w:numFmt w:val="decimal"/>
      <w:start w:val="12"/>
    </w:lvl>
  </w:abstractNum>
  <w:abstractNum w:abstractNumId="14">
    <w:nsid w:val="11447B73"/>
    <w:multiLevelType w:val="hybridMultilevel"/>
    <w:lvl w:ilvl="0">
      <w:lvlJc w:val="left"/>
      <w:lvlText w:val="1"/>
      <w:numFmt w:val="bullet"/>
      <w:start w:val="1"/>
    </w:lvl>
  </w:abstractNum>
  <w:abstractNum w:abstractNumId="15">
    <w:nsid w:val="42963E5A"/>
    <w:multiLevelType w:val="hybridMultilevel"/>
    <w:lvl w:ilvl="0">
      <w:lvlJc w:val="left"/>
      <w:lvlText w:val="2"/>
      <w:numFmt w:val="bullet"/>
      <w:start w:val="1"/>
    </w:lvl>
  </w:abstractNum>
  <w:abstractNum w:abstractNumId="16">
    <w:nsid w:val="A0382C5"/>
    <w:multiLevelType w:val="hybridMultilevel"/>
    <w:lvl w:ilvl="0">
      <w:lvlJc w:val="left"/>
      <w:lvlText w:val="3"/>
      <w:numFmt w:val="bullet"/>
      <w:start w:val="1"/>
    </w:lvl>
  </w:abstractNum>
  <w:abstractNum w:abstractNumId="17">
    <w:nsid w:val="8F2B15E"/>
    <w:multiLevelType w:val="hybridMultilevel"/>
    <w:lvl w:ilvl="0">
      <w:lvlJc w:val="left"/>
      <w:lvlText w:val="5"/>
      <w:numFmt w:val="bullet"/>
      <w:start w:val="1"/>
    </w:lvl>
  </w:abstractNum>
  <w:abstractNum w:abstractNumId="18">
    <w:nsid w:val="1A32234B"/>
    <w:multiLevelType w:val="hybridMultilevel"/>
    <w:lvl w:ilvl="0">
      <w:lvlJc w:val="left"/>
      <w:lvlText w:val="6"/>
      <w:numFmt w:val="bullet"/>
      <w:start w:val="1"/>
    </w:lvl>
  </w:abstractNum>
  <w:abstractNum w:abstractNumId="19">
    <w:nsid w:val="3B0FD379"/>
    <w:multiLevelType w:val="hybridMultilevel"/>
    <w:lvl w:ilvl="0">
      <w:lvlJc w:val="left"/>
      <w:lvlText w:val="1"/>
      <w:numFmt w:val="bullet"/>
      <w:start w:val="1"/>
    </w:lvl>
  </w:abstractNum>
  <w:abstractNum w:abstractNumId="20">
    <w:nsid w:val="68EB2F63"/>
    <w:multiLevelType w:val="hybridMultilevel"/>
    <w:lvl w:ilvl="0">
      <w:lvlJc w:val="left"/>
      <w:lvlText w:val="1"/>
      <w:numFmt w:val="bullet"/>
      <w:start w:val="1"/>
    </w:lvl>
  </w:abstractNum>
  <w:abstractNum w:abstractNumId="21">
    <w:nsid w:val="4962813B"/>
    <w:multiLevelType w:val="hybridMultilevel"/>
    <w:lvl w:ilvl="0">
      <w:lvlJc w:val="left"/>
      <w:lvlText w:val="1"/>
      <w:numFmt w:val="bullet"/>
      <w:start w:val="1"/>
    </w:lvl>
  </w:abstractNum>
  <w:abstractNum w:abstractNumId="22">
    <w:nsid w:val="60B6DF70"/>
    <w:multiLevelType w:val="hybridMultilevel"/>
    <w:lvl w:ilvl="0">
      <w:lvlJc w:val="left"/>
      <w:lvlText w:val="2"/>
      <w:numFmt w:val="bullet"/>
      <w:start w:val="1"/>
    </w:lvl>
  </w:abstractNum>
  <w:abstractNum w:abstractNumId="23">
    <w:nsid w:val="6A5EE64"/>
    <w:multiLevelType w:val="hybridMultilevel"/>
    <w:lvl w:ilvl="0">
      <w:lvlJc w:val="left"/>
      <w:lvlText w:val="3"/>
      <w:numFmt w:val="bullet"/>
      <w:start w:val="1"/>
    </w:lvl>
  </w:abstractNum>
  <w:abstractNum w:abstractNumId="24">
    <w:nsid w:val="14330624"/>
    <w:multiLevelType w:val="hybridMultilevel"/>
    <w:lvl w:ilvl="0">
      <w:lvlJc w:val="left"/>
      <w:lvlText w:val="1"/>
      <w:numFmt w:val="bullet"/>
      <w:start w:val="1"/>
    </w:lvl>
  </w:abstractNum>
  <w:abstractNum w:abstractNumId="25">
    <w:nsid w:val="7FFFCA11"/>
    <w:multiLevelType w:val="hybridMultilevel"/>
    <w:lvl w:ilvl="0">
      <w:lvlJc w:val="left"/>
      <w:lvlText w:val="2"/>
      <w:numFmt w:val="bullet"/>
      <w:start w:val="1"/>
    </w:lvl>
  </w:abstractNum>
  <w:abstractNum w:abstractNumId="26">
    <w:nsid w:val="1A27709E"/>
    <w:multiLevelType w:val="hybridMultilevel"/>
    <w:lvl w:ilvl="0">
      <w:lvlJc w:val="left"/>
      <w:lvlText w:val="3"/>
      <w:numFmt w:val="bullet"/>
      <w:start w:val="1"/>
    </w:lvl>
  </w:abstractNum>
  <w:abstractNum w:abstractNumId="27">
    <w:nsid w:val="71EA1109"/>
    <w:multiLevelType w:val="hybridMultilevel"/>
    <w:lvl w:ilvl="0">
      <w:lvlJc w:val="left"/>
      <w:lvlText w:val="4"/>
      <w:numFmt w:val="bullet"/>
      <w:start w:val="1"/>
    </w:lvl>
  </w:abstractNum>
  <w:abstractNum w:abstractNumId="28">
    <w:nsid w:val="100F59DC"/>
    <w:multiLevelType w:val="hybridMultilevel"/>
    <w:lvl w:ilvl="0">
      <w:lvlJc w:val="left"/>
      <w:lvlText w:val="1"/>
      <w:numFmt w:val="bullet"/>
      <w:start w:val="1"/>
    </w:lvl>
  </w:abstractNum>
  <w:abstractNum w:abstractNumId="29">
    <w:nsid w:val="7FB7E0AA"/>
    <w:multiLevelType w:val="hybridMultilevel"/>
    <w:lvl w:ilvl="0">
      <w:lvlJc w:val="left"/>
      <w:lvlText w:val="2"/>
      <w:numFmt w:val="bullet"/>
      <w:start w:val="1"/>
    </w:lvl>
  </w:abstractNum>
  <w:abstractNum w:abstractNumId="30">
    <w:nsid w:val="6EB5BD4"/>
    <w:multiLevelType w:val="hybridMultilevel"/>
    <w:lvl w:ilvl="0">
      <w:lvlJc w:val="left"/>
      <w:lvlText w:val="3"/>
      <w:numFmt w:val="bullet"/>
      <w:start w:val="1"/>
    </w:lvl>
  </w:abstractNum>
  <w:abstractNum w:abstractNumId="31">
    <w:nsid w:val="6F6DD9AC"/>
    <w:multiLevelType w:val="hybridMultilevel"/>
    <w:lvl w:ilvl="0">
      <w:lvlJc w:val="left"/>
      <w:lvlText w:val="4"/>
      <w:numFmt w:val="bullet"/>
      <w:start w:val="1"/>
    </w:lvl>
  </w:abstractNum>
  <w:abstractNum w:abstractNumId="32">
    <w:nsid w:val="94211F2"/>
    <w:multiLevelType w:val="hybridMultilevel"/>
    <w:lvl w:ilvl="0">
      <w:lvlJc w:val="left"/>
      <w:lvlText w:val="5"/>
      <w:numFmt w:val="bullet"/>
      <w:start w:val="1"/>
    </w:lvl>
  </w:abstractNum>
  <w:abstractNum w:abstractNumId="33">
    <w:nsid w:val="885E1B"/>
    <w:multiLevelType w:val="hybridMultilevel"/>
    <w:lvl w:ilvl="0">
      <w:lvlJc w:val="left"/>
      <w:lvlText w:val="6"/>
      <w:numFmt w:val="bullet"/>
      <w:start w:val="1"/>
    </w:lvl>
  </w:abstractNum>
  <w:abstractNum w:abstractNumId="34">
    <w:nsid w:val="76272110"/>
    <w:multiLevelType w:val="hybridMultilevel"/>
    <w:lvl w:ilvl="0">
      <w:lvlJc w:val="left"/>
      <w:lvlText w:val="1"/>
      <w:numFmt w:val="bullet"/>
      <w:start w:val="1"/>
    </w:lvl>
  </w:abstractNum>
  <w:abstractNum w:abstractNumId="35">
    <w:nsid w:val="4C04A8AF"/>
    <w:multiLevelType w:val="hybridMultilevel"/>
    <w:lvl w:ilvl="0">
      <w:lvlJc w:val="left"/>
      <w:lvlText w:val="1"/>
      <w:numFmt w:val="bullet"/>
      <w:start w:val="1"/>
    </w:lvl>
  </w:abstractNum>
  <w:abstractNum w:abstractNumId="36">
    <w:nsid w:val="1716703B"/>
    <w:multiLevelType w:val="hybridMultilevel"/>
    <w:lvl w:ilvl="0">
      <w:lvlJc w:val="left"/>
      <w:lvlText w:val="2"/>
      <w:numFmt w:val="bullet"/>
      <w:start w:val="1"/>
    </w:lvl>
  </w:abstractNum>
  <w:abstractNum w:abstractNumId="37">
    <w:nsid w:val="14E17E33"/>
    <w:multiLevelType w:val="hybridMultilevel"/>
    <w:lvl w:ilvl="0">
      <w:lvlJc w:val="left"/>
      <w:lvlText w:val="3"/>
      <w:numFmt w:val="bullet"/>
      <w:start w:val="1"/>
    </w:lvl>
  </w:abstractNum>
  <w:abstractNum w:abstractNumId="38">
    <w:nsid w:val="3222E7CD"/>
    <w:multiLevelType w:val="hybridMultilevel"/>
    <w:lvl w:ilvl="0">
      <w:lvlJc w:val="left"/>
      <w:lvlText w:val="1"/>
      <w:numFmt w:val="bullet"/>
      <w:start w:val="1"/>
    </w:lvl>
  </w:abstractNum>
  <w:abstractNum w:abstractNumId="39">
    <w:nsid w:val="74DE0EE3"/>
    <w:multiLevelType w:val="hybridMultilevel"/>
    <w:lvl w:ilvl="0">
      <w:lvlJc w:val="left"/>
      <w:lvlText w:val="2"/>
      <w:numFmt w:val="bullet"/>
      <w:start w:val="1"/>
    </w:lvl>
  </w:abstractNum>
  <w:abstractNum w:abstractNumId="40">
    <w:nsid w:val="68EBC550"/>
    <w:multiLevelType w:val="hybridMultilevel"/>
    <w:lvl w:ilvl="0">
      <w:lvlJc w:val="left"/>
      <w:lvlText w:val="3"/>
      <w:numFmt w:val="bullet"/>
      <w:start w:val="1"/>
    </w:lvl>
  </w:abstractNum>
  <w:abstractNum w:abstractNumId="41">
    <w:nsid w:val="2DF6D648"/>
    <w:multiLevelType w:val="hybridMultilevel"/>
    <w:lvl w:ilvl="0">
      <w:lvlJc w:val="left"/>
      <w:lvlText w:val="4"/>
      <w:numFmt w:val="bullet"/>
      <w:start w:val="1"/>
    </w:lvl>
  </w:abstractNum>
  <w:abstractNum w:abstractNumId="42">
    <w:nsid w:val="46B7D447"/>
    <w:multiLevelType w:val="hybridMultilevel"/>
    <w:lvl w:ilvl="0">
      <w:lvlJc w:val="left"/>
      <w:lvlText w:val="5"/>
      <w:numFmt w:val="bullet"/>
      <w:start w:val="1"/>
    </w:lvl>
  </w:abstractNum>
  <w:abstractNum w:abstractNumId="43">
    <w:nsid w:val="4A2AC315"/>
    <w:multiLevelType w:val="hybridMultilevel"/>
    <w:lvl w:ilvl="0">
      <w:lvlJc w:val="left"/>
      <w:lvlText w:val="6"/>
      <w:numFmt w:val="bullet"/>
      <w:start w:val="1"/>
    </w:lvl>
  </w:abstractNum>
  <w:abstractNum w:abstractNumId="44">
    <w:nsid w:val="39EE015C"/>
    <w:multiLevelType w:val="hybridMultilevel"/>
    <w:lvl w:ilvl="0">
      <w:lvlJc w:val="left"/>
      <w:lvlText w:val="8"/>
      <w:numFmt w:val="bullet"/>
      <w:start w:val="1"/>
    </w:lvl>
  </w:abstractNum>
  <w:abstractNum w:abstractNumId="45">
    <w:nsid w:val="57FC4FBB"/>
    <w:multiLevelType w:val="hybridMultilevel"/>
    <w:lvl w:ilvl="0">
      <w:lvlJc w:val="left"/>
      <w:lvlText w:val="9"/>
      <w:numFmt w:val="bullet"/>
      <w:start w:val="1"/>
    </w:lvl>
  </w:abstractNum>
  <w:abstractNum w:abstractNumId="46">
    <w:nsid w:val="CC1016F"/>
    <w:multiLevelType w:val="hybridMultilevel"/>
    <w:lvl w:ilvl="0">
      <w:lvlJc w:val="left"/>
      <w:lvlText w:val="%1"/>
      <w:numFmt w:val="decimal"/>
      <w:start w:val="10"/>
    </w:lvl>
  </w:abstractNum>
  <w:abstractNum w:abstractNumId="47">
    <w:nsid w:val="43F18422"/>
    <w:multiLevelType w:val="hybridMultilevel"/>
    <w:lvl w:ilvl="0">
      <w:lvlJc w:val="left"/>
      <w:lvlText w:val="1"/>
      <w:numFmt w:val="bullet"/>
      <w:start w:val="1"/>
    </w:lvl>
  </w:abstractNum>
  <w:abstractNum w:abstractNumId="48">
    <w:nsid w:val="60EF0119"/>
    <w:multiLevelType w:val="hybridMultilevel"/>
    <w:lvl w:ilvl="0">
      <w:lvlJc w:val="left"/>
      <w:lvlText w:val="2"/>
      <w:numFmt w:val="bullet"/>
      <w:start w:val="1"/>
    </w:lvl>
  </w:abstractNum>
  <w:abstractNum w:abstractNumId="49">
    <w:nsid w:val="26F324BA"/>
    <w:multiLevelType w:val="hybridMultilevel"/>
    <w:lvl w:ilvl="0">
      <w:lvlJc w:val="left"/>
      <w:lvlText w:val="3"/>
      <w:numFmt w:val="bullet"/>
      <w:start w:val="1"/>
    </w:lvl>
  </w:abstractNum>
  <w:abstractNum w:abstractNumId="50">
    <w:nsid w:val="7F01579B"/>
    <w:multiLevelType w:val="hybridMultilevel"/>
    <w:lvl w:ilvl="0">
      <w:lvlJc w:val="left"/>
      <w:lvlText w:val="1"/>
      <w:numFmt w:val="bullet"/>
      <w:start w:val="1"/>
    </w:lvl>
  </w:abstractNum>
  <w:abstractNum w:abstractNumId="51">
    <w:nsid w:val="49DA307D"/>
    <w:multiLevelType w:val="hybridMultilevel"/>
    <w:lvl w:ilvl="0">
      <w:lvlJc w:val="left"/>
      <w:lvlText w:val="5"/>
      <w:numFmt w:val="bullet"/>
      <w:start w:val="1"/>
    </w:lvl>
  </w:abstractNum>
  <w:abstractNum w:abstractNumId="52">
    <w:nsid w:val="7055A5F5"/>
    <w:multiLevelType w:val="hybridMultilevel"/>
    <w:lvl w:ilvl="0">
      <w:lvlJc w:val="left"/>
      <w:lvlText w:val="6"/>
      <w:numFmt w:val="bullet"/>
      <w:start w:val="1"/>
    </w:lvl>
  </w:abstractNum>
  <w:abstractNum w:abstractNumId="53">
    <w:nsid w:val="5FB8370B"/>
    <w:multiLevelType w:val="hybridMultilevel"/>
    <w:lvl w:ilvl="0">
      <w:lvlJc w:val="left"/>
      <w:lvlText w:val="7"/>
      <w:numFmt w:val="bullet"/>
      <w:start w:val="1"/>
    </w:lvl>
  </w:abstractNum>
  <w:abstractNum w:abstractNumId="54">
    <w:nsid w:val="50801EE1"/>
    <w:multiLevelType w:val="hybridMultilevel"/>
    <w:lvl w:ilvl="0">
      <w:lvlJc w:val="left"/>
      <w:lvlText w:val="1"/>
      <w:numFmt w:val="bullet"/>
      <w:start w:val="1"/>
    </w:lvl>
  </w:abstractNum>
  <w:abstractNum w:abstractNumId="55">
    <w:nsid w:val="488AC1A"/>
    <w:multiLevelType w:val="hybridMultilevel"/>
    <w:lvl w:ilvl="0">
      <w:lvlJc w:val="left"/>
      <w:lvlText w:val="1"/>
      <w:numFmt w:val="bullet"/>
      <w:start w:val="1"/>
    </w:lvl>
  </w:abstractNum>
  <w:abstractNum w:abstractNumId="56">
    <w:nsid w:val="5FB8011C"/>
    <w:multiLevelType w:val="hybridMultilevel"/>
    <w:lvl w:ilvl="0">
      <w:lvlJc w:val="left"/>
      <w:lvlText w:val="2"/>
      <w:numFmt w:val="bullet"/>
      <w:start w:val="1"/>
    </w:lvl>
  </w:abstractNum>
  <w:abstractNum w:abstractNumId="57">
    <w:nsid w:val="6AA78F7F"/>
    <w:multiLevelType w:val="hybridMultilevel"/>
    <w:lvl w:ilvl="0">
      <w:lvlJc w:val="left"/>
      <w:lvlText w:val="3"/>
      <w:numFmt w:val="bullet"/>
      <w:start w:val="1"/>
    </w:lvl>
  </w:abstractNum>
  <w:abstractNum w:abstractNumId="58">
    <w:nsid w:val="7672BD23"/>
    <w:multiLevelType w:val="hybridMultilevel"/>
    <w:lvl w:ilvl="0">
      <w:lvlJc w:val="left"/>
      <w:lvlText w:val="1"/>
      <w:numFmt w:val="bullet"/>
      <w:start w:val="1"/>
    </w:lvl>
  </w:abstractNum>
  <w:abstractNum w:abstractNumId="59">
    <w:nsid w:val="6FC75AF8"/>
    <w:multiLevelType w:val="hybridMultilevel"/>
    <w:lvl w:ilvl="0">
      <w:lvlJc w:val="left"/>
      <w:lvlText w:val="2"/>
      <w:numFmt w:val="bullet"/>
      <w:start w:val="1"/>
    </w:lvl>
  </w:abstractNum>
  <w:abstractNum w:abstractNumId="60">
    <w:nsid w:val="6A5F7029"/>
    <w:multiLevelType w:val="hybridMultilevel"/>
    <w:lvl w:ilvl="0">
      <w:lvlJc w:val="left"/>
      <w:lvlText w:val="3"/>
      <w:numFmt w:val="bullet"/>
      <w:start w:val="1"/>
    </w:lvl>
  </w:abstractNum>
  <w:abstractNum w:abstractNumId="61">
    <w:nsid w:val="7D5E18F8"/>
    <w:multiLevelType w:val="hybridMultilevel"/>
    <w:lvl w:ilvl="0">
      <w:lvlJc w:val="left"/>
      <w:lvlText w:val="1"/>
      <w:numFmt w:val="bullet"/>
      <w:start w:val="1"/>
    </w:lvl>
  </w:abstractNum>
  <w:abstractNum w:abstractNumId="62">
    <w:nsid w:val="5F3534A4"/>
    <w:multiLevelType w:val="hybridMultilevel"/>
    <w:lvl w:ilvl="0">
      <w:lvlJc w:val="left"/>
      <w:lvlText w:val="3"/>
      <w:numFmt w:val="bullet"/>
      <w:start w:val="1"/>
    </w:lvl>
  </w:abstractNum>
  <w:abstractNum w:abstractNumId="63">
    <w:nsid w:val="73A1821B"/>
    <w:multiLevelType w:val="hybridMultilevel"/>
    <w:lvl w:ilvl="0">
      <w:lvlJc w:val="left"/>
      <w:lvlText w:val="4"/>
      <w:numFmt w:val="bullet"/>
      <w:start w:val="1"/>
    </w:lvl>
  </w:abstractNum>
  <w:abstractNum w:abstractNumId="64">
    <w:nsid w:val="7DE67713"/>
    <w:multiLevelType w:val="hybridMultilevel"/>
    <w:lvl w:ilvl="0">
      <w:lvlJc w:val="left"/>
      <w:lvlText w:val="1"/>
      <w:numFmt w:val="bullet"/>
      <w:start w:val="1"/>
    </w:lvl>
  </w:abstractNum>
  <w:abstractNum w:abstractNumId="65">
    <w:nsid w:val="555C55B5"/>
    <w:multiLevelType w:val="hybridMultilevel"/>
    <w:lvl w:ilvl="0">
      <w:lvlJc w:val="left"/>
      <w:lvlText w:val="2"/>
      <w:numFmt w:val="bullet"/>
      <w:start w:val="1"/>
    </w:lvl>
  </w:abstractNum>
  <w:abstractNum w:abstractNumId="66">
    <w:nsid w:val="3FA62ACA"/>
    <w:multiLevelType w:val="hybridMultilevel"/>
    <w:lvl w:ilvl="0">
      <w:lvlJc w:val="left"/>
      <w:lvlText w:val="1"/>
      <w:numFmt w:val="bullet"/>
      <w:start w:val="1"/>
    </w:lvl>
  </w:abstractNum>
  <w:abstractNum w:abstractNumId="67">
    <w:nsid w:val="14FCE74E"/>
    <w:multiLevelType w:val="hybridMultilevel"/>
    <w:lvl w:ilvl="0">
      <w:lvlJc w:val="left"/>
      <w:lvlText w:val="2"/>
      <w:numFmt w:val="bullet"/>
      <w:start w:val="1"/>
    </w:lvl>
  </w:abstractNum>
  <w:abstractNum w:abstractNumId="68">
    <w:nsid w:val="6A3DD3E8"/>
    <w:multiLevelType w:val="hybridMultilevel"/>
    <w:lvl w:ilvl="0">
      <w:lvlJc w:val="left"/>
      <w:lvlText w:val="3"/>
      <w:numFmt w:val="bullet"/>
      <w:start w:val="1"/>
    </w:lvl>
  </w:abstractNum>
  <w:abstractNum w:abstractNumId="69">
    <w:nsid w:val="71C91298"/>
    <w:multiLevelType w:val="hybridMultilevel"/>
    <w:lvl w:ilvl="0">
      <w:lvlJc w:val="left"/>
      <w:lvlText w:val="4"/>
      <w:numFmt w:val="bullet"/>
      <w:start w:val="1"/>
    </w:lvl>
  </w:abstractNum>
  <w:abstractNum w:abstractNumId="70">
    <w:nsid w:val="9DAF632"/>
    <w:multiLevelType w:val="hybridMultilevel"/>
    <w:lvl w:ilvl="0">
      <w:lvlJc w:val="left"/>
      <w:lvlText w:val="5"/>
      <w:numFmt w:val="bullet"/>
      <w:start w:val="1"/>
    </w:lvl>
  </w:abstractNum>
  <w:abstractNum w:abstractNumId="71">
    <w:nsid w:val="53299938"/>
    <w:multiLevelType w:val="hybridMultilevel"/>
    <w:lvl w:ilvl="0">
      <w:lvlJc w:val="left"/>
      <w:lvlText w:val="6"/>
      <w:numFmt w:val="bullet"/>
      <w:start w:val="1"/>
    </w:lvl>
  </w:abstractNum>
  <w:abstractNum w:abstractNumId="72">
    <w:nsid w:val="1FBFE8E0"/>
    <w:multiLevelType w:val="hybridMultilevel"/>
    <w:lvl w:ilvl="0">
      <w:lvlJc w:val="left"/>
      <w:lvlText w:val="7"/>
      <w:numFmt w:val="bullet"/>
      <w:start w:val="1"/>
    </w:lvl>
  </w:abstractNum>
  <w:abstractNum w:abstractNumId="73">
    <w:nsid w:val="5092CA79"/>
    <w:multiLevelType w:val="hybridMultilevel"/>
    <w:lvl w:ilvl="0">
      <w:lvlJc w:val="left"/>
      <w:lvlText w:val="1"/>
      <w:numFmt w:val="bullet"/>
      <w:start w:val="1"/>
    </w:lvl>
  </w:abstractNum>
  <w:abstractNum w:abstractNumId="74">
    <w:nsid w:val="1D545C4D"/>
    <w:multiLevelType w:val="hybridMultilevel"/>
    <w:lvl w:ilvl="0">
      <w:lvlJc w:val="left"/>
      <w:lvlText w:val="2"/>
      <w:numFmt w:val="bullet"/>
      <w:start w:val="1"/>
    </w:lvl>
  </w:abstractNum>
  <w:abstractNum w:abstractNumId="75">
    <w:nsid w:val="59ADEA3D"/>
    <w:multiLevelType w:val="hybridMultilevel"/>
    <w:lvl w:ilvl="0">
      <w:lvlJc w:val="left"/>
      <w:lvlText w:val="3"/>
      <w:numFmt w:val="bullet"/>
      <w:start w:val="1"/>
    </w:lvl>
  </w:abstractNum>
  <w:abstractNum w:abstractNumId="76">
    <w:nsid w:val="288F1A34"/>
    <w:multiLevelType w:val="hybridMultilevel"/>
    <w:lvl w:ilvl="0">
      <w:lvlJc w:val="left"/>
      <w:lvlText w:val="4"/>
      <w:numFmt w:val="bullet"/>
      <w:start w:val="1"/>
    </w:lvl>
  </w:abstractNum>
  <w:abstractNum w:abstractNumId="77">
    <w:nsid w:val="2A155DBC"/>
    <w:multiLevelType w:val="hybridMultilevel"/>
    <w:lvl w:ilvl="0">
      <w:lvlJc w:val="left"/>
      <w:lvlText w:val="5"/>
      <w:numFmt w:val="bullet"/>
      <w:start w:val="1"/>
    </w:lvl>
  </w:abstractNum>
  <w:abstractNum w:abstractNumId="78">
    <w:nsid w:val="1D9F6E5F"/>
    <w:multiLevelType w:val="hybridMultilevel"/>
    <w:lvl w:ilvl="0">
      <w:lvlJc w:val="left"/>
      <w:lvlText w:val="6"/>
      <w:numFmt w:val="bullet"/>
      <w:start w:val="1"/>
    </w:lvl>
  </w:abstractNum>
  <w:abstractNum w:abstractNumId="79">
    <w:nsid w:val="97E1B4E"/>
    <w:multiLevelType w:val="hybridMultilevel"/>
    <w:lvl w:ilvl="0">
      <w:lvlJc w:val="left"/>
      <w:lvlText w:val="7"/>
      <w:numFmt w:val="bullet"/>
      <w:start w:val="1"/>
    </w:lvl>
  </w:abstractNum>
  <w:abstractNum w:abstractNumId="80">
    <w:nsid w:val="51088277"/>
    <w:multiLevelType w:val="hybridMultilevel"/>
    <w:lvl w:ilvl="0">
      <w:lvlJc w:val="left"/>
      <w:lvlText w:val="1"/>
      <w:numFmt w:val="bullet"/>
      <w:start w:val="1"/>
    </w:lvl>
  </w:abstractNum>
  <w:abstractNum w:abstractNumId="81">
    <w:nsid w:val="1CA0C5FA"/>
    <w:multiLevelType w:val="hybridMultilevel"/>
    <w:lvl w:ilvl="0">
      <w:lvlJc w:val="left"/>
      <w:lvlText w:val="1"/>
      <w:numFmt w:val="bullet"/>
      <w:start w:val="1"/>
    </w:lvl>
  </w:abstractNum>
  <w:abstractNum w:abstractNumId="82">
    <w:nsid w:val="53584BCB"/>
    <w:multiLevelType w:val="hybridMultilevel"/>
    <w:lvl w:ilvl="0">
      <w:lvlJc w:val="left"/>
      <w:lvlText w:val="2"/>
      <w:numFmt w:val="bullet"/>
      <w:start w:val="1"/>
    </w:lvl>
  </w:abstractNum>
  <w:abstractNum w:abstractNumId="83">
    <w:nsid w:val="415E286C"/>
    <w:multiLevelType w:val="hybridMultilevel"/>
    <w:lvl w:ilvl="0">
      <w:lvlJc w:val="left"/>
      <w:lvlText w:val="3"/>
      <w:numFmt w:val="bullet"/>
      <w:start w:val="1"/>
    </w:lvl>
  </w:abstractNum>
  <w:abstractNum w:abstractNumId="84">
    <w:nsid w:val="7C58FD05"/>
    <w:multiLevelType w:val="hybridMultilevel"/>
    <w:lvl w:ilvl="0">
      <w:lvlJc w:val="left"/>
      <w:lvlText w:val="1"/>
      <w:numFmt w:val="bullet"/>
      <w:start w:val="1"/>
    </w:lvl>
  </w:abstractNum>
  <w:abstractNum w:abstractNumId="85">
    <w:nsid w:val="23D86AAC"/>
    <w:multiLevelType w:val="hybridMultilevel"/>
    <w:lvl w:ilvl="0">
      <w:lvlJc w:val="left"/>
      <w:lvlText w:val="1"/>
      <w:numFmt w:val="bullet"/>
      <w:start w:val="1"/>
    </w:lvl>
  </w:abstractNum>
  <w:abstractNum w:abstractNumId="86">
    <w:nsid w:val="45E6D486"/>
    <w:multiLevelType w:val="hybridMultilevel"/>
    <w:lvl w:ilvl="0">
      <w:lvlJc w:val="left"/>
      <w:lvlText w:val="2"/>
      <w:numFmt w:val="bullet"/>
      <w:start w:val="1"/>
    </w:lvl>
  </w:abstractNum>
  <w:abstractNum w:abstractNumId="87">
    <w:nsid w:val="5C10FE21"/>
    <w:multiLevelType w:val="hybridMultilevel"/>
    <w:lvl w:ilvl="0">
      <w:lvlJc w:val="left"/>
      <w:lvlText w:val="3"/>
      <w:numFmt w:val="bullet"/>
      <w:start w:val="1"/>
    </w:lvl>
  </w:abstractNum>
  <w:abstractNum w:abstractNumId="88">
    <w:nsid w:val="E7FFA2B"/>
    <w:multiLevelType w:val="hybridMultilevel"/>
    <w:lvl w:ilvl="0">
      <w:lvlJc w:val="left"/>
      <w:lvlText w:val="4"/>
      <w:numFmt w:val="bullet"/>
      <w:start w:val="1"/>
    </w:lvl>
  </w:abstractNum>
  <w:abstractNum w:abstractNumId="89">
    <w:nsid w:val="3C5991AA"/>
    <w:multiLevelType w:val="hybridMultilevel"/>
    <w:lvl w:ilvl="0">
      <w:lvlJc w:val="left"/>
      <w:lvlText w:val="5"/>
      <w:numFmt w:val="bullet"/>
      <w:start w:val="1"/>
    </w:lvl>
  </w:abstractNum>
  <w:abstractNum w:abstractNumId="90">
    <w:nsid w:val="4BD8591A"/>
    <w:multiLevelType w:val="hybridMultilevel"/>
    <w:lvl w:ilvl="0">
      <w:lvlJc w:val="left"/>
      <w:lvlText w:val="1"/>
      <w:numFmt w:val="bullet"/>
      <w:start w:val="1"/>
    </w:lvl>
  </w:abstractNum>
  <w:abstractNum w:abstractNumId="91">
    <w:nsid w:val="78DF6A55"/>
    <w:multiLevelType w:val="hybridMultilevel"/>
    <w:lvl w:ilvl="0">
      <w:lvlJc w:val="left"/>
      <w:lvlText w:val="2"/>
      <w:numFmt w:val="bullet"/>
      <w:start w:val="1"/>
    </w:lvl>
  </w:abstractNum>
  <w:abstractNum w:abstractNumId="92">
    <w:nsid w:val="39B7AAA2"/>
    <w:multiLevelType w:val="hybridMultilevel"/>
    <w:lvl w:ilvl="0">
      <w:lvlJc w:val="left"/>
      <w:lvlText w:val="3"/>
      <w:numFmt w:val="bullet"/>
      <w:start w:val="1"/>
    </w:lvl>
  </w:abstractNum>
  <w:abstractNum w:abstractNumId="93">
    <w:nsid w:val="2B0D8DBE"/>
    <w:multiLevelType w:val="hybridMultilevel"/>
    <w:lvl w:ilvl="0">
      <w:lvlJc w:val="left"/>
      <w:lvlText w:val="4"/>
      <w:numFmt w:val="bullet"/>
      <w:start w:val="1"/>
    </w:lvl>
  </w:abstractNum>
  <w:abstractNum w:abstractNumId="94">
    <w:nsid w:val="6C80EC70"/>
    <w:multiLevelType w:val="hybridMultilevel"/>
    <w:lvl w:ilvl="0">
      <w:lvlJc w:val="left"/>
      <w:lvlText w:val="5"/>
      <w:numFmt w:val="bullet"/>
      <w:start w:val="1"/>
    </w:lvl>
  </w:abstractNum>
  <w:abstractNum w:abstractNumId="95">
    <w:nsid w:val="379E21B5"/>
    <w:multiLevelType w:val="hybridMultilevel"/>
    <w:lvl w:ilvl="0">
      <w:lvlJc w:val="left"/>
      <w:lvlText w:val="1"/>
      <w:numFmt w:val="bullet"/>
      <w:start w:val="1"/>
    </w:lvl>
  </w:abstractNum>
  <w:abstractNum w:abstractNumId="96">
    <w:nsid w:val="69E373"/>
    <w:multiLevelType w:val="hybridMultilevel"/>
    <w:lvl w:ilvl="0">
      <w:lvlJc w:val="left"/>
      <w:lvlText w:val="2"/>
      <w:numFmt w:val="bullet"/>
      <w:start w:val="1"/>
    </w:lvl>
  </w:abstractNum>
  <w:abstractNum w:abstractNumId="97">
    <w:nsid w:val="2C27173B"/>
    <w:multiLevelType w:val="hybridMultilevel"/>
    <w:lvl w:ilvl="0">
      <w:lvlJc w:val="left"/>
      <w:lvlText w:val="3"/>
      <w:numFmt w:val="bullet"/>
      <w:start w:val="1"/>
    </w:lvl>
  </w:abstractNum>
  <w:abstractNum w:abstractNumId="98">
    <w:nsid w:val="4C9B0904"/>
    <w:multiLevelType w:val="hybridMultilevel"/>
    <w:lvl w:ilvl="0">
      <w:lvlJc w:val="left"/>
      <w:lvlText w:val="4"/>
      <w:numFmt w:val="bullet"/>
      <w:start w:val="1"/>
    </w:lvl>
  </w:abstractNum>
  <w:abstractNum w:abstractNumId="99">
    <w:nsid w:val="6AA7B75C"/>
    <w:multiLevelType w:val="hybridMultilevel"/>
    <w:lvl w:ilvl="0">
      <w:lvlJc w:val="left"/>
      <w:lvlText w:val="6"/>
      <w:numFmt w:val="bullet"/>
      <w:start w:val="1"/>
    </w:lvl>
  </w:abstractNum>
  <w:abstractNum w:abstractNumId="100">
    <w:nsid w:val="1DF029D3"/>
    <w:multiLevelType w:val="hybridMultilevel"/>
    <w:lvl w:ilvl="0">
      <w:lvlJc w:val="left"/>
      <w:lvlText w:val="7"/>
      <w:numFmt w:val="bullet"/>
      <w:start w:val="1"/>
    </w:lvl>
  </w:abstractNum>
  <w:abstractNum w:abstractNumId="101">
    <w:nsid w:val="5675FF36"/>
    <w:multiLevelType w:val="hybridMultilevel"/>
    <w:lvl w:ilvl="0">
      <w:lvlJc w:val="left"/>
      <w:lvlText w:val="8"/>
      <w:numFmt w:val="bullet"/>
      <w:start w:val="1"/>
    </w:lvl>
  </w:abstractNum>
  <w:abstractNum w:abstractNumId="102">
    <w:nsid w:val="3DD15094"/>
    <w:multiLevelType w:val="hybridMultilevel"/>
    <w:lvl w:ilvl="0">
      <w:lvlJc w:val="left"/>
      <w:lvlText w:val="9"/>
      <w:numFmt w:val="bullet"/>
      <w:start w:val="1"/>
    </w:lvl>
  </w:abstractNum>
  <w:abstractNum w:abstractNumId="103">
    <w:nsid w:val="3DB012B3"/>
    <w:multiLevelType w:val="hybridMultilevel"/>
    <w:lvl w:ilvl="0">
      <w:lvlJc w:val="left"/>
      <w:lvlText w:val="%1"/>
      <w:numFmt w:val="decimal"/>
      <w:start w:val="10"/>
    </w:lvl>
  </w:abstractNum>
  <w:abstractNum w:abstractNumId="104">
    <w:nsid w:val="2708C9AF"/>
    <w:multiLevelType w:val="hybridMultilevel"/>
    <w:lvl w:ilvl="0">
      <w:lvlJc w:val="left"/>
      <w:lvlText w:val="1"/>
      <w:numFmt w:val="bullet"/>
      <w:start w:val="1"/>
    </w:lvl>
  </w:abstractNum>
  <w:abstractNum w:abstractNumId="105">
    <w:nsid w:val="5B25ACE2"/>
    <w:multiLevelType w:val="hybridMultilevel"/>
    <w:lvl w:ilvl="0">
      <w:lvlJc w:val="left"/>
      <w:lvlText w:val="1"/>
      <w:numFmt w:val="bullet"/>
      <w:start w:val="1"/>
    </w:lvl>
  </w:abstractNum>
  <w:abstractNum w:abstractNumId="106">
    <w:nsid w:val="175DFCF0"/>
    <w:multiLevelType w:val="hybridMultilevel"/>
    <w:lvl w:ilvl="0">
      <w:lvlJc w:val="left"/>
      <w:lvlText w:val="1"/>
      <w:numFmt w:val="bullet"/>
      <w:start w:val="1"/>
    </w:lvl>
  </w:abstractNum>
  <w:abstractNum w:abstractNumId="107">
    <w:nsid w:val="4F97E3E4"/>
    <w:multiLevelType w:val="hybridMultilevel"/>
    <w:lvl w:ilvl="0">
      <w:lvlJc w:val="left"/>
      <w:lvlText w:val="1"/>
      <w:numFmt w:val="bullet"/>
      <w:start w:val="1"/>
    </w:lvl>
  </w:abstractNum>
  <w:abstractNum w:abstractNumId="108">
    <w:nsid w:val="53B0A9E"/>
    <w:multiLevelType w:val="hybridMultilevel"/>
    <w:lvl w:ilvl="0">
      <w:lvlJc w:val="left"/>
      <w:lvlText w:val="1"/>
      <w:numFmt w:val="bullet"/>
      <w:start w:val="1"/>
    </w:lvl>
  </w:abstractNum>
  <w:abstractNum w:abstractNumId="109">
    <w:nsid w:val="34FD6B4F"/>
    <w:multiLevelType w:val="hybridMultilevel"/>
    <w:lvl w:ilvl="0">
      <w:lvlJc w:val="left"/>
      <w:lvlText w:val="1"/>
      <w:numFmt w:val="bullet"/>
      <w:start w:val="1"/>
    </w:lvl>
  </w:abstractNum>
  <w:abstractNum w:abstractNumId="110">
    <w:nsid w:val="5915FF32"/>
    <w:multiLevelType w:val="hybridMultilevel"/>
    <w:lvl w:ilvl="0">
      <w:lvlJc w:val="left"/>
      <w:lvlText w:val="1"/>
      <w:numFmt w:val="bullet"/>
      <w:start w:val="1"/>
    </w:lvl>
  </w:abstractNum>
  <w:abstractNum w:abstractNumId="111">
    <w:nsid w:val="56438D15"/>
    <w:multiLevelType w:val="hybridMultilevel"/>
    <w:lvl w:ilvl="0">
      <w:lvlJc w:val="left"/>
      <w:lvlText w:val="1"/>
      <w:numFmt w:val="bullet"/>
      <w:start w:val="1"/>
    </w:lvl>
  </w:abstractNum>
  <w:abstractNum w:abstractNumId="112">
    <w:nsid w:val="519E3149"/>
    <w:multiLevelType w:val="hybridMultilevel"/>
    <w:lvl w:ilvl="0">
      <w:lvlJc w:val="left"/>
      <w:lvlText w:val="1"/>
      <w:numFmt w:val="bullet"/>
      <w:start w:val="1"/>
    </w:lvl>
  </w:abstractNum>
  <w:abstractNum w:abstractNumId="113">
    <w:nsid w:val="2C6E4AFD"/>
    <w:multiLevelType w:val="hybridMultilevel"/>
    <w:lvl w:ilvl="0">
      <w:lvlJc w:val="left"/>
      <w:lvlText w:val="1"/>
      <w:numFmt w:val="bullet"/>
      <w:start w:val="1"/>
    </w:lvl>
  </w:abstractNum>
  <w:abstractNum w:abstractNumId="114">
    <w:nsid w:val="17A1B582"/>
    <w:multiLevelType w:val="hybridMultilevel"/>
    <w:lvl w:ilvl="0">
      <w:lvlJc w:val="left"/>
      <w:lvlText w:val="1"/>
      <w:numFmt w:val="bullet"/>
      <w:start w:val="1"/>
    </w:lvl>
  </w:abstractNum>
  <w:abstractNum w:abstractNumId="115">
    <w:nsid w:val="4DF72E4E"/>
    <w:multiLevelType w:val="hybridMultilevel"/>
    <w:lvl w:ilvl="0">
      <w:lvlJc w:val="left"/>
      <w:lvlText w:val="1"/>
      <w:numFmt w:val="bullet"/>
      <w:start w:val="1"/>
    </w:lvl>
  </w:abstractNum>
  <w:abstractNum w:abstractNumId="116">
    <w:nsid w:val="5046B5A9"/>
    <w:multiLevelType w:val="hybridMultilevel"/>
    <w:lvl w:ilvl="0">
      <w:lvlJc w:val="left"/>
      <w:lvlText w:val="1"/>
      <w:numFmt w:val="bullet"/>
      <w:start w:val="1"/>
    </w:lvl>
  </w:abstractNum>
  <w:abstractNum w:abstractNumId="117">
    <w:nsid w:val="5D888A08"/>
    <w:multiLevelType w:val="hybridMultilevel"/>
    <w:lvl w:ilvl="0">
      <w:lvlJc w:val="left"/>
      <w:lvlText w:val="1"/>
      <w:numFmt w:val="bullet"/>
      <w:start w:val="1"/>
    </w:lvl>
  </w:abstractNum>
  <w:abstractNum w:abstractNumId="118">
    <w:nsid w:val="2A082C70"/>
    <w:multiLevelType w:val="hybridMultilevel"/>
    <w:lvl w:ilvl="0">
      <w:lvlJc w:val="left"/>
      <w:lvlText w:val="1"/>
      <w:numFmt w:val="bullet"/>
      <w:start w:val="1"/>
    </w:lvl>
  </w:abstractNum>
  <w:abstractNum w:abstractNumId="119">
    <w:nsid w:val="5EC6AFD4"/>
    <w:multiLevelType w:val="hybridMultilevel"/>
    <w:lvl w:ilvl="0">
      <w:lvlJc w:val="left"/>
      <w:lvlText w:val="3"/>
      <w:numFmt w:val="bullet"/>
      <w:start w:val="1"/>
    </w:lvl>
  </w:abstractNum>
  <w:abstractNum w:abstractNumId="120">
    <w:nsid w:val="19E21BB2"/>
    <w:multiLevelType w:val="hybridMultilevel"/>
    <w:lvl w:ilvl="0">
      <w:lvlJc w:val="left"/>
      <w:lvlText w:val="4"/>
      <w:numFmt w:val="bullet"/>
      <w:start w:val="1"/>
    </w:lvl>
  </w:abstractNum>
  <w:abstractNum w:abstractNumId="121">
    <w:nsid w:val="75E0858A"/>
    <w:multiLevelType w:val="hybridMultilevel"/>
    <w:lvl w:ilvl="0">
      <w:lvlJc w:val="left"/>
      <w:lvlText w:val="1"/>
      <w:numFmt w:val="bullet"/>
      <w:start w:val="1"/>
    </w:lvl>
  </w:abstractNum>
  <w:abstractNum w:abstractNumId="122">
    <w:nsid w:val="57A61A29"/>
    <w:multiLevelType w:val="hybridMultilevel"/>
    <w:lvl w:ilvl="0">
      <w:lvlJc w:val="left"/>
      <w:lvlText w:val="1"/>
      <w:numFmt w:val="bullet"/>
      <w:start w:val="1"/>
    </w:lvl>
  </w:abstractNum>
  <w:abstractNum w:abstractNumId="123">
    <w:nsid w:val="5399C654"/>
    <w:multiLevelType w:val="hybridMultilevel"/>
    <w:lvl w:ilvl="0">
      <w:lvlJc w:val="left"/>
      <w:lvlText w:val="2"/>
      <w:numFmt w:val="bullet"/>
      <w:start w:val="1"/>
    </w:lvl>
  </w:abstractNum>
  <w:abstractNum w:abstractNumId="124">
    <w:nsid w:val="20EE1348"/>
    <w:multiLevelType w:val="hybridMultilevel"/>
    <w:lvl w:ilvl="0">
      <w:lvlJc w:val="left"/>
      <w:lvlText w:val="3"/>
      <w:numFmt w:val="bullet"/>
      <w:start w:val="1"/>
    </w:lvl>
  </w:abstractNum>
  <w:abstractNum w:abstractNumId="125">
    <w:nsid w:val="4427069A"/>
    <w:multiLevelType w:val="hybridMultilevel"/>
    <w:lvl w:ilvl="0">
      <w:lvlJc w:val="left"/>
      <w:lvlText w:val="1"/>
      <w:numFmt w:val="bullet"/>
      <w:start w:val="1"/>
    </w:lvl>
  </w:abstractNum>
  <w:abstractNum w:abstractNumId="126">
    <w:nsid w:val="B37E80A"/>
    <w:multiLevelType w:val="hybridMultilevel"/>
    <w:lvl w:ilvl="0">
      <w:lvlJc w:val="left"/>
      <w:lvlText w:val="2"/>
      <w:numFmt w:val="bullet"/>
      <w:start w:val="1"/>
    </w:lvl>
  </w:abstractNum>
  <w:abstractNum w:abstractNumId="127">
    <w:nsid w:val="2157F6BC"/>
    <w:multiLevelType w:val="hybridMultilevel"/>
    <w:lvl w:ilvl="0">
      <w:lvlJc w:val="left"/>
      <w:lvlText w:val="3"/>
      <w:numFmt w:val="bullet"/>
      <w:start w:val="1"/>
    </w:lvl>
  </w:abstractNum>
  <w:abstractNum w:abstractNumId="128">
    <w:nsid w:val="704E1DD5"/>
    <w:multiLevelType w:val="hybridMultilevel"/>
    <w:lvl w:ilvl="0">
      <w:lvlJc w:val="left"/>
      <w:lvlText w:val="4"/>
      <w:numFmt w:val="bullet"/>
      <w:start w:val="1"/>
    </w:lvl>
  </w:abstractNum>
  <w:abstractNum w:abstractNumId="129">
    <w:nsid w:val="57D2F10E"/>
    <w:multiLevelType w:val="hybridMultilevel"/>
    <w:lvl w:ilvl="0">
      <w:lvlJc w:val="left"/>
      <w:lvlText w:val="7"/>
      <w:numFmt w:val="bullet"/>
      <w:start w:val="1"/>
    </w:lvl>
  </w:abstractNum>
  <w:abstractNum w:abstractNumId="130">
    <w:nsid w:val="BFFAE18"/>
    <w:multiLevelType w:val="hybridMultilevel"/>
    <w:lvl w:ilvl="0">
      <w:lvlJc w:val="left"/>
      <w:lvlText w:val="1"/>
      <w:numFmt w:val="bullet"/>
      <w:start w:val="1"/>
    </w:lvl>
  </w:abstractNum>
  <w:abstractNum w:abstractNumId="131">
    <w:nsid w:val="E3E47A8"/>
    <w:multiLevelType w:val="hybridMultilevel"/>
    <w:lvl w:ilvl="0">
      <w:lvlJc w:val="left"/>
      <w:lvlText w:val="1"/>
      <w:numFmt w:val="bullet"/>
      <w:start w:val="1"/>
    </w:lvl>
  </w:abstractNum>
  <w:abstractNum w:abstractNumId="132">
    <w:nsid w:val="2E48F044"/>
    <w:multiLevelType w:val="hybridMultilevel"/>
    <w:lvl w:ilvl="0">
      <w:lvlJc w:val="left"/>
      <w:lvlText w:val="•"/>
      <w:numFmt w:val="bullet"/>
      <w:start w:val="1"/>
    </w:lvl>
    <w:lvl w:ilvl="1">
      <w:lvlJc w:val="left"/>
      <w:lvlText w:val="◦"/>
      <w:numFmt w:val="bullet"/>
      <w:start w:val="1"/>
    </w:lvl>
  </w:abstractNum>
  <w:abstractNum w:abstractNumId="133">
    <w:nsid w:val="49D0FEAC"/>
    <w:multiLevelType w:val="hybridMultilevel"/>
    <w:lvl w:ilvl="0">
      <w:lvlJc w:val="left"/>
      <w:lvlText w:val="•"/>
      <w:numFmt w:val="bullet"/>
      <w:start w:val="1"/>
    </w:lvl>
    <w:lvl w:ilvl="1">
      <w:lvlJc w:val="left"/>
      <w:lvlText w:val="◦"/>
      <w:numFmt w:val="bullet"/>
      <w:start w:val="1"/>
    </w:lvl>
  </w:abstractNum>
  <w:abstractNum w:abstractNumId="134">
    <w:nsid w:val="4BEE5A5B"/>
    <w:multiLevelType w:val="hybridMultilevel"/>
    <w:lvl w:ilvl="0">
      <w:lvlJc w:val="left"/>
      <w:lvlText w:val="•"/>
      <w:numFmt w:val="bullet"/>
      <w:start w:val="1"/>
    </w:lvl>
  </w:abstractNum>
  <w:abstractNum w:abstractNumId="135">
    <w:nsid w:val="5551B9F3"/>
    <w:multiLevelType w:val="hybridMultilevel"/>
    <w:lvl w:ilvl="0">
      <w:lvlJc w:val="left"/>
      <w:lvlText w:val="•"/>
      <w:numFmt w:val="bullet"/>
      <w:start w:val="1"/>
    </w:lvl>
  </w:abstractNum>
  <w:abstractNum w:abstractNumId="136">
    <w:nsid w:val="24F6AB8E"/>
    <w:multiLevelType w:val="hybridMultilevel"/>
    <w:lvl w:ilvl="0">
      <w:lvlJc w:val="left"/>
      <w:lvlText w:val="•"/>
      <w:numFmt w:val="bullet"/>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2026-10-27T15:18:10Z</dcterms:created>
  <dcterms:modified xsi:type="dcterms:W3CDTF">2026-10-27T15:18:10Z</dcterms:modified>
</cp:coreProperties>
</file>