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422d424b5.htm"/>
        <w:bookmarkStart w:id="1" w:name="ksd15042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333-294080-01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March 6, 2026) </w:t>
      </w:r>
    </w:p>
    <w:p>
      <w:pPr>
        <w:pStyle w:val="TextBody"/>
        <w:bidi w:val="0"/>
        <w:spacing w:before="120" w:after="0"/>
        <w:jc w:val="center"/>
        <w:rPr>
          <w:rFonts w:ascii="Times New Roman" w:hAnsi="Times New Roman"/>
          <w:b/>
          <w:sz w:val="36"/>
        </w:rPr>
      </w:pPr>
      <w:r>
        <w:rPr>
          <w:rFonts w:ascii="Times New Roman" w:hAnsi="Times New Roman"/>
          <w:b/>
          <w:sz w:val="36"/>
        </w:rPr>
        <w:t xml:space="preserve">$700,000,000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876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4"/>
        </w:rPr>
      </w:pPr>
      <w:r>
        <w:rPr>
          <w:rFonts w:ascii="Times New Roman" w:hAnsi="Times New Roman"/>
          <w:b/>
          <w:sz w:val="44"/>
        </w:rPr>
        <w:t xml:space="preserve">Boston Properties Limited Partnership </w:t>
      </w:r>
    </w:p>
    <w:p>
      <w:pPr>
        <w:pStyle w:val="TextBody"/>
        <w:bidi w:val="0"/>
        <w:spacing w:before="120" w:after="0"/>
        <w:jc w:val="center"/>
        <w:rPr>
          <w:rFonts w:ascii="Times New Roman" w:hAnsi="Times New Roman"/>
          <w:b/>
          <w:sz w:val="28"/>
        </w:rPr>
      </w:pPr>
      <w:r>
        <w:rPr>
          <w:rFonts w:ascii="Times New Roman" w:hAnsi="Times New Roman"/>
          <w:b/>
          <w:sz w:val="28"/>
        </w:rPr>
        <w:t xml:space="preserve">6.050%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bear interest at the rate of 6.050% per year. Interest on the notes is payable on April 15 and October 15 of each year, beginning on April 15, 2027. The notes will mature on October 15, 2036 unless we redeem them earlier. We may redeem some or all of the notes at any time prior to maturity. The redemption price is discussed under the caption “Description of Notes—Optional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equally with all of our other unsecured senior indebtedness from time to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listed on any securities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 notes involves risks that are described in the “</w:t>
      </w:r>
      <w:hyperlink w:anchor="supptx150422_2">
        <w:r>
          <w:rPr>
            <w:rStyle w:val="InternetLink"/>
            <w:rFonts w:ascii="Times New Roman" w:hAnsi="Times New Roman"/>
            <w:b/>
            <w:sz w:val="24"/>
          </w:rPr>
          <w:t>Risk Factors</w:t>
        </w:r>
      </w:hyperlink>
      <w:r>
        <w:rPr>
          <w:rFonts w:ascii="Times New Roman" w:hAnsi="Times New Roman"/>
          <w:b/>
          <w:sz w:val="24"/>
        </w:rPr>
        <w:t xml:space="preserve">” section beginning on page S-4 of this prospectus supplement and on page 19 of our most recent Annual Report on Form 10-K. </w:t>
      </w:r>
    </w:p>
    <w:p>
      <w:pPr>
        <w:pStyle w:val="TextBody"/>
        <w:bidi w:val="0"/>
        <w:spacing w:before="12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7"/>
        <w:gridCol w:w="439"/>
        <w:gridCol w:w="89"/>
        <w:gridCol w:w="1013"/>
        <w:gridCol w:w="280"/>
        <w:gridCol w:w="349"/>
        <w:gridCol w:w="141"/>
        <w:gridCol w:w="1251"/>
        <w:gridCol w:w="66"/>
      </w:tblGrid>
      <w:tr>
        <w:trPr/>
        <w:tc>
          <w:tcPr>
            <w:tcW w:w="4127"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27"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Senior</w:t>
              <w:br/>
              <w:t>Note</w:t>
            </w:r>
          </w:p>
        </w:tc>
        <w:tc>
          <w:tcPr>
            <w:tcW w:w="28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99.837</w:t>
            </w:r>
          </w:p>
        </w:tc>
        <w:tc>
          <w:tcPr>
            <w:tcW w:w="28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698,859,000</w:t>
            </w:r>
          </w:p>
        </w:tc>
        <w:tc>
          <w:tcPr>
            <w:tcW w:w="66" w:type="dxa"/>
            <w:tcBorders/>
            <w:shd w:fill="CCEEFF" w:val="clear"/>
            <w:vAlign w:val="bottom"/>
          </w:tcPr>
          <w:p>
            <w:pPr>
              <w:pStyle w:val="TableContents"/>
              <w:bidi w:val="0"/>
              <w:spacing w:before="0" w:after="283"/>
              <w:jc w:val="left"/>
              <w:rPr/>
            </w:pPr>
            <w:r>
              <w:rPr/>
              <w:t> </w:t>
            </w:r>
          </w:p>
        </w:tc>
      </w:tr>
      <w:tr>
        <w:trPr/>
        <w:tc>
          <w:tcPr>
            <w:tcW w:w="412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43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0.650</w:t>
            </w:r>
          </w:p>
        </w:tc>
        <w:tc>
          <w:tcPr>
            <w:tcW w:w="28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4,550,000</w:t>
            </w:r>
          </w:p>
        </w:tc>
        <w:tc>
          <w:tcPr>
            <w:tcW w:w="66" w:type="dxa"/>
            <w:tcBorders/>
            <w:vAlign w:val="bottom"/>
          </w:tcPr>
          <w:p>
            <w:pPr>
              <w:pStyle w:val="TableContents"/>
              <w:bidi w:val="0"/>
              <w:spacing w:before="0" w:after="283"/>
              <w:jc w:val="left"/>
              <w:rPr/>
            </w:pPr>
            <w:r>
              <w:rPr/>
              <w:t> </w:t>
            </w:r>
          </w:p>
        </w:tc>
      </w:tr>
      <w:tr>
        <w:trPr/>
        <w:tc>
          <w:tcPr>
            <w:tcW w:w="41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43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99.187</w:t>
            </w:r>
          </w:p>
        </w:tc>
        <w:tc>
          <w:tcPr>
            <w:tcW w:w="28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694,309,000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Interest on the notes will accrue from August 31, 2026.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expect to deliver the notes through the book-entry delivery system of The Depository Trust Company for the accounts of its participants, including Clearstream Banking, </w:t>
      </w:r>
      <w:r>
        <w:rPr>
          <w:rFonts w:ascii="Times New Roman" w:hAnsi="Times New Roman"/>
          <w:i/>
          <w:sz w:val="20"/>
        </w:rPr>
        <w:t>société anonyme</w:t>
      </w:r>
      <w:r>
        <w:rPr>
          <w:rFonts w:ascii="Times New Roman" w:hAnsi="Times New Roman"/>
          <w:sz w:val="20"/>
        </w:rPr>
        <w:t xml:space="preserve"> and Euroclear Bank SA/NV, as operator of the Euroclear system, on or about August 31, 2026.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6"/>
        <w:gridCol w:w="193"/>
        <w:gridCol w:w="743"/>
        <w:gridCol w:w="193"/>
        <w:gridCol w:w="1386"/>
        <w:gridCol w:w="193"/>
        <w:gridCol w:w="1490"/>
        <w:gridCol w:w="193"/>
        <w:gridCol w:w="1484"/>
        <w:gridCol w:w="193"/>
        <w:gridCol w:w="1283"/>
        <w:gridCol w:w="193"/>
        <w:gridCol w:w="1285"/>
      </w:tblGrid>
      <w:tr>
        <w:trPr/>
        <w:tc>
          <w:tcPr>
            <w:tcW w:w="137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CCEEFF" w:val="clear"/>
          </w:tcPr>
          <w:p>
            <w:pPr>
              <w:pStyle w:val="TableContents"/>
              <w:bidi w:val="0"/>
              <w:spacing w:before="0" w:after="283"/>
              <w:jc w:val="center"/>
              <w:rPr>
                <w:b/>
              </w:rPr>
            </w:pPr>
            <w:r>
              <w:rPr>
                <w:b/>
              </w:rPr>
              <w:t>J.P. Morgan</w:t>
            </w:r>
          </w:p>
        </w:tc>
        <w:tc>
          <w:tcPr>
            <w:tcW w:w="193" w:type="dxa"/>
            <w:tcBorders/>
            <w:shd w:fill="CCEEFF" w:val="clear"/>
            <w:vAlign w:val="bottom"/>
          </w:tcPr>
          <w:p>
            <w:pPr>
              <w:pStyle w:val="TableContents"/>
              <w:bidi w:val="0"/>
              <w:spacing w:before="0" w:after="283"/>
              <w:jc w:val="left"/>
              <w:rPr/>
            </w:pPr>
            <w:r>
              <w:rPr/>
              <w:t> </w:t>
            </w:r>
          </w:p>
        </w:tc>
        <w:tc>
          <w:tcPr>
            <w:tcW w:w="743" w:type="dxa"/>
            <w:tcBorders/>
            <w:shd w:fill="CCEEFF" w:val="clear"/>
          </w:tcPr>
          <w:p>
            <w:pPr>
              <w:pStyle w:val="TableContents"/>
              <w:bidi w:val="0"/>
              <w:spacing w:before="0" w:after="283"/>
              <w:jc w:val="center"/>
              <w:rPr>
                <w:b/>
              </w:rPr>
            </w:pPr>
            <w:r>
              <w:rPr>
                <w:b/>
              </w:rPr>
              <w:t>BBVA</w:t>
            </w:r>
          </w:p>
        </w:tc>
        <w:tc>
          <w:tcPr>
            <w:tcW w:w="193" w:type="dxa"/>
            <w:tcBorders/>
            <w:shd w:fill="CCEEFF" w:val="clear"/>
            <w:vAlign w:val="bottom"/>
          </w:tcPr>
          <w:p>
            <w:pPr>
              <w:pStyle w:val="TableContents"/>
              <w:bidi w:val="0"/>
              <w:spacing w:before="0" w:after="283"/>
              <w:jc w:val="left"/>
              <w:rPr/>
            </w:pPr>
            <w:r>
              <w:rPr/>
              <w:t> </w:t>
            </w:r>
          </w:p>
        </w:tc>
        <w:tc>
          <w:tcPr>
            <w:tcW w:w="1386" w:type="dxa"/>
            <w:tcBorders/>
            <w:shd w:fill="CCEEFF" w:val="clear"/>
          </w:tcPr>
          <w:p>
            <w:pPr>
              <w:pStyle w:val="TableContents"/>
              <w:bidi w:val="0"/>
              <w:spacing w:before="0" w:after="283"/>
              <w:jc w:val="center"/>
              <w:rPr>
                <w:b/>
              </w:rPr>
            </w:pPr>
            <w:r>
              <w:rPr>
                <w:b/>
              </w:rPr>
              <w:t>BNY Capital</w:t>
              <w:br/>
              <w:t>Markets</w:t>
            </w:r>
          </w:p>
        </w:tc>
        <w:tc>
          <w:tcPr>
            <w:tcW w:w="193" w:type="dxa"/>
            <w:tcBorders/>
            <w:shd w:fill="CCEEFF" w:val="clear"/>
            <w:vAlign w:val="bottom"/>
          </w:tcPr>
          <w:p>
            <w:pPr>
              <w:pStyle w:val="TableContents"/>
              <w:bidi w:val="0"/>
              <w:spacing w:before="0" w:after="283"/>
              <w:jc w:val="left"/>
              <w:rPr/>
            </w:pPr>
            <w:r>
              <w:rPr/>
              <w:t> </w:t>
            </w:r>
          </w:p>
        </w:tc>
        <w:tc>
          <w:tcPr>
            <w:tcW w:w="1490" w:type="dxa"/>
            <w:tcBorders/>
            <w:shd w:fill="CCEEFF" w:val="clear"/>
          </w:tcPr>
          <w:p>
            <w:pPr>
              <w:pStyle w:val="TableContents"/>
              <w:bidi w:val="0"/>
              <w:spacing w:before="0" w:after="283"/>
              <w:jc w:val="center"/>
              <w:rPr>
                <w:b/>
              </w:rPr>
            </w:pPr>
            <w:r>
              <w:rPr>
                <w:b/>
              </w:rPr>
              <w:t>PNC Capital</w:t>
              <w:br/>
              <w:t>Markets LLC</w:t>
            </w:r>
          </w:p>
        </w:tc>
        <w:tc>
          <w:tcPr>
            <w:tcW w:w="193" w:type="dxa"/>
            <w:tcBorders/>
            <w:shd w:fill="CCEEFF" w:val="clear"/>
            <w:vAlign w:val="bottom"/>
          </w:tcPr>
          <w:p>
            <w:pPr>
              <w:pStyle w:val="TableContents"/>
              <w:bidi w:val="0"/>
              <w:spacing w:before="0" w:after="283"/>
              <w:jc w:val="left"/>
              <w:rPr/>
            </w:pPr>
            <w:r>
              <w:rPr/>
              <w:t> </w:t>
            </w:r>
          </w:p>
        </w:tc>
        <w:tc>
          <w:tcPr>
            <w:tcW w:w="1484" w:type="dxa"/>
            <w:tcBorders/>
            <w:shd w:fill="CCEEFF" w:val="clear"/>
          </w:tcPr>
          <w:p>
            <w:pPr>
              <w:pStyle w:val="TableContents"/>
              <w:bidi w:val="0"/>
              <w:spacing w:before="0" w:after="283"/>
              <w:jc w:val="center"/>
              <w:rPr>
                <w:b/>
              </w:rPr>
            </w:pPr>
            <w:r>
              <w:rPr>
                <w:b/>
              </w:rPr>
              <w:t>TD Securities</w:t>
            </w:r>
          </w:p>
        </w:tc>
        <w:tc>
          <w:tcPr>
            <w:tcW w:w="193" w:type="dxa"/>
            <w:tcBorders/>
            <w:shd w:fill="CCEEFF" w:val="clear"/>
            <w:vAlign w:val="bottom"/>
          </w:tcPr>
          <w:p>
            <w:pPr>
              <w:pStyle w:val="TableContents"/>
              <w:bidi w:val="0"/>
              <w:spacing w:before="0" w:after="283"/>
              <w:jc w:val="left"/>
              <w:rPr/>
            </w:pPr>
            <w:r>
              <w:rPr/>
              <w:t> </w:t>
            </w:r>
          </w:p>
        </w:tc>
        <w:tc>
          <w:tcPr>
            <w:tcW w:w="1283" w:type="dxa"/>
            <w:tcBorders/>
            <w:shd w:fill="CCEEFF" w:val="clear"/>
          </w:tcPr>
          <w:p>
            <w:pPr>
              <w:pStyle w:val="TableContents"/>
              <w:bidi w:val="0"/>
              <w:spacing w:before="0" w:after="283"/>
              <w:jc w:val="center"/>
              <w:rPr>
                <w:b/>
              </w:rPr>
            </w:pPr>
            <w:r>
              <w:rPr>
                <w:b/>
              </w:rPr>
              <w:t>US Bancorp</w:t>
            </w:r>
          </w:p>
        </w:tc>
        <w:tc>
          <w:tcPr>
            <w:tcW w:w="193"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center"/>
              <w:rPr>
                <w:b/>
              </w:rPr>
            </w:pPr>
            <w:r>
              <w:rPr>
                <w:b/>
              </w:rPr>
              <w:t>Wells Fargo</w:t>
              <w:br/>
              <w:t>Securities</w:t>
            </w:r>
          </w:p>
        </w:tc>
      </w:tr>
    </w:tbl>
    <w:tbl>
      <w:tblPr>
        <w:tblW w:w="5000" w:type="pct"/>
        <w:jc w:val="center"/>
        <w:tblInd w:w="0" w:type="dxa"/>
        <w:tblLayout w:type="fixed"/>
        <w:tblCellMar>
          <w:top w:w="0" w:type="dxa"/>
          <w:left w:w="0" w:type="dxa"/>
          <w:bottom w:w="0" w:type="dxa"/>
          <w:right w:w="0" w:type="dxa"/>
        </w:tblCellMar>
      </w:tblPr>
      <w:tblGrid>
        <w:gridCol w:w="1654"/>
        <w:gridCol w:w="1435"/>
        <w:gridCol w:w="1655"/>
        <w:gridCol w:w="1435"/>
        <w:gridCol w:w="827"/>
        <w:gridCol w:w="1435"/>
        <w:gridCol w:w="1764"/>
      </w:tblGrid>
      <w:tr>
        <w:trPr/>
        <w:tc>
          <w:tcPr>
            <w:tcW w:w="1654"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54" w:type="dxa"/>
            <w:tcBorders/>
            <w:vAlign w:val="center"/>
          </w:tcPr>
          <w:p>
            <w:pPr>
              <w:pStyle w:val="TableContents"/>
              <w:bidi w:val="0"/>
              <w:spacing w:before="0" w:after="283"/>
              <w:jc w:val="left"/>
              <w:rPr>
                <w:sz w:val="4"/>
                <w:szCs w:val="4"/>
              </w:rPr>
            </w:pPr>
            <w:r>
              <w:rPr>
                <w:sz w:val="4"/>
                <w:szCs w:val="4"/>
              </w:rPr>
            </w:r>
          </w:p>
        </w:tc>
        <w:tc>
          <w:tcPr>
            <w:tcW w:w="3090" w:type="dxa"/>
            <w:gridSpan w:val="2"/>
            <w:tcBorders/>
            <w:vAlign w:val="center"/>
          </w:tcPr>
          <w:p>
            <w:pPr>
              <w:pStyle w:val="TableContents"/>
              <w:bidi w:val="0"/>
              <w:spacing w:before="0" w:after="283"/>
              <w:jc w:val="left"/>
              <w:rPr>
                <w:sz w:val="4"/>
                <w:szCs w:val="4"/>
              </w:rPr>
            </w:pPr>
            <w:r>
              <w:rPr>
                <w:sz w:val="4"/>
                <w:szCs w:val="4"/>
              </w:rPr>
            </w:r>
          </w:p>
        </w:tc>
        <w:tc>
          <w:tcPr>
            <w:tcW w:w="2262" w:type="dxa"/>
            <w:gridSpan w:val="2"/>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shd w:fill="CCEEFF" w:val="clear"/>
          </w:tcPr>
          <w:p>
            <w:pPr>
              <w:pStyle w:val="TableContents"/>
              <w:bidi w:val="0"/>
              <w:spacing w:before="0" w:after="283"/>
              <w:jc w:val="center"/>
              <w:rPr>
                <w:b/>
              </w:rPr>
            </w:pPr>
            <w:r>
              <w:rPr>
                <w:b/>
              </w:rPr>
              <w:t>BofA Securities</w:t>
            </w:r>
          </w:p>
        </w:tc>
        <w:tc>
          <w:tcPr>
            <w:tcW w:w="1435"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b/>
              </w:rPr>
            </w:pPr>
            <w:r>
              <w:rPr>
                <w:b/>
              </w:rPr>
              <w:t>M&amp;T Securities</w:t>
            </w:r>
          </w:p>
        </w:tc>
        <w:tc>
          <w:tcPr>
            <w:tcW w:w="1435"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center"/>
              <w:rPr>
                <w:b/>
              </w:rPr>
            </w:pPr>
            <w:r>
              <w:rPr>
                <w:b/>
              </w:rPr>
              <w:t>Mizuho</w:t>
            </w:r>
          </w:p>
        </w:tc>
        <w:tc>
          <w:tcPr>
            <w:tcW w:w="1435"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center"/>
              <w:rPr>
                <w:b/>
              </w:rPr>
            </w:pPr>
            <w:r>
              <w:rPr>
                <w:b/>
              </w:rPr>
              <w:t>Morgan Stanley</w:t>
            </w:r>
          </w:p>
        </w:tc>
      </w:tr>
      <w:tr>
        <w:trPr>
          <w:trHeight w:val="120" w:hRule="atLeast"/>
        </w:trPr>
        <w:tc>
          <w:tcPr>
            <w:tcW w:w="1654" w:type="dxa"/>
            <w:tcBorders/>
            <w:vAlign w:val="center"/>
          </w:tcPr>
          <w:p>
            <w:pPr>
              <w:pStyle w:val="TableContents"/>
              <w:bidi w:val="0"/>
              <w:spacing w:before="0" w:after="283"/>
              <w:jc w:val="left"/>
              <w:rPr>
                <w:sz w:val="4"/>
                <w:szCs w:val="4"/>
              </w:rPr>
            </w:pPr>
            <w:r>
              <w:rPr>
                <w:sz w:val="4"/>
                <w:szCs w:val="4"/>
              </w:rPr>
            </w:r>
          </w:p>
        </w:tc>
        <w:tc>
          <w:tcPr>
            <w:tcW w:w="5352" w:type="dxa"/>
            <w:gridSpan w:val="4"/>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tcPr>
          <w:p>
            <w:pPr>
              <w:pStyle w:val="TableContents"/>
              <w:bidi w:val="0"/>
              <w:spacing w:before="0" w:after="283"/>
              <w:jc w:val="center"/>
              <w:rPr>
                <w:b/>
              </w:rPr>
            </w:pPr>
            <w:r>
              <w:rPr>
                <w:b/>
              </w:rPr>
              <w:t>Scotiabank</w:t>
            </w:r>
          </w:p>
        </w:tc>
        <w:tc>
          <w:tcPr>
            <w:tcW w:w="1435" w:type="dxa"/>
            <w:tcBorders/>
            <w:vAlign w:val="bottom"/>
          </w:tcPr>
          <w:p>
            <w:pPr>
              <w:pStyle w:val="TableContents"/>
              <w:bidi w:val="0"/>
              <w:spacing w:before="0" w:after="283"/>
              <w:jc w:val="left"/>
              <w:rPr/>
            </w:pPr>
            <w:r>
              <w:rPr/>
              <w:t> </w:t>
            </w:r>
          </w:p>
        </w:tc>
        <w:tc>
          <w:tcPr>
            <w:tcW w:w="3917" w:type="dxa"/>
            <w:gridSpan w:val="3"/>
            <w:tcBorders/>
            <w:vAlign w:val="bottom"/>
          </w:tcPr>
          <w:p>
            <w:pPr>
              <w:pStyle w:val="TableContents"/>
              <w:bidi w:val="0"/>
              <w:spacing w:before="0" w:after="283"/>
              <w:jc w:val="center"/>
              <w:rPr>
                <w:b/>
              </w:rPr>
            </w:pPr>
            <w:r>
              <w:rPr>
                <w:b/>
              </w:rPr>
              <w:t>SMBC Nikko</w:t>
            </w:r>
          </w:p>
        </w:tc>
        <w:tc>
          <w:tcPr>
            <w:tcW w:w="1435"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center"/>
              <w:rPr>
                <w:b/>
              </w:rPr>
            </w:pPr>
            <w:r>
              <w:rPr>
                <w:b/>
              </w:rPr>
              <w:t>Truist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 </w:t>
      </w:r>
    </w:p>
    <w:p>
      <w:pPr>
        <w:pStyle w:val="TextBody"/>
        <w:bidi w:val="0"/>
        <w:spacing w:before="120" w:after="0"/>
        <w:jc w:val="center"/>
        <w:rPr>
          <w:rFonts w:ascii="Times New Roman" w:hAnsi="Times New Roman"/>
          <w:b/>
          <w:sz w:val="16"/>
        </w:rPr>
      </w:pPr>
      <w:r>
        <w:rPr>
          <w:rFonts w:ascii="Times New Roman" w:hAnsi="Times New Roman"/>
          <w:b/>
          <w:sz w:val="16"/>
        </w:rPr>
        <w:t xml:space="preserve">R. Seelaus &amp; Co., LLC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supplement is August 17,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supplement and the accompanying prospectus.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 notes in any jurisdiction where the offer or sale is not permitted. You should assume that the information appearing in this prospectus supplement and the accompanying prospectus, including the documents incorporated herein by reference, is accurate only as of their respective dates. Our business, financial condition, results of operations and prospects may have changed since those dates. </w:t>
      </w:r>
    </w:p>
    <w:p>
      <w:pPr>
        <w:pStyle w:val="TextBody"/>
        <w:bidi w:val="0"/>
        <w:spacing w:before="48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supptx150422_1">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2">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3">
              <w:r>
                <w:rPr>
                  <w:rStyle w:val="InternetLink"/>
                  <w:rFonts w:ascii="Times New Roman" w:hAnsi="Times New Roman"/>
                  <w:sz w:val="20"/>
                </w:rPr>
                <w:t>CAUTIONARY STATEMENT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4">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5">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6">
              <w:r>
                <w:rPr>
                  <w:rStyle w:val="InternetLink"/>
                  <w:rFonts w:ascii="Times New Roman" w:hAnsi="Times New Roman"/>
                  <w:sz w:val="20"/>
                </w:rPr>
                <w:t>SUPPLEMENTAL UNITED STATES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7">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8">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50422_9">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5">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8">
              <w:r>
                <w:rPr>
                  <w:rStyle w:val="InternetLink"/>
                  <w:rFonts w:ascii="Times New Roman" w:hAnsi="Times New Roman"/>
                  <w:sz w:val="20"/>
                </w:rPr>
                <w:t>DESCRIPTION OF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9">
              <w:r>
                <w:rPr>
                  <w:rStyle w:val="InternetLink"/>
                  <w:rFonts w:ascii="Times New Roman" w:hAnsi="Times New Roman"/>
                  <w:sz w:val="20"/>
                </w:rPr>
                <w:t>DESCRIPTION OF COMMON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0">
              <w:r>
                <w:rPr>
                  <w:rStyle w:val="InternetLink"/>
                  <w:rFonts w:ascii="Times New Roman" w:hAnsi="Times New Roman"/>
                  <w:sz w:val="20"/>
                </w:rPr>
                <w:t>DESCRIPTION OF PREFERRED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1">
              <w:r>
                <w:rPr>
                  <w:rStyle w:val="InternetLink"/>
                  <w:rFonts w:ascii="Times New Roman" w:hAnsi="Times New Roman"/>
                  <w:sz w:val="20"/>
                </w:rPr>
                <w:t>DESCRIPTION OF STOCK PURCHASE CONTRACTS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2">
              <w:r>
                <w:rPr>
                  <w:rStyle w:val="InternetLink"/>
                  <w:rFonts w:ascii="Times New Roman" w:hAnsi="Times New Roman"/>
                  <w:sz w:val="20"/>
                </w:rPr>
                <w:t>DESCRIPTION OF DEPOSITARY SHARES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3">
              <w:r>
                <w:rPr>
                  <w:rStyle w:val="InternetLink"/>
                  <w:rFonts w:ascii="Times New Roman" w:hAnsi="Times New Roman"/>
                  <w:sz w:val="20"/>
                </w:rPr>
                <w:t>DESCRIPTION OF WARRANTS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4">
              <w:r>
                <w:rPr>
                  <w:rStyle w:val="InternetLink"/>
                  <w:rFonts w:ascii="Times New Roman" w:hAnsi="Times New Roman"/>
                  <w:sz w:val="20"/>
                </w:rPr>
                <w:t>LIMITS ON OWNERSHIP OF BXP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5">
              <w:r>
                <w:rPr>
                  <w:rStyle w:val="InternetLink"/>
                  <w:rFonts w:ascii="Times New Roman" w:hAnsi="Times New Roman"/>
                  <w:sz w:val="20"/>
                </w:rPr>
                <w:t>IMPORTANT PROVISIONS OF DELAWARE LAW, BXP’S CERTIFICATE OF INCORPORATION AND BY-LAWS AND OTHER GOVERNANCE DOCUMENTS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6">
              <w:r>
                <w:rPr>
                  <w:rStyle w:val="InternetLink"/>
                  <w:rFonts w:ascii="Times New Roman" w:hAnsi="Times New Roman"/>
                  <w:sz w:val="20"/>
                </w:rPr>
                <w:t>UNITED STATES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7">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1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oc150422_2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is a supplement to the accompanying prospectus. If information in this prospectus supplement is inconsistent with the prospectus, this prospectus supplement will apply and supersede the information in the prospectus. It is important for you to read and carefully consider all information contained in this prospectus supplement and the accompanying prospectus. You should also read and carefully consider the information in the documents to which we have referred you under the caption “Information Incorporated by Reference”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supplement to “we,” “us,” “our,” “the partnership,” “BPLP,” or similar expressions refer collectively to Boston Properties Limited Partnership, a Delaware limited partnership, and its subsidiaries, and their respective predecessor entities for the applicable periods, considered as a single enterprise. All references to “BXP” or “the Company” used in this prospectus supplement refer to BXP, Inc., a Delaware corporation and the sole general partner of BPLP.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supptx150422_1"/>
      <w:bookmarkEnd w:id="3"/>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from this prospectus supplement, the accompanying prospectus and the documents incorporated herein and therein by reference. It does not contain all of the information that may be important to you. We encourage you to carefully read this entire prospectus supplement, the accompanying prospectus and the documents incorporated herein and therein by reference, especially the “Risk Factors” sections beginning on page S-4 of this prospectus supplement and in our Annual Report on Form 10-K for the fiscal year ended December 31, 2025 filed with the Securities and Exchange Commission on February 27, 2026 before making an investment decision regarding the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BPLP is the entity through which BXP conducts substantially all of its business and owns (either directly or through subsidiaries) substantially all of its assets. BXP is a fully integrated, self-administered and self-managed real estate investment trust, or REIT, and is one of the largest publicly traded office REITs (based on total market capitalization as of June 30, 2026) in the United States that develops, owns and manages primarily premier workplaces.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properties are concentrated in six dynamic gateway markets – Boston, Los Angeles, New York, San Francisco, Seattle and Washington, DC. At June 30, 2026, we owned or had joint venture interests in a portfolio of 164 commercial real estate properties aggregating approximately 51.1 million rentable square feet of primarily premier workplaces, including six properties under construction/redevelopment totaling approximately 3.5 million rentable square feet. At June 30, 2026, our properties consisted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143 office properties (including two properties under construction/redevelopment);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retail properties;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 residential properties (including four properties under construction);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hotel.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top-performing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Prudential Center, 800 Boylston Street, Suite 1900, Boston, Massachusetts 02199 and our telephone number is (617) 236-3300.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the offering is provided solely for your convenience. This summary is not intended to be complete. You should read the full text and more specific details contained elsewhere in this prospectus supplement under the heading “Description of Notes” and in the accompanying prospectus under the heading “Description of Debt Securities.” For purposes of this section entitled “The Offering” and the “Description of Notes,” references to “we,” “us,” and “our” refer only to BPLP and not to its subsidiaries.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Boston Properties Limited Partnership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Securities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$700,000,000 aggregate principal amount of 6.050% senior notes due 2036.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October 15, 2036 unless earlier redeemed.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 and Payment Dates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6.050% per year. Interest will be payable semi-annually, in cash, on April 15 and October 15 of each year, beginning April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may redeem some or all of the notes at any time and from time to time at the applicable redemption price discussed under the caption “Description of Notes—Optional Redemption”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notes will be our senior unsecured obligations and will rank equally with all of our other unsecured and unsubordinated indebtedness from time to time outstanding. The notes will be effectively subordinated to our mortgages and our other secured indebtedness to the extent of the value securing such indebtedness. The notes will be structurally subordinated to indebtedness and other liabilities of our subsidiaries from time to time outstanding. The notes will not be subject to any sinking fund provision.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Form and Denominations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will be issued in the form of one or more fully registered global notes, without coupons, in denominations of $1,000 and integral multiples of $1,000. See “Description of Notes—Brief Description of the Notes”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Covenants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issue the notes under an indenture with The Bank of New York Mellon Trust Company, N.A., as trustee. Under the indenture, we have agreed, among other things, to certain restrictions on incurring debt, using our assets as security in other transactions and other restrictions. See “Description of Notes—Certain Covenants” in this prospectus supplement and “Description of Debt Securities—Covenants”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receive net proceeds from this offering of approximately $692.4 million after deducting the underwriting discount and estimated transaction expenses payable by us. We intend to use the net proceeds from this offering to fund the redemption or repayment of the $1.0 billion aggregate principal amount of our 2.750% senior notes due 2026 that are scheduled to mature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October 1, 2026 (the “2026 Notes”). We intend to use available cash and/or borrowings under our $2.25 billion revolving line of credit (the “Revolving Facility”) to fund the remaining portion of the funds needed to redeem or repay the 2026 Notes in full. Pending the use of the net proceeds from this offering as described above, we may repay other debt, including amounts outstanding under the Revolving Facility, and/or invest the net proceeds in short-term, interest-bearing deposit accounts. See “Use of Proceeds” on page S-10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should read carefully the “Risk Factors” sections beginning on page S-4 of this prospectus supplement and page 19 of our Annual Report on Form 10-K for the year ended December 31, 2025, as well as the other information included or incorporated by reference into this prospectus supplement and the accompanying prospectus, for certain considerations relevant to an investment in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Trading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notes are a new issue of securities, and there is currently no established trading market for the notes. An active or liquid market may not develop for the notes or, if developed, may not be maintained. We have not applied and do not intend to apply for the listing of the notes on any securities exchange or for quotation on any automated dealer quotation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Further Issuances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may from time to time, without notice to or consent of existing note holders, create and issue additional notes having the same terms and conditions as the notes offered by this prospectus supplement in all respects, except for the issue date and, under certain circumstances, the issue price and the date upon which the first payment of interest is made. Additional notes issued in this manner will be consolidated with and will form a single series with the previously outstanding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50422_2"/>
      <w:bookmarkEnd w:id="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risks and the risks described in the documents incorporated by reference in this prospectus supplement and the accompanying prospectus, including our Annual Report on Form 10-K for the year ended December 31, 2025 and documents we file with the Securities and Exchange Commission after the date of this prospectus supplement and which are deemed incorporated by reference in this prospectus supplement and the accompanying prospectus before making an investment decision. These risks are not the only risks that we face.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including the notes, could decline due to the materialization of any of these risks,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adversely affect our financial condition and ability to fulfill our obligations under the notes and otherwise adversely impact our business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We have a substantial amount of debt. As of June 30, 2026, we had total consolidated indebtedness of approximately $15.7 billion, consisting of approximately (i) $8.9 billion of publicly traded unsecured senior notes, (ii) $1.0 billion of unsecured exchangeable senior notes, (iii) $4.3 billion of property-specific mortgage debt, (iv) $100.0 million of principal outstanding under our unsecured term loan facility (the “2024 Unsecured Term Loan”), (v) $700.0 million of principal outstanding under our unsecured term loan facility (the “Term Loan Facility”) and (vi) $750.0 million of unsecured commercial paper notes outstanding under our commercial paper program (the “Commercial Paper Program”). We have an unsecured credit facility (the “2025 Credit Facility”), which provides for borrowings of up to $2.95 billion through the $2.25 billion Revolving Facility and the $700.0 million Term Loan Facility, and is used as a backstop for the $750.0 million Commercial Paper Program. As of June 30, 2026, we had no borrowings outstanding under the Revolving Facility and approximately $1.3 million of aggregate outstanding letters of credit. After deducting the $750.0 million being used as a backstop for the Commercial Paper Program, at June 30, 2026, we had the ability to borrow approximately $1.5 billion under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indebtedness could have important consequences to you. For example, it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the notes and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 from operations to the payment of interest on and principal of our indebtedness, thereby reducing the availability of cash to fund working capital, capital expenditures and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borrow money or sell stock to fund our development projects, working capital, capital expenditures, general corporate purposes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us from making strategic acquisitions or exploiting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us at a disadvantage compared to competitors that have less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outstanding consolidated variable rate debt of approximately $2.3 billion, which consisted of $800.0 million of aggregate principal outstanding under the 2024 Unsecured Term Loan and Term Loan Facility, $750.0 million of unsecured commercial paper notes outstanding under the Commercial Paper Program and approximately $800.0 million of secured debt. However, we have entered into interest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swaps to fix the interest rate for the $600.0 million of secured mortgage debt maturing October 2028. We may incur additional indebtedness that bears interest at variable rates in the future. If we incur such indebtedness and the interest rates increase significantly, or if our cost of capital for new indebtedness, including indebtedness bearing a fixed interest rate, increases, our ability to borrow additional funds may be reduced, our interest expense would significantly increase, and the risks related to our substantial indebtedness would increase. We may not be able to lessen the impact of rising interest rates on such additional indebtedness through interest rate swap agreements or other interest rate hedging contracts.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unsecured senior notes, the 2025 Credit Facility and the 2024 Unsecured Term Loan require us to maintain specified financial ratios and comply with several restrictive covenants. All of these restrictions may limit our ability to execute our business strategy. Moreover, if operating results fall below current levels, we may be unable to maintain these ratios or comply with the covenants. If that occurs, our lenders could accelerate our indebtedness, in which case we may not be able to repay all of our indebtedness, and your notes may not be repaid fully,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flow to meet our debt service obligations.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payments on and to refinance our indebtedness, including the notes, and to fund our operations, working capital and capital expenditures, depends on our ability to generate cash in the future. To a certain extent, our cash flow is subject to general economic, industry, financial, competitive, operating, legislative, regulatory and other factors, many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our business will generate sufficient cash flow from operations or that future sources of cash will be available to us in an amount sufficient to enable us to pay amounts due on our indebtedness, including the notes, or to fund our other liquidity needs. Additionally, if we incur additional indebtedness in connection with future acquisitions or development projects or for any other purpose, our debt service obligations could increase. </w:t>
      </w:r>
    </w:p>
    <w:p>
      <w:pPr>
        <w:pStyle w:val="TextBody"/>
        <w:bidi w:val="0"/>
        <w:spacing w:before="240" w:after="0"/>
        <w:jc w:val="left"/>
        <w:rPr>
          <w:rFonts w:ascii="Times New Roman" w:hAnsi="Times New Roman"/>
          <w:sz w:val="20"/>
        </w:rPr>
      </w:pPr>
      <w:r>
        <w:rPr>
          <w:rFonts w:ascii="Times New Roman" w:hAnsi="Times New Roman"/>
          <w:sz w:val="20"/>
        </w:rPr>
        <w:t xml:space="preserve">We may need or otherwise seek to refinance all or a portion of our indebtedness, including the notes, on or before maturity. Our ability to refinance our indebtedness or obtain additional financing will depend on,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and market conditions at the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in the credit agreements governing the 2025 Credit Facility, the 2024 Unsecured Term Loan or in agreements governing our other outstanding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we may not be able to refinance any of our indebtedness, including the notes,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the notes. Accordingly, if we cannot service our indebtedness, we may have to take actions such as issuing additional equity or delaying capital expenditures, or seeking strategic acquisitions and joint ventures, any of which could have a material adverse effect on our operations. We cannot assure you that we will be able to effect any of these actions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restrict, but do not eliminate, our ability to incur additional debt, which could exacerbate any or all of the risks described above, or prohibit us from taking other action that could negatively impact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notes and the indenture governing the notes restrict us from incurring additional indebtedness. However, these limitations are subject to numerous exceptions. See “Description of Notes—Certain Covenants—Limitations on Incurrence of Debt” in this prospectus supplement.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recapitalize, incur additional debt, secure existing or future debt or take a number of other actions that are not limited by the terms of the indenture governing the notes and the notes, including repurchasing indebtedness or paying distributions, could have the effect of diminishing our ability to make payments on the notes when due. Additionally, except as set forth under “Description of Notes—Certain Covenants—Limitations on Incurrence of Debt” in this prospectus supplement, the indenture does not contain any provisions applicable to these notes that would limit our ability to incur indebtedness or that would afford holders of the notes protection in the event of a highly leveraged or similar transaction involving us or in the event of a change of control. To the extent that we incur additional indebtedness or such other obligations, the risks associated with our substantial leverage described above, including our possible inability to service our debt, would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unconsolidated joint ventures’ substantial indebtedness subjects noteholders to many of the same risks as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we had effective ownership interests ranging from approximately 19% to approximately 71% in a number of unconsolidated joint ventures. As of June 30, 2026, these unconsolidated joint ventures had assets aggregating approximately $4.9 billion and indebtedness aggregating approximately $2.7 billion. The substantial indebtedness of these unconsolidated joint ventures subjects noteholders to many of the same risks as our indebtedness as described above and could adversely affect our financial condition, ability to fulfill our obligations under the notes, our ability to generate sufficient cash flow to meet our debt service obligations and our business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are effectively subordinated to our existing secured debt and any secured debt we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secured by any of our assets. As a result, the notes are effectively subordinated to our existing secured debt and any secured debt we may incur in the future to the extent of the value of the collateral securing such indebtedness. In any liquidation, dissolution, bankruptcy or other similar proceeding, holders of our secured debt may assert rights against any assets securing the debt in order to receive full payment of their debt before those assets may be used to pay the holders of the notes. As of June 30, 2026, we had approximately $4.3 billion of secured consolidated debt outstanding, which consisted of property-specific mortgage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effectively be junior to the liabilities of our subsidiaries and any indebtedness that is guaranteed by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structurally subordinated to all existing and future liabilities of our subsidiaries and any indebtedness that is guaranteed by our subsidiaries. These liabilities may include indebtedness, trade payables, guarantees, lease obligations and letter of credit obligations. Holders of the notes will not be creditors of our subsidiaries. Our rights and the rights of our creditors, including the holders of the notes, to participate in the assets of any subsidiary upon that subsidiary’s liquidation or reorganization will be subject to the prior claims of the subsidiary’s creditors and of the holders of any indebtedness or other obligations guaranteed by that subsidiary, except to the extent that we may ourselves be a creditor with recognized claims against the subsidiary. However, even if we are a creditor of one of our subsidiaries, our claims would still be effectively subordinated to any security interests in, or mortgages or other liens on, the assets of that subsidiary and would be subordinate to any indebtedness of the subsidiary senior to that held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public trading market for the notes, which could limit their market price or the ability to sell them for an amount equal to, or higher than, their initial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existing trading market for the notes. We do not intend to apply for listing of the notes on any securities exchange. Accordingly, there can be no assurance that an active public trading market for the notes will ever develop and, even if one develops, will be maintained. If an active public trading market for the notes does not develop or is not maintained, the market price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liquidity of the notes are likely to be adversely affected and holders may not be able to sell their notes at desired times and prices, or at all. If any of the notes are traded after their purchase, they may trade at a discount from their initial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liquidity of the trading market, if any, and future trading prices of the notes will depend on many factors, including, among other things, prevailing interest rates, outstanding amount of the notes, the financial condition, results of operations, business, prospects and credit quality of BXP and its subsidiaries, including us, and other comparable entities, the ratings our senior debt receives from rating agencies, the market for similar securities, the overall securities market and the tax treatment of the notes. The liquidity of the trading market, if any, and future trading prices of the notes may be adversely affected by unfavorable changes in any of these factors, some of which are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they currently intend to make a market in the notes, but they are not obligated to do so and may cease market-making at any time without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use the net proceeds from this offering in ways with which you may not agree.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the net proceeds from this offering to fund the redemption or repayment of the 2026 Notes. We intend to use available cash and/or borrowings under the Revolving Facility to fund the remaining portion of the funds needed to redeem or repay the 2026 Notes in full. Pending the use of the net proceeds from this offering as described above, we may repay other debt, including amounts outstanding under the Revolving Facility, and/or invest the net proceeds in short-term, interest-bearing deposit accounts. We will retain broad discretion over the use or allocation of the net proceeds from this offering and you may not agree with the ultimate use or allocation of these net proceeds.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choose to redeem the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See “Description of Notes—Optional Redemption” in this prospectus supplement. If market interest rates at the time of redemption are less than the interest rate payable on the notes, you may not be able to reinvest the redemption proceeds in a comparable security at an interest rate as high as the interest rate of the notes being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notes bearing interest at a fixed rate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150422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that we incorporate by reference, contain forward-looking statements within the meaning of the federal securities laws, including Section 27A of the Securities Act of 1933, as amended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We caution investors that any such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Some of the risks and uncertainties that may cause actual results to differ materially from those expressed or implied by the forward-looking statements include the following risks and uncertainties,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integrate acquisitions and developments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affecting property development and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joint venture partners to satisfy their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actual or threatened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compliance with the Americans with Disabilities Act and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uninsured losses and environmental contamination;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climate change and severe weather events, as well as the regulatory efforts intended to reduce the effects of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use of artificial intelligence and cyber security breaches, incidents, and compromises, as well as other significant disruptions of our information technology (IT) networks and related systems, which support our operations and our buildings;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legal proceedings and other claims that could result in substantial monetary damages and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BXP’s potential failure to qualify as a REIT under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changes in tax and environmental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newly adopted accounting principles on our accounting policies and on period-to-period comparisons of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state and local tax audits;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dependence on key personnel whose continued service is not guaranteed;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risk factors identified in our Annual Report on Form 10-K for the fiscal year ended December 31, 2025 or described herein, in each case,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risks set forth above are not exhaustive. Other sections of this prospectus supplement and the accompanying prospectus, including the documents that we incorporate by reference herein and therein,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unduly rely on forward-looking statements as a prediction of actual results. Investors should also refer to our most recent Annual Report on Form 10-K, our Quarterly Reports on Form 10-Q for subsequent periods and our Current Reports on Form 8-K as we file them with the Securities and Exchange Commission,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50422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expect to receive approximately $692.4 million in net proceeds from this offering after deducting the underwriting discount and estimated transaction expenses payable by us. We intend to use the net proceeds from this offering to fund the redemption or repayment of the 2026 Notes. We intend to use available cash and/or borrowings under the Revolving Facility to fund the remaining portion of the funds needed to redeem or repay the 2026 Notes in full. Pending the use of the net proceeds from this offering as described above, we may repay other debt, including amounts outstanding under the Revolving Facility, and/or invest the net proceeds in short-term, interest-bearing deposit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2026 Notes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$1.0 billion in aggregate principal amount of the 2026 Notes outstanding, which bear interest at a rate of 2.750% per annum, are scheduled to mature on October 1, 2026 and may be repaid at maturity or redeemed by us at any time upon not less than 15 days’ but not more than 60 days’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50422_5"/>
      <w:bookmarkEnd w:id="7"/>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terms of the notes offered hereby supplements, and to the extent inconsistent, replaces the description of the general terms and provisions of the debt securities set forth in the accompanying prospectus under the caption “Description of Debt Securities.” You can find the definition of certain terms used in this description under the subheading “—Special Terms Used in Certain Covenants.” In this description, the words “we,” “our,” “ours,” “us” and “BPLP” refer only to BPLP and not to any of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issuing $700,000,000 of senior notes that will mature on October 15, 2036. We will issue the notes under our senior debt securities indenture (the “Original Indenture”), dated as of December 13, 2002, between BPLP and The Bank of New York Mellon Trust Company, N.A., as trustee, as supplemented by supplemental indenture no. 27, to be dated as of August 31, 2026 (together with the Original Indenture,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selected provisions of the Indenture. It does not restate the Indenture in its entirety. We urge you to read the Indenture, because it, and not this description, defines your rights as holders of the notes. We have filed a copy of the Indenture as an exhibit to the registration statement, which includes the accompanying prospectus, copies of which are available for inspection at our offices. </w:t>
      </w:r>
    </w:p>
    <w:p>
      <w:pPr>
        <w:pStyle w:val="TextBody"/>
        <w:bidi w:val="0"/>
        <w:spacing w:before="360" w:after="0"/>
        <w:jc w:val="left"/>
        <w:rPr>
          <w:rFonts w:ascii="Times New Roman" w:hAnsi="Times New Roman"/>
          <w:b/>
          <w:sz w:val="20"/>
        </w:rPr>
      </w:pPr>
      <w:r>
        <w:rPr>
          <w:rFonts w:ascii="Times New Roman" w:hAnsi="Times New Roman"/>
          <w:b/>
          <w:sz w:val="20"/>
        </w:rPr>
        <w:t xml:space="preserve">Brief Description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our direct, senior unsecured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with each other and all of our other unsecured and unsubordinated indebtedness from time to time outstanding, including indebtedness outstanding from time to time under our unsecured credit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our mortgages and other secured indebtedness of ours as to the specific properties securing such indebtedness and structurally subordinated to indebtedness and other liabilities of any of our subsidiaries now existing or that we may form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entitle you to realize value from unencumbered or indirectly held properties only after satisfaction of secured indebtedness and other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 subject to any sinking fund provision;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issued in denominations of $1,000 and integral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total amount of unsecured, unsubordinated indebtedness of BPLP was approximately $11.4 billion, our subsidiaries had no unsecured indebtedness, and our share of unconsolidated joint venture indebtedness was approximately $1.1 billion. As of June 30, 2026, the total amount of secured indebtedness of BPLP and our subsidiaries on a consolidated basis (excluding unconsolidated joint venture debt) was approximately $4.3 billion, which consisted of property-specific mortgage debt.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bear interest at 6.050% per annum from August 31, 2026 or from the immediately preceding interest payment date to which interest has been paid, payable semi-annually in arrears on April 15 and October 15 of each year, commencing April 15, 2027, each such date being referred to as an “interest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to the persons in whose name the applicable notes are registered in the security register at the close of business 15 calendar days prior to such interest payment date, each such date being referred to as a “regular record date.”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the notes on any interest payment date, the stated maturity date or the redemption date, as the case may be, will include interest accrued from and including the next preceding interest payment date in respect of which interest has been paid or duly provided for (or from and including August 31, 2026, if no interest has been paid on the notes) to but excluding such interest payment date, the stated maturity date or the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Any interest not punctually paid or duly provided for on any interest payment date with respect to a note will forthwith cease to be payable to the holder on the applicable regular record date and may either be paid to the person in whose name such note is registered at the close of business on a special record date for the payment of such interest to be fixed by the trustee, notice of which shall be given to the holder of such note not less than ten days prior to such special record date, or may be paid at any time in any other lawful manner, as more particularly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or maturity falls on a day that is not a business day, the required payment shall be on the next business day as if it were made on the date such payment was due and no interest shall accrue on the amount so payable for the period from and after such interest payment date or maturity, as the case may be. A “business day” means any day, other than a Saturday or Sunday, that is neither a legal holiday nor a day on which banking institutions in The City of New York are required or authorized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of (and premium or make-whole amount, if any) and interest on the notes will be payable at the corporate trust office of the trustee, in such coin or currency of the United States of America as at the time of payment is legal tender for payment of public and private debt, provided that, at our option, payment of interest may be made by check mailed to the address of the person entitled thereto as it appears in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provisions and will not be convertible into or exchangeable for any equity interest in BPLP or BXP.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without notice to or the consent of existing note holders, create and issue additional notes having the same terms and conditions as the notes offered by this prospectus supplement in all respects, except for the issue date and, under certain circumstances, the issue price and the date upon which the first payment of interest is made, such that these notes would form a single series with the notes offered hereby. If any such additional notes are not fungible with the notes offered hereby for U.S. federal income tax purposes, such additional notes issued in this manner will have one or more separate CUSIP numbers.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Notes called for redemption become due on the date fixed for redemption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(as defined below),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25 basis points less (ii) interest accrued to the date of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plus accrued and unpaid interest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notes, in whole or in part, at any time and from time to time, at a redemption price equal to 100% of the principal amount of the notes being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Notices of redemption will be transmitted at least 10 but not more than 60 days before the Redemption Date to each noteholder to be redeemed at its registered address. The notice of redemption for the notes will state the amount to be redeemed. On and after the Redemption Date, interest will cease to accrue on any notes that are redeemed. If less than all the notes are redeemed at any time, notes will be selected in accordance with the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optional redemption price, the following definitions are applicable: </w:t>
      </w:r>
    </w:p>
    <w:p>
      <w:pPr>
        <w:pStyle w:val="TextBody"/>
        <w:bidi w:val="0"/>
        <w:spacing w:before="240" w:after="0"/>
        <w:jc w:val="left"/>
        <w:rPr/>
      </w:pPr>
      <w:r>
        <w:rPr/>
        <w:t>“</w:t>
      </w:r>
      <w:r>
        <w:rPr>
          <w:rFonts w:ascii="Times New Roman" w:hAnsi="Times New Roman"/>
          <w:sz w:val="20"/>
          <w:u w:val="single"/>
        </w:rPr>
        <w:t>Par Call Date</w:t>
      </w:r>
      <w:r>
        <w:rPr>
          <w:rFonts w:ascii="Times New Roman" w:hAnsi="Times New Roman"/>
          <w:sz w:val="20"/>
        </w:rPr>
        <w:t xml:space="preserve">” means July 15, 2036 (three months prior to the maturity date of the notes). </w:t>
      </w:r>
    </w:p>
    <w:p>
      <w:pPr>
        <w:pStyle w:val="TextBody"/>
        <w:bidi w:val="0"/>
        <w:spacing w:before="24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date notice of such redemption is given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date notice of such redemption is given H.15 or any successor designation or publication is no longer published, we shall calculate the Treasury Rate based on the rate per annum equal to the semi-annual equivalent yield to maturity at 11:00 a.m., New York City time, on the second business day preceding the date notice of such redemption is given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have no responsibility to calculate, or to verify our calculation of,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the notes will not be redeemable by us prior to maturity and will not be entitled to the benefit of any sinking fund.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This subsection describes certain promises we will make in the notes for the benefit of the holders of the notes. Compliance with the covenants described in this prospectus supplement with respect to the notes generally may not be waived by the board of directors of BXP, as our general partner, or by the trustee under the Indenture unless the holders of at least a majority in principal amount of all outstanding notes consent to the waiver. The defeasance and covenant defeasance provisions of the Indenture described in the accompanying prospectus under the caption “Description of Debt Securities—Discharge, Defeasance and Covenant Defeasance” apply to the notes, including with respect to the covenants described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Incurrence of Debt </w:t>
      </w:r>
    </w:p>
    <w:p>
      <w:pPr>
        <w:pStyle w:val="TextBody"/>
        <w:bidi w:val="0"/>
        <w:spacing w:before="120" w:after="0"/>
        <w:jc w:val="left"/>
        <w:rPr>
          <w:rFonts w:ascii="Times New Roman" w:hAnsi="Times New Roman"/>
          <w:sz w:val="20"/>
        </w:rPr>
      </w:pPr>
      <w:r>
        <w:rPr>
          <w:rFonts w:ascii="Times New Roman" w:hAnsi="Times New Roman"/>
          <w:sz w:val="20"/>
        </w:rPr>
        <w:t xml:space="preserve">In this subsection, we use several specialized terms that are given special meanings in the notes. We capitalize these terms and define them under the caption “—Special Terms Used in Certain Covenants” at the end of this subsection. </w:t>
      </w:r>
    </w:p>
    <w:p>
      <w:pPr>
        <w:pStyle w:val="TextBody"/>
        <w:bidi w:val="0"/>
        <w:spacing w:before="240" w:after="0"/>
        <w:jc w:val="left"/>
        <w:rPr>
          <w:rFonts w:ascii="Times New Roman" w:hAnsi="Times New Roman"/>
          <w:sz w:val="20"/>
        </w:rPr>
      </w:pPr>
      <w:r>
        <w:rPr>
          <w:rFonts w:ascii="Times New Roman" w:hAnsi="Times New Roman"/>
          <w:i/>
          <w:sz w:val="20"/>
          <w:u w:val="single"/>
        </w:rPr>
        <w:t>Limitation on Outstanding Debt</w:t>
      </w:r>
      <w:r>
        <w:rPr>
          <w:rFonts w:ascii="Times New Roman" w:hAnsi="Times New Roman"/>
          <w:sz w:val="20"/>
        </w:rPr>
        <w:t xml:space="preserve">. BPLP may not, and may not permit any Subsidiary to, Incur any Debt if, immediately after giving effect to the Incurrence of the additional Debt and any other Debt Incurred since the end of the Latest Completed Quarter prior to the Incurrence of the additional Debt and the application of the net proceeds of the additional Debt and such other Debt, Total Outstanding Debt would exceed 60% of the sum of (without duplication) (i) Total Assets as of the end of such Latest Completed Quarter and (ii) the purchase price of any mortgages receivable acquired, and the amount of any securities offering proceeds received (to the extent that such proceeds were not used to acquire real estate assets for which the Capitalized Property Value is included in Total Assets as of the end of such Latest Completed Quarter (as a result of the penultimate sentence of the definition of Property EBITDA or otherwise) or mortgages receivable or used to reduce Debt), by BPLP or any Subsidiary since the end of such Latest Completed Quarter. </w:t>
      </w:r>
    </w:p>
    <w:p>
      <w:pPr>
        <w:pStyle w:val="TextBody"/>
        <w:bidi w:val="0"/>
        <w:spacing w:before="240" w:after="0"/>
        <w:jc w:val="left"/>
        <w:rPr>
          <w:rFonts w:ascii="Times New Roman" w:hAnsi="Times New Roman"/>
          <w:sz w:val="20"/>
        </w:rPr>
      </w:pPr>
      <w:r>
        <w:rPr>
          <w:rFonts w:ascii="Times New Roman" w:hAnsi="Times New Roman"/>
          <w:i/>
          <w:sz w:val="20"/>
          <w:u w:val="single"/>
        </w:rPr>
        <w:t>Limitation on Secured Debt</w:t>
      </w:r>
      <w:r>
        <w:rPr>
          <w:rFonts w:ascii="Times New Roman" w:hAnsi="Times New Roman"/>
          <w:sz w:val="20"/>
        </w:rPr>
        <w:t xml:space="preserve">. BPLP may not, and may not permit any Subsidiary to, Incur any Secured Debt if, immediately after giving effect to the Incurrence of the additional Secured Debt and any other Secured Debt Incurred since the end of the Latest Completed Quarter prior to the Incurrence of the additional Secured Debt and the application of the net proceeds of the additional Secured Debt and such other Secured Debt, the aggregate principal amount of all outstanding Secured Debt is greater than 50% of the sum of (without duplication) (i) Total Assets as of the end of such Latest Completed Quarter and (ii) the purchase price of any mortgages receivable acquired, and the amount of any securities offering proceeds received (to the extent that such proceeds were not used to acquire real estate assets for which the Capitalized Property Value is included in Total Assets as of the end of such Latest Completed Quarter (as a result of the penultimate sentence of the definition of Property EBITDA or otherwise) or mortgages receivable or used to reduce Debt), by BPLP or any Subsidiary since the end of such Latest Completed Quarter. </w:t>
      </w:r>
    </w:p>
    <w:p>
      <w:pPr>
        <w:pStyle w:val="TextBody"/>
        <w:bidi w:val="0"/>
        <w:spacing w:before="240" w:after="0"/>
        <w:jc w:val="left"/>
        <w:rPr>
          <w:rFonts w:ascii="Times New Roman" w:hAnsi="Times New Roman"/>
          <w:sz w:val="20"/>
        </w:rPr>
      </w:pPr>
      <w:r>
        <w:rPr>
          <w:rFonts w:ascii="Times New Roman" w:hAnsi="Times New Roman"/>
          <w:i/>
          <w:sz w:val="20"/>
          <w:u w:val="single"/>
        </w:rPr>
        <w:t>Ratio of Annualized Consolidated EBITDA to Annualized Interest Expense</w:t>
      </w:r>
      <w:r>
        <w:rPr>
          <w:rFonts w:ascii="Times New Roman" w:hAnsi="Times New Roman"/>
          <w:sz w:val="20"/>
        </w:rPr>
        <w:t xml:space="preserve">. BPLP may not, and may not permit any Subsidiary to, Incur any Debt if, immediately after giving effect to the Incurrence of the additional Debt, the ratio of Annualized Consolidated EBITDA for the Latest Completed Quarter prior to the Incurrence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additional Debt, to Annualized Interest Expense for that quarter would be less than 1.50 to 1.00 on a pro forma basis after giving effect to the Incurrence of the additional Debt and to the application of the net proceeds therefrom, and calculated on the assumption, without duplication,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Debt and any other Debt Incurred by BPLP, any of its Subsidiaries or any of the Partially-Owned Entities from the first day of that quarter to the date of determination, which was outstanding at the date of determination, had been Incurred at the beginning of that period and continued to be outstanding throughout that period, and the application of the net proceeds of that Debt, including to refinance (1) Debt under any revolving credit facility or (2) other Debt, had occurred at the beginning of that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or retirement of any other Debt repaid or retired by BPLP, any of its Subsidiaries or any of the Partially-Owned Entities from the first day of that quarter to the date of determination occurred at the beginning of that period; provided that, except as set forth in the preceding or following paragraphs, in determining the amount of Debt so repaid or retired, the amount of Debt under any revolving credit facility will be computed based upon the average daily balance of such Debt during that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acquisition or disposition of any asset or group of assets or the placement of any assets in service or removal of any assets from service by BPLP, any of its Subsidiaries or any of the Partially-Owned Entities from the first day of that quarter to the date of determination, including, without limitation, by merger, or stock or asset purchase or sale, (1) the acquisition, disposition, placement in service or removal from service had occurred as of the first day of that period, with the appropriate adjustments to Annualized Consolidated EBITDA and Annualized Interest Expense with respect to the acquisition, disposition, placement in service or removal from service being included in that pro forma calculation and (2) the application of the net proceeds from a disposition to repay or refinance Debt, including, without limitation, Debt under any revolving credit facility, had occurred on the first day of that period.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Maintenance of Unencumbered Assets </w:t>
      </w:r>
    </w:p>
    <w:p>
      <w:pPr>
        <w:pStyle w:val="TextBody"/>
        <w:bidi w:val="0"/>
        <w:spacing w:before="120" w:after="0"/>
        <w:jc w:val="left"/>
        <w:rPr>
          <w:rFonts w:ascii="Times New Roman" w:hAnsi="Times New Roman"/>
          <w:sz w:val="20"/>
        </w:rPr>
      </w:pPr>
      <w:r>
        <w:rPr>
          <w:rFonts w:ascii="Times New Roman" w:hAnsi="Times New Roman"/>
          <w:sz w:val="20"/>
        </w:rPr>
        <w:t xml:space="preserve">BPLP and its Subsidiaries will maintain at all times Unencumbered Assets of not less than 150% of the aggregate principal amount of all outstanding Unsecured Debt of BPLP and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Whether or not BPLP is subject to Section 13 or 15(d) of the Securities Exchange Act of 1934, as amended (the “Exchange Act”), BPLP will, to the extent permitted under the Exchange Act, file with the Securities and Exchange Commission the annual reports, quarterly reports and other documents that BPLP would have been required to file with the Securities and Exchange Commission if BPLP were so subject on or prior to the respective dates by which BPLP would have been required to file such documents. BPLP shall also in any event within 15 days after each of the respective dates by which BPLP would have been required to file any such documents, (1) if BPLP is not then subject to Section 13 or 15(d) of the Exchange Act, transmit by mail to all holders of the notes, without cost to such holders, copies of the annual reports and quarterly reports that BPLP would have been required to file with the Securities and Exchange Commission pursuant to Section 13 or 15(d) of the Exchange Act if BPLP were subject to such Sections and (2) file with the trustee copies of annual reports, quarterly reports and other documents that BPLP would have been required to file with the Securities and Exchange Commission pursuant to Section 13 or 15(d) of the Exchange Act if BPLP were subject to such Sections. If filing the foregoing reports and documents by BPLP with the Securities and Exchange Commission is not permitted, BPLP will, promptly upon written request and payment of the reasonable cost of duplication and delivery, supply copies of such documents to any prospective holder of the notes.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BPLP’s compliance with any of its covenants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 of Taxes and Other Claims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requires us to pay, discharge or cause to be paid or discharged, before they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taxes, assessments and governmental charges levied or imposed on us, our Subsidiaries or our Subsidiaries’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material lawful claims for labor, materials and supplies which, if unpaid, might by law become a lien upon our or our Subsidiaries’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we will not be required to pay, discharge or cause to be paid or discharged any such tax, assessment, charge or claim whose amount, applicability or validity is being contested in good faith by appropriate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Terms Used in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use several terms that have special meanings relevant to the promises we make in the notes for the benefit of the holders of the notes. We define these terms as follows: </w:t>
      </w:r>
    </w:p>
    <w:p>
      <w:pPr>
        <w:pStyle w:val="TextBody"/>
        <w:bidi w:val="0"/>
        <w:spacing w:before="240" w:after="0"/>
        <w:jc w:val="left"/>
        <w:rPr/>
      </w:pPr>
      <w:r>
        <w:rPr/>
        <w:t>“</w:t>
      </w:r>
      <w:r>
        <w:rPr>
          <w:rFonts w:ascii="Times New Roman" w:hAnsi="Times New Roman"/>
          <w:sz w:val="20"/>
          <w:u w:val="single"/>
        </w:rPr>
        <w:t>Annualized Consolidated EBITDA</w:t>
      </w:r>
      <w:r>
        <w:rPr>
          <w:rFonts w:ascii="Times New Roman" w:hAnsi="Times New Roman"/>
          <w:sz w:val="20"/>
        </w:rPr>
        <w:t xml:space="preserve">” means, for any quarter, the product of Consolidated EBITDA for such period of time multiplied by four (4). </w:t>
      </w:r>
    </w:p>
    <w:p>
      <w:pPr>
        <w:pStyle w:val="TextBody"/>
        <w:bidi w:val="0"/>
        <w:spacing w:before="240" w:after="0"/>
        <w:jc w:val="left"/>
        <w:rPr/>
      </w:pPr>
      <w:r>
        <w:rPr/>
        <w:t>“</w:t>
      </w:r>
      <w:r>
        <w:rPr>
          <w:rFonts w:ascii="Times New Roman" w:hAnsi="Times New Roman"/>
          <w:sz w:val="20"/>
          <w:u w:val="single"/>
        </w:rPr>
        <w:t>Annualized Interest Expense</w:t>
      </w:r>
      <w:r>
        <w:rPr>
          <w:rFonts w:ascii="Times New Roman" w:hAnsi="Times New Roman"/>
          <w:sz w:val="20"/>
        </w:rPr>
        <w:t xml:space="preserve">” means, for any quarter, the Interest Expense for that quarter multiplied by four (4). </w:t>
      </w:r>
    </w:p>
    <w:p>
      <w:pPr>
        <w:pStyle w:val="TextBody"/>
        <w:bidi w:val="0"/>
        <w:spacing w:before="240" w:after="0"/>
        <w:jc w:val="left"/>
        <w:rPr/>
      </w:pPr>
      <w:r>
        <w:rPr/>
        <w:t>“</w:t>
      </w:r>
      <w:r>
        <w:rPr>
          <w:rFonts w:ascii="Times New Roman" w:hAnsi="Times New Roman"/>
          <w:sz w:val="20"/>
          <w:u w:val="single"/>
        </w:rPr>
        <w:t>Another Person’s Share</w:t>
      </w:r>
      <w:r>
        <w:rPr>
          <w:rFonts w:ascii="Times New Roman" w:hAnsi="Times New Roman"/>
          <w:sz w:val="20"/>
        </w:rPr>
        <w:t xml:space="preserve">” means, in connection with the defined term “Contingent Liabilities of Boston Properties Limited Partnership and Subsidiaries,” (1) the aggregate direct and indirect interests of each Person other than BPLP in the equity capital of the applicable Partially-Owned Entity, calculated by subtracting from 100% the Percentage Interest with respect to such Partially-Owned Entity, or (2) in the case of reimbursement owed to BPLP or any of its Subsidiaries by a third party in respect of payment made under a guaranty, the amount to be reimbursed to BPLP or any of its Subsidiaries by such third party. </w:t>
      </w:r>
    </w:p>
    <w:p>
      <w:pPr>
        <w:pStyle w:val="TextBody"/>
        <w:bidi w:val="0"/>
        <w:spacing w:before="240" w:after="0"/>
        <w:jc w:val="left"/>
        <w:rPr/>
      </w:pPr>
      <w:r>
        <w:rPr/>
        <w:t>“</w:t>
      </w:r>
      <w:r>
        <w:rPr>
          <w:rFonts w:ascii="Times New Roman" w:hAnsi="Times New Roman"/>
          <w:sz w:val="20"/>
          <w:u w:val="single"/>
        </w:rPr>
        <w:t>Capitalization Rate</w:t>
      </w:r>
      <w:r>
        <w:rPr>
          <w:rFonts w:ascii="Times New Roman" w:hAnsi="Times New Roman"/>
          <w:sz w:val="20"/>
        </w:rPr>
        <w:t xml:space="preserve">” means 7.0%. </w:t>
      </w:r>
    </w:p>
    <w:p>
      <w:pPr>
        <w:pStyle w:val="TextBody"/>
        <w:bidi w:val="0"/>
        <w:spacing w:before="240" w:after="0"/>
        <w:jc w:val="left"/>
        <w:rPr/>
      </w:pPr>
      <w:r>
        <w:rPr/>
        <w:t>“</w:t>
      </w:r>
      <w:r>
        <w:rPr>
          <w:rFonts w:ascii="Times New Roman" w:hAnsi="Times New Roman"/>
          <w:sz w:val="20"/>
          <w:u w:val="single"/>
        </w:rPr>
        <w:t>Capitalized Property Value</w:t>
      </w:r>
      <w:r>
        <w:rPr>
          <w:rFonts w:ascii="Times New Roman" w:hAnsi="Times New Roman"/>
          <w:sz w:val="20"/>
        </w:rPr>
        <w:t xml:space="preserve">” means, as of any date, the sum of (1) with respect to non-hotel properties, the aggregate sum of all Property EBITDA for each such property for the Latest Completed Quarter prior to such date, annualized (i.e., multiplied by four (4)), and capitalized at the Capitalization Rate plus (2) with respect to hotel properties, the aggregate sum of all Property EBITDA for each such property for the most recent four (4) consecutive completed fiscal quarters, capitalized at the Capitalization Rate; provided, however, that if the value of a particular property calculated pursuant to clause (1) or (2) above, as applicable, is less than the undepreciated book value of such property as determined in accordance with GAAP, such undepreciated book value shall be used in lieu thereof with respect to such property. </w:t>
      </w:r>
    </w:p>
    <w:p>
      <w:pPr>
        <w:pStyle w:val="TextBody"/>
        <w:bidi w:val="0"/>
        <w:spacing w:before="240" w:after="0"/>
        <w:jc w:val="left"/>
        <w:rPr/>
      </w:pPr>
      <w:r>
        <w:rPr/>
        <w:t>“</w:t>
      </w:r>
      <w:r>
        <w:rPr>
          <w:rFonts w:ascii="Times New Roman" w:hAnsi="Times New Roman"/>
          <w:sz w:val="20"/>
          <w:u w:val="single"/>
        </w:rPr>
        <w:t>Consolidated EBITDA</w:t>
      </w:r>
      <w:r>
        <w:rPr>
          <w:rFonts w:ascii="Times New Roman" w:hAnsi="Times New Roman"/>
          <w:sz w:val="20"/>
        </w:rPr>
        <w:t xml:space="preserve">” means, for any period of time, without duplication: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(loss),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and (vi) noncontrolling interest, of BPLP and its Subsidiaries; plus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net income (loss),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and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of Partially-Owned Entities, multiplied by (B) BPLP’s and its Subsidiaries’ aggregate percentage share of such Partially-Owned Entities; minus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BPLP’s income (loss) from Partially-Owned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of cases (1), (2) and (3) for such period, amounts will be as reasonably determined by us in accordance with GAAP, except to the extent GAAP is not applicable with respect to the determination of all non-cash and non-recurring items. Consolidated EBITDA will be adjusted, without duplication, to give pro forma effect: (x) in the case of any assets having been placed-in-service or removed from service since the beginning of the period and on or prior to the date of determination, to include or exclude, as the case may be, any Consolidated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w:t>
      </w:r>
    </w:p>
    <w:p>
      <w:pPr>
        <w:pStyle w:val="TextBody"/>
        <w:bidi w:val="0"/>
        <w:spacing w:before="240" w:after="0"/>
        <w:jc w:val="left"/>
        <w:rPr/>
      </w:pPr>
      <w:r>
        <w:rPr/>
        <w:t>“</w:t>
      </w:r>
      <w:r>
        <w:rPr>
          <w:rFonts w:ascii="Times New Roman" w:hAnsi="Times New Roman"/>
          <w:sz w:val="20"/>
          <w:u w:val="single"/>
        </w:rPr>
        <w:t>Consolidated Financial Statements</w:t>
      </w:r>
      <w:r>
        <w:rPr>
          <w:rFonts w:ascii="Times New Roman" w:hAnsi="Times New Roman"/>
          <w:sz w:val="20"/>
        </w:rPr>
        <w:t xml:space="preserve">” means, with respect to any Person, collectively, the consolidated financial statements and notes to those financial statements, of that Person and its subsidiaries prepared in accordance with GAAP. For purposes of this definition, if as of any date or for any period actual consolidated financial statements of any Person have not been prepared, then this term shall include the books and records of that Person ordinarily used in the preparation of such financial statements. </w:t>
      </w:r>
    </w:p>
    <w:p>
      <w:pPr>
        <w:pStyle w:val="TextBody"/>
        <w:bidi w:val="0"/>
        <w:spacing w:before="240" w:after="0"/>
        <w:jc w:val="left"/>
        <w:rPr/>
      </w:pPr>
      <w:r>
        <w:rPr/>
        <w:t>“</w:t>
      </w:r>
      <w:r>
        <w:rPr>
          <w:rFonts w:ascii="Times New Roman" w:hAnsi="Times New Roman"/>
          <w:sz w:val="20"/>
          <w:u w:val="single"/>
        </w:rPr>
        <w:t>Contingent Liabilities of Boston Properties Limited Partnership and Subsidiaries</w:t>
      </w:r>
      <w:r>
        <w:rPr>
          <w:rFonts w:ascii="Times New Roman" w:hAnsi="Times New Roman"/>
          <w:sz w:val="20"/>
        </w:rPr>
        <w:t xml:space="preserve">” means, as of any date, without duplication, those liabilities of BPLP or any of its Subsidiaries consisting of indebtedness for borrowed money, as determined in accordance with GAAP, that are or would be stated and quantified as contingent liabilities in the notes to the Consolidated Financial Statements of BPLP as of that date; provided, however, that Contingent Liabilities of Boston Properties Limited Partnership and Subsidiaries shall exclude Intercompany Debt and Another Person’s Share of Duplicated Obligations.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means, as of any date, without duplication, (1) in the case of BPLP, all indebtedness and liabilities for borrowed money, secured or unsecured, of BPLP, including the notes to the extent outstanding from time to time; (2) in the case of BPLP’s Subsidiaries, all indebtedness and liabilities for borrowed money, secured or unsecured, of the Subsidiaries, including in each of cases (1) and (2) mortgage and other notes payable, but excluding in each of cases (1) and (2) any indebtedness, including mortgages and other notes payable, which is secured by cash, cash equivalents or marketable securities or defeased (it being understood that cash collateral shall be deemed to include cash deposited with a trustee with respect to third party indebtedness; provided that such trustee holds such cash for not more than 60 days from the date of deposit); and (3) all Contingent Liabilities of Boston Properties Limited Partnership and Subsidiaries, but excluding in each of cases (1), (2) and (3) Intercompany Debt. It is understood that Debt shall not include any redeemable equity interest in BPLP. </w:t>
      </w:r>
    </w:p>
    <w:p>
      <w:pPr>
        <w:pStyle w:val="TextBody"/>
        <w:bidi w:val="0"/>
        <w:spacing w:before="240" w:after="0"/>
        <w:jc w:val="left"/>
        <w:rPr/>
      </w:pPr>
      <w:r>
        <w:rPr/>
        <w:t>“</w:t>
      </w:r>
      <w:r>
        <w:rPr>
          <w:rFonts w:ascii="Times New Roman" w:hAnsi="Times New Roman"/>
          <w:sz w:val="20"/>
          <w:u w:val="single"/>
        </w:rPr>
        <w:t>Duplicated Obligations</w:t>
      </w:r>
      <w:r>
        <w:rPr>
          <w:rFonts w:ascii="Times New Roman" w:hAnsi="Times New Roman"/>
          <w:sz w:val="20"/>
        </w:rPr>
        <w:t xml:space="preserve">” means, as of any date, collectively, all those payment guaranties in respect of indebtedness and other liabilities, secured or unsecured, of Partially-Owned Entities, including mortgage and other notes payable, for which (1) BPLP or any of its Subsidiaries, on one hand, and another Person or Persons, on the other hand, are jointly and severally liable or (2) BPLP or any of its Subsidiaries are entitled to reimbursement in respect of payment under such guaranties from another Person or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GAAP</w:t>
      </w:r>
      <w:r>
        <w:rPr>
          <w:rFonts w:ascii="Times New Roman" w:hAnsi="Times New Roman"/>
          <w:sz w:val="20"/>
        </w:rPr>
        <w:t xml:space="preserve">” means accounting principles generally accepted in the United States of America, consistently applied, as in effect from time to time; provided that if, as of a particular date as of which compliance with the covenants contained in the Indenture is being determined, there have been changes in accounting principles generally accepted in the United States of America from those that applied to the consolidated financial statements of BPLP included in the Quarterly Report on Form 10-Q for the quarter ended June 30, 2026, BPLP may, in its sole discretion, determine compliance with the covenants contained in the Indenture using accounting principles generally accepted in the United States of America, consistently applied, as in effect as of the end of any calendar quarter selected by BPLP, in its sole discretion, that is on or after June 30, 2026 and prior to the date as of which compliance with the covenants in the Indenture is being determined (“Fixed GAAP”), and, solely for purposes of calculating the covenants as of such date, “GAAP” shall mean Fixed GAAP. </w:t>
      </w:r>
    </w:p>
    <w:p>
      <w:pPr>
        <w:pStyle w:val="TextBody"/>
        <w:bidi w:val="0"/>
        <w:spacing w:before="240" w:after="0"/>
        <w:jc w:val="left"/>
        <w:rPr/>
      </w:pPr>
      <w:r>
        <w:rPr/>
        <w:t>“</w:t>
      </w:r>
      <w:r>
        <w:rPr>
          <w:rFonts w:ascii="Times New Roman" w:hAnsi="Times New Roman"/>
          <w:sz w:val="20"/>
          <w:u w:val="single"/>
        </w:rPr>
        <w:t>Incur</w:t>
      </w:r>
      <w:r>
        <w:rPr>
          <w:rFonts w:ascii="Times New Roman" w:hAnsi="Times New Roman"/>
          <w:sz w:val="20"/>
        </w:rPr>
        <w:t xml:space="preserve">” means, with respect to any Debt or other obligation of any Person, to create, assume, guarantee or otherwise become liable in respect of the Debt or other obligation, and “Incurrence” and “Incurred” have the meanings correlative to the foregoing. </w:t>
      </w:r>
    </w:p>
    <w:p>
      <w:pPr>
        <w:pStyle w:val="TextBody"/>
        <w:bidi w:val="0"/>
        <w:spacing w:before="240" w:after="0"/>
        <w:jc w:val="left"/>
        <w:rPr/>
      </w:pPr>
      <w:r>
        <w:rPr/>
        <w:t>“</w:t>
      </w:r>
      <w:r>
        <w:rPr>
          <w:rFonts w:ascii="Times New Roman" w:hAnsi="Times New Roman"/>
          <w:sz w:val="20"/>
          <w:u w:val="single"/>
        </w:rPr>
        <w:t>Intercompany Debt</w:t>
      </w:r>
      <w:r>
        <w:rPr>
          <w:rFonts w:ascii="Times New Roman" w:hAnsi="Times New Roman"/>
          <w:sz w:val="20"/>
        </w:rPr>
        <w:t xml:space="preserve">” means, as of any date, indebtedness and liabilities for borrowed money, secured or unsecured, to which the only parties are BXP, BPLP, any Subsidiary of either of them as of that date or any Partially-Owned Entity.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means, for any period of time, the aggregate amount of interest recorded in accordance with GAAP for such period of time by BPLP and its Subsidiaries, but excluding: (i) interest reserves funded from the proceeds of any loan, (ii) amortization of deferred financing costs, (iii) prepayment penalties and (iv) non-cash swap ineffectiveness charges; and including, without duplication: (A) effective interest in respect of original issue discount as determined in accordance with GAAP; and (B) without limitation or duplication, the interest expense (determined as provided above) of Partially-Owned Entities, multiplied by BPLP’s Percentage Interest of the Partially-Owned Entity Outstanding Debt in such Partially-Owned Entities, in all cases as reflected in the applicable Consolidated Financial Statements. </w:t>
      </w:r>
    </w:p>
    <w:p>
      <w:pPr>
        <w:pStyle w:val="TextBody"/>
        <w:bidi w:val="0"/>
        <w:spacing w:before="240" w:after="0"/>
        <w:jc w:val="left"/>
        <w:rPr/>
      </w:pPr>
      <w:r>
        <w:rPr/>
        <w:t>“</w:t>
      </w:r>
      <w:r>
        <w:rPr>
          <w:rFonts w:ascii="Times New Roman" w:hAnsi="Times New Roman"/>
          <w:sz w:val="20"/>
          <w:u w:val="single"/>
        </w:rPr>
        <w:t>Latest Completed Quarter</w:t>
      </w:r>
      <w:r>
        <w:rPr>
          <w:rFonts w:ascii="Times New Roman" w:hAnsi="Times New Roman"/>
          <w:sz w:val="20"/>
        </w:rPr>
        <w:t xml:space="preserve">” means the most recently ended fiscal quarter of BPLP for which Consolidated Financial Statements of BPLP have been completed, it being understood that at any time when BPLP is subject to the informational requirements of the Exchange Act and in accordance therewith files annual and quarterly reports with the Securities and Exchange Commission, the term “Latest Completed Quarter” shall be deemed to refer to the fiscal quarter covered by BPLP’s most recently filed Quarterly Report on Form 10-Q, or, in the case of the last fiscal quarter of the year, BPLP’s Annual Report on Form 10-K.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without duplication, any lien, mortgage, trust deed, deed of trust, deed to secure debt, pledge, security interest, assignment for collateral purposes, deposit arrangement, or other security agreement, excluding any right of setoff but including, without limitation, any conditional sale or other title retention agreement, any financing lease having substantially the same economic effect as any of the foregoing, and any other like agreement granting or conveying a security interest; provided, that for purposes hereof, “Lien” shall not include any mortgage that has been defeased by us in accordance with the provisions thereof through the deposit of cash, cash equivalents or marketable securities (it being understood that cash collateral shall be deemed to include cash deposited with a trustee with respect to third party indebtedness). </w:t>
      </w:r>
    </w:p>
    <w:p>
      <w:pPr>
        <w:pStyle w:val="TextBody"/>
        <w:bidi w:val="0"/>
        <w:spacing w:before="240" w:after="0"/>
        <w:jc w:val="left"/>
        <w:rPr/>
      </w:pPr>
      <w:r>
        <w:rPr/>
        <w:t>“</w:t>
      </w:r>
      <w:r>
        <w:rPr>
          <w:rFonts w:ascii="Times New Roman" w:hAnsi="Times New Roman"/>
          <w:sz w:val="20"/>
          <w:u w:val="single"/>
        </w:rPr>
        <w:t>Partially-Owned Entity</w:t>
      </w:r>
      <w:r>
        <w:rPr>
          <w:rFonts w:ascii="Times New Roman" w:hAnsi="Times New Roman"/>
          <w:sz w:val="20"/>
        </w:rPr>
        <w:t xml:space="preserve">” means, at any time, any of the partnerships, associations, corporations, limited liability companies, trusts, joint ventures or other business entities in which BPLP, directly, or indirectly through full or partial ownership of another entity, owns an equity interest, but which is not required in accordance with GAAP to be consolidated with BPLP for financial reporting purposes. </w:t>
      </w:r>
    </w:p>
    <w:p>
      <w:pPr>
        <w:pStyle w:val="TextBody"/>
        <w:bidi w:val="0"/>
        <w:spacing w:before="240" w:after="0"/>
        <w:jc w:val="left"/>
        <w:rPr/>
      </w:pPr>
      <w:r>
        <w:rPr/>
        <w:t>“</w:t>
      </w:r>
      <w:r>
        <w:rPr>
          <w:rFonts w:ascii="Times New Roman" w:hAnsi="Times New Roman"/>
          <w:sz w:val="20"/>
          <w:u w:val="single"/>
        </w:rPr>
        <w:t>Partially-Owned Entity Outstanding Debt</w:t>
      </w:r>
      <w:r>
        <w:rPr>
          <w:rFonts w:ascii="Times New Roman" w:hAnsi="Times New Roman"/>
          <w:sz w:val="20"/>
        </w:rPr>
        <w:t xml:space="preserve">” means, as of any date, the aggregate principal amount of all outstanding indebtedness and liabilities for borrowed money, secured or unsecured, of the applicable Partially-Owned Entity, including mortgage and other notes payable but excluding Intercompany Debt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indebtedness which is secured by cash, cash equivalents or marketable securities or defeased (it being understood that cash collateral shall be deemed to include cash deposited with a trustee with respect to third party indebtedness), all as reflected in the Consolidated Financial Statements of such Partially-Owned Entity as of such date. </w:t>
      </w:r>
    </w:p>
    <w:p>
      <w:pPr>
        <w:pStyle w:val="TextBody"/>
        <w:bidi w:val="0"/>
        <w:spacing w:before="240" w:after="0"/>
        <w:jc w:val="left"/>
        <w:rPr/>
      </w:pPr>
      <w:r>
        <w:rPr/>
        <w:t>“</w:t>
      </w:r>
      <w:r>
        <w:rPr>
          <w:rFonts w:ascii="Times New Roman" w:hAnsi="Times New Roman"/>
          <w:sz w:val="20"/>
          <w:u w:val="single"/>
        </w:rPr>
        <w:t>Percentage Interest</w:t>
      </w:r>
      <w:r>
        <w:rPr>
          <w:rFonts w:ascii="Times New Roman" w:hAnsi="Times New Roman"/>
          <w:sz w:val="20"/>
        </w:rPr>
        <w:t xml:space="preserve">” means, with respect to a Partially-Owned Entity, BPLP’s direct or indirect interest in the equity capital of such entity without giving effect to any incentive or performance-based sharing in the entity’s cash flow from operations or proceeds from capital transactions in excess of such equity interest.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limited liability company, partnership, joint venture, association, joint-stock company, trust, unincorporated organization or government or any agency or political subdivision thereof, or any other entity or organization. </w:t>
      </w:r>
    </w:p>
    <w:p>
      <w:pPr>
        <w:pStyle w:val="TextBody"/>
        <w:bidi w:val="0"/>
        <w:spacing w:before="240" w:after="0"/>
        <w:jc w:val="left"/>
        <w:rPr/>
      </w:pPr>
      <w:r>
        <w:rPr/>
        <w:t>“</w:t>
      </w:r>
      <w:r>
        <w:rPr>
          <w:rFonts w:ascii="Times New Roman" w:hAnsi="Times New Roman"/>
          <w:sz w:val="20"/>
          <w:u w:val="single"/>
        </w:rPr>
        <w:t>Property EBITDA</w:t>
      </w:r>
      <w:r>
        <w:rPr>
          <w:rFonts w:ascii="Times New Roman" w:hAnsi="Times New Roman"/>
          <w:sz w:val="20"/>
        </w:rPr>
        <w:t xml:space="preserve">” means for any property, for any period of time, without duplication, (1) if the property is owned or leased by BPLP or any of its Subsidiaries, the net income (loss) derived from such property,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and (vi) noncontrolling interest, and (2) if the property is owned or leased by a Partially-Owned Entity, the product of (A) net income (loss) derived from such property, excluding net derivative gains and gains (losses) on dispositions of real estate, before deductions for (i) interest expense, (ii) taxes, (iii) depreciation, amortization, net derivative losses and all other non-cash items, as determined in good faith by us, deducted in arriving at net income (loss), (iv) extraordinary items, and (v) non-recurring items, as determined in good faith by us (including all prepayment penalties and all costs or fees incurred in connection with any debt financing or amendment thereto, acquisition, disposition, recapitalization or similar transaction (regardless of whether such transaction is completed)), multiplied by (B) BPLP’s and its Subsidiaries’ aggregate percentage share of such Partially-Owned Entity. In each case (1) and (2) for such period, amounts shall be as reasonably determined by us in accordance with GAAP, except to the extent GAAP is not applicable with respect to the determination of all non-cash and non-recurring items. Property EBITDA shall be adjusted, without duplication, to give pro forma effect: (x) in the case of any assets having been placed-in-service or removed from service since the beginning of the period and on or prior to the date of determination, to include or exclude, as the case may be, any Property EBITDA earned or eliminated as a result of the placement of such assets in service or removal of such assets from service as if the placement of such assets in service or removal of such assets from service occurred at the beginning of the period; and (y) in the case of any acquisition or disposition of any asset or group of assets since the beginning of the period and on or prior to the date of determination, including, without limitation, by merger, or stock or asset purchase or sale, to include or exclude, as the case may be, any Property EBITDA earned or eliminated as a result of the acquisition or disposition of those assets as if the acquisition or disposition occurred at the beginning of the period. For purposes of this definition, in the case of (1) and (2) above, Property EBITDA shall exclude general and administrative expenses as reflected in BPLP’s audited year-end Consolidated Financial Statements or reviewed interim Consolidated Financial Statements available for the Latest Completed Quarter or the most recent four (4) consecutive completed fiscal quarters, as applicable. </w:t>
      </w:r>
    </w:p>
    <w:p>
      <w:pPr>
        <w:pStyle w:val="TextBody"/>
        <w:bidi w:val="0"/>
        <w:spacing w:before="240" w:after="0"/>
        <w:jc w:val="left"/>
        <w:rPr/>
      </w:pPr>
      <w:r>
        <w:rPr/>
        <w:t>“</w:t>
      </w:r>
      <w:r>
        <w:rPr>
          <w:rFonts w:ascii="Times New Roman" w:hAnsi="Times New Roman"/>
          <w:sz w:val="20"/>
          <w:u w:val="single"/>
        </w:rPr>
        <w:t>Secured Debt</w:t>
      </w:r>
      <w:r>
        <w:rPr>
          <w:rFonts w:ascii="Times New Roman" w:hAnsi="Times New Roman"/>
          <w:sz w:val="20"/>
        </w:rPr>
        <w:t xml:space="preserve">” means, as of any date, that portion of Total Outstanding Debt as of that date that is secured by a Lien on properties or other assets of BPLP, any of its Subsidiaries or any of the Partially-Owned Entities.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corporation, partnership, association, joint venture, trust, limited liability company or other business entity, which is required to be consolidated with BPLP or BXP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Total Assets</w:t>
      </w:r>
      <w:r>
        <w:rPr>
          <w:rFonts w:ascii="Times New Roman" w:hAnsi="Times New Roman"/>
          <w:sz w:val="20"/>
        </w:rPr>
        <w:t xml:space="preserve">” means, with respect to any Incurrence of Debt or Secured Debt, as of any date, in each case as determined by us, without duplication, the sum of: (1) Capitalized Property Value; (2) cash, cash equivalents and marketable securities of BPLP and its Subsidiaries, determined in accordance with GAAP; (3) with respect to notes receivable and mortgages, the lesser of (i) the aggregate amount of principal under such note or mortgage that will be due and payable to BPLP or its Subsidiaries and (ii) the purchase price paid by BPLP or its Subsidiaries to acquire such note or mortgage; (4) with respect to real estate assets which are undeveloped land, the book value thereof in accordance with GAAP; (5) without duplication, the cost basis of properties of BPLP and its Subsidiaries that are under development, determined in accordance with GAAP, as of the end of the quarterly period used for purposes of clause (1) above; (6) without duplication, the proceeds of the Debt or Secured Debt or the assets to be acquired in exchange for such proceeds, as the case may be, Incurred from the end of the Latest Completed Quarter prior to the Incurrence of the Debt or Secured Debt, as the case may be, to the date of determination; (7) for all other assets of BPLP and its Subsidiaries other than assets referred to in (1) through (6) above, the undepreciated book value of such assets as determined in accordance with GAAP, but excluding accounts receivable, intangible assets and, to avoid duplication, BPLP’s and its Subsidiaries’ aggregate percentage share of Partially-Owned Entities’ assets (except with respect to clause (8) below); and (8) BPLP’s and its Subsidiaries’ aggregate percentage share of Partially-Owned Entities’ assets described in clauses (1) through (7) above. </w:t>
      </w:r>
    </w:p>
    <w:p>
      <w:pPr>
        <w:pStyle w:val="TextBody"/>
        <w:bidi w:val="0"/>
        <w:spacing w:before="240" w:after="0"/>
        <w:jc w:val="left"/>
        <w:rPr/>
      </w:pPr>
      <w:r>
        <w:rPr/>
        <w:t>“</w:t>
      </w:r>
      <w:r>
        <w:rPr>
          <w:rFonts w:ascii="Times New Roman" w:hAnsi="Times New Roman"/>
          <w:sz w:val="20"/>
          <w:u w:val="single"/>
        </w:rPr>
        <w:t>Total Outstanding Debt</w:t>
      </w:r>
      <w:r>
        <w:rPr>
          <w:rFonts w:ascii="Times New Roman" w:hAnsi="Times New Roman"/>
          <w:sz w:val="20"/>
        </w:rPr>
        <w:t xml:space="preserve">” means, as of any date, the sum, without duplication, of (1) the aggregate principal amount of all outstanding Debt of BPLP as of that date; (2) the aggregate principal amount of all outstanding Debt of BPLP’s Subsidiaries, all as of that date; and (3) the sum of the aggregate principal amount of all Partially-Owned Entity Outstanding Debt of each of the Partially-Owned Entities multiplied by BPLP’s respective Percentage Interest in such Partially-Owned Entity as of that date. </w:t>
      </w:r>
    </w:p>
    <w:p>
      <w:pPr>
        <w:pStyle w:val="TextBody"/>
        <w:bidi w:val="0"/>
        <w:spacing w:before="240" w:after="0"/>
        <w:jc w:val="left"/>
        <w:rPr/>
      </w:pPr>
      <w:r>
        <w:rPr/>
        <w:t>“</w:t>
      </w:r>
      <w:r>
        <w:rPr>
          <w:rFonts w:ascii="Times New Roman" w:hAnsi="Times New Roman"/>
          <w:sz w:val="20"/>
          <w:u w:val="single"/>
        </w:rPr>
        <w:t>Unencumbered Assets</w:t>
      </w:r>
      <w:r>
        <w:rPr>
          <w:rFonts w:ascii="Times New Roman" w:hAnsi="Times New Roman"/>
          <w:sz w:val="20"/>
        </w:rPr>
        <w:t xml:space="preserve">” means, as of any date, in each case as determined by us without duplication, the sum of: (1) Unencumbered Capitalized Property Value; (2) cash, cash equivalents and marketable securities of BPLP and its Subsidiaries, other than restricted cash, cash equivalents and marketable securities pledged to secure Debt, determined in accordance with GAAP; (3) with respect to notes receivable and mortgages, the lesser of (i) the aggregate amount of principal under such note or mortgage that will be due and payable to BPLP or its Subsidiaries and (ii) the purchase price paid by BPLP or its Subsidiaries to acquire such note or mortgage, except any notes receivable or mortgages that are serving as collateral for Secured Debt; (4) with respect to real estate assets which are undeveloped land, the book value thereof in accordance with GAAP, except any land that is serving as collateral for Secured Debt; (5) without duplication, the cost basis of properties of BPLP and its Subsidiaries that are under development, determined in accordance with GAAP, as of the end of the quarterly period used for purposes of clause (1) above, except any properties that are serving as collateral for Secured Debt; (6) without duplication, the proceeds of the Debt or Secured Debt or the assets to be acquired in exchange for such proceeds, as the case may be, Incurred from the end of the Latest Completed Quarter prior to such date to the date of determination, except in each case any proceeds or assets that are serving as collateral for Secured Debt; and (7) BPLP’s and its Subsidiaries’ aggregate percentage share, of Partially-Owned Entities’ assets described in clauses (1), (2), (3), (4), (5), and (6) above. For the avoidance of doubt, cash held by a “qualified intermediary” in connection with proposed like-kind exchanges pursuant to Section 1031 of the Internal Revenue Code of 1986, as amended, which may be classified as “restricted” for GAAP purposes will nonetheless be included in clause (2) above, so long as we have the right to (i) direct the qualified intermediary to return such cash to us if and when we fail to identify or acquire the proposed like-kind property or at the end of the 180-day replacement period or (ii) direct the qualified intermediary to use such cash to acquire like-kind property. </w:t>
      </w:r>
    </w:p>
    <w:p>
      <w:pPr>
        <w:pStyle w:val="TextBody"/>
        <w:bidi w:val="0"/>
        <w:spacing w:before="240" w:after="0"/>
        <w:jc w:val="left"/>
        <w:rPr/>
      </w:pPr>
      <w:r>
        <w:rPr/>
        <w:t>“</w:t>
      </w:r>
      <w:r>
        <w:rPr>
          <w:rFonts w:ascii="Times New Roman" w:hAnsi="Times New Roman"/>
          <w:sz w:val="20"/>
          <w:u w:val="single"/>
        </w:rPr>
        <w:t>Unencumbered Capitalized Property Value</w:t>
      </w:r>
      <w:r>
        <w:rPr>
          <w:rFonts w:ascii="Times New Roman" w:hAnsi="Times New Roman"/>
          <w:sz w:val="20"/>
        </w:rPr>
        <w:t xml:space="preserve">” means, as of any date, (1) with respect to non-hotel properties, the aggregate of all Unencumbered Property EBITDA for each such property for the Latest Completed Quarter prior to such date, annualized (i.e., multiplied by four (4)), and capitalized at the Capitalization Rate plus, (2) with respect to hotel properties, the aggregate of all Unencumbered Property EBITDA for each such property for the most recent four (4) consecutive completed fiscal quarters, capitalized at the Capitalization Rate; provided, however, that if the value of a particular property calculated pursuant to clause (1) or (2) above,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is less than the undepreciated book value of such property determined in accordance with GAAP, such undepreciated book value shall be used in lieu thereof with respect to such property. </w:t>
      </w:r>
    </w:p>
    <w:p>
      <w:pPr>
        <w:pStyle w:val="TextBody"/>
        <w:bidi w:val="0"/>
        <w:spacing w:before="240" w:after="0"/>
        <w:jc w:val="left"/>
        <w:rPr/>
      </w:pPr>
      <w:r>
        <w:rPr/>
        <w:t>“</w:t>
      </w:r>
      <w:r>
        <w:rPr>
          <w:rFonts w:ascii="Times New Roman" w:hAnsi="Times New Roman"/>
          <w:sz w:val="20"/>
          <w:u w:val="single"/>
        </w:rPr>
        <w:t>Unencumbered Consolidated EBITDA</w:t>
      </w:r>
      <w:r>
        <w:rPr>
          <w:rFonts w:ascii="Times New Roman" w:hAnsi="Times New Roman"/>
          <w:sz w:val="20"/>
        </w:rPr>
        <w:t xml:space="preserve">” means, for any period of time, Consolidated EBITDA for such period of time less any portion thereof attributable to assets serving as collateral for Secured Debt. </w:t>
      </w:r>
    </w:p>
    <w:p>
      <w:pPr>
        <w:pStyle w:val="TextBody"/>
        <w:bidi w:val="0"/>
        <w:spacing w:before="240" w:after="0"/>
        <w:jc w:val="left"/>
        <w:rPr/>
      </w:pPr>
      <w:r>
        <w:rPr/>
        <w:t>“</w:t>
      </w:r>
      <w:r>
        <w:rPr>
          <w:rFonts w:ascii="Times New Roman" w:hAnsi="Times New Roman"/>
          <w:sz w:val="20"/>
          <w:u w:val="single"/>
        </w:rPr>
        <w:t>Unencumbered Property EBITDA</w:t>
      </w:r>
      <w:r>
        <w:rPr>
          <w:rFonts w:ascii="Times New Roman" w:hAnsi="Times New Roman"/>
          <w:sz w:val="20"/>
        </w:rPr>
        <w:t xml:space="preserve">” means, for any period of time, Property EBITDA for such period of time less any portion thereof attributable to assets serving as collateral for Secured Debt. </w:t>
      </w:r>
    </w:p>
    <w:p>
      <w:pPr>
        <w:pStyle w:val="TextBody"/>
        <w:bidi w:val="0"/>
        <w:spacing w:before="240" w:after="0"/>
        <w:jc w:val="left"/>
        <w:rPr/>
      </w:pPr>
      <w:r>
        <w:rPr/>
        <w:t>“</w:t>
      </w:r>
      <w:r>
        <w:rPr>
          <w:rFonts w:ascii="Times New Roman" w:hAnsi="Times New Roman"/>
          <w:sz w:val="20"/>
          <w:u w:val="single"/>
        </w:rPr>
        <w:t>Unsecured Debt</w:t>
      </w:r>
      <w:r>
        <w:rPr>
          <w:rFonts w:ascii="Times New Roman" w:hAnsi="Times New Roman"/>
          <w:sz w:val="20"/>
        </w:rPr>
        <w:t xml:space="preserve">” means, as of any date, that portion of Total Outstanding Debt as of that date that is neither Secured Debt nor Contingent Liabilities of Boston Properties Limited Partnership and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See “Description of Debt Securities—Covenants” in the accompanying prospectus for a description of additional covenants applicable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is governed by and shall be construed in accordance with the laws of the State of New York applicable to agreements made and to be performed entirely in such state.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The Depository Trust Company (“DTC”), Clearstream Banking, </w:t>
      </w:r>
      <w:r>
        <w:rPr>
          <w:rFonts w:ascii="Times New Roman" w:hAnsi="Times New Roman"/>
          <w:i/>
          <w:sz w:val="20"/>
        </w:rPr>
        <w:t>société anonyme</w:t>
      </w:r>
      <w:r>
        <w:rPr>
          <w:rFonts w:ascii="Times New Roman" w:hAnsi="Times New Roman"/>
          <w:sz w:val="20"/>
        </w:rPr>
        <w:t xml:space="preserve"> (“Clearstream”) and Euroclear Bank SA/NV (“Euroclear”) is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its participants directly to discuss these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issued in the form of one or more fully registered global notes, which will be deposited with, or on behalf of, DTC, and registered in the name of DTC’s nominee, Cede &amp; Co. Except under the circumstances described below, the notes will not be issuable in definitive form. Unless and until it is exchanged in whole or in part for the individual notes represented thereby, a global note may not be transferred, except as a whole by DTC to a nominee of DTC or by a nominee of DTC to DTC or another nominee of DTC or by DTC or any nominee of DTC to a successor depository or any nominee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of the following information regarding DTC: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(“Participants”) deposit with DTC. DTC also facilitates the settlement among its Participants of securities transactions, such as transfers and pledges, in deposited securities through electronic computerized book-entry changes in its Participants’ accounts, thereby eliminating the need for physical movement of securities certificates. Direct Participants of DTC (“Direct Participants”) include securities brokers and dealers (including the underwriters), banks, trust companies, clearing corporations and certain other organizations. DTC is a wholly-owned subsidiary of The Depository Trust &amp; Clearing Corporation (“DTCC”). DTCC is owned by the users of its regulated subsidiaries. Access to the DTC System is also available to others such as securities brokers and dealers, banks and trust companies that clear through or maintain a custodial relationship with a Direct Participant of DTC, either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 Participants”). The rules applicable to DTC and its Participants are on file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Purchases of global notes under the DTC system must be made by or through Direct Participants, which will receive a credit for the notes on DTC’s records. The ownership interest of each actual purchaser of each global note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notes are to be accomplished by entries made on the books of Participants acting on behalf of Beneficial Owners. Beneficial Owners will not receive certificates representing their ownership interests in global notes, except in the event that use of the book-entry system for the global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notes deposited by Participants with DTC are registered in the name of DTC’s partnership nominee, Cede &amp; Co. The deposit of global notes with DTC and their registration in the name of Cede &amp; Co. effect no change in beneficial ownership. DTC has no knowledge of the actual Beneficial Owners of the global notes; DTC’s records reflect only the identity of the Direct Participants to whose accounts such global notes are credited, which may or may not be the Beneficial Owners. The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Redemption notices shall be sent to DTC. If less than all of the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will consent or vote with respect to the global notes. Under its usual procedures, DTC mails an Omnibus Proxy to us as soon as possible after the record date. The Omnibus Proxy assigns Cede &amp; Co.’s consenting or voting rights to those Direct Participants to whose accounts the global notes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Principal and interest payments on the global notes will be made to Cede &amp; Co., as nominee of DTC. We believe that DTC’s current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is our responsibility or the responsibility of the trustee, disbursement of such payments to Direct Participants shall be the responsibility of DTC, and disbursement of such payments to the Beneficial Owners shall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depository with respect to the global notes at any time by giving reasonable notice to us or the trustee. Under such circumstances, in the event that a successor securities depository is not obtained, definitive certificates are required to be printed and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decide to discontinue use of the system of book-entry-only transfers through DTC (or a successor securities depository). In that event, certificates will be printed and delivered to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Clearstream </w:t>
      </w:r>
    </w:p>
    <w:p>
      <w:pPr>
        <w:pStyle w:val="TextBody"/>
        <w:bidi w:val="0"/>
        <w:spacing w:before="120" w:after="0"/>
        <w:jc w:val="left"/>
        <w:rPr>
          <w:rFonts w:ascii="Times New Roman" w:hAnsi="Times New Roman"/>
          <w:sz w:val="20"/>
        </w:rPr>
      </w:pPr>
      <w:r>
        <w:rPr>
          <w:rFonts w:ascii="Times New Roman" w:hAnsi="Times New Roman"/>
          <w:sz w:val="20"/>
        </w:rPr>
        <w:t xml:space="preserve">Clearstream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notes held beneficially through Clearstream will be credited to cash accounts of Clearstream Participants in accordance with its rules and procedures to the extent received by DTC for Clearstream.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w:t>
      </w:r>
    </w:p>
    <w:p>
      <w:pPr>
        <w:pStyle w:val="TextBody"/>
        <w:bidi w:val="0"/>
        <w:spacing w:before="120" w:after="0"/>
        <w:jc w:val="left"/>
        <w:rPr>
          <w:rFonts w:ascii="Times New Roman" w:hAnsi="Times New Roman"/>
          <w:sz w:val="20"/>
        </w:rPr>
      </w:pPr>
      <w:r>
        <w:rPr>
          <w:rFonts w:ascii="Times New Roman" w:hAnsi="Times New Roman"/>
          <w:sz w:val="20"/>
        </w:rPr>
        <w:t xml:space="preserve">Euroclear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The Euroclear Operator is regulated and examined by the Belgian Banking Commission. </w:t>
      </w:r>
    </w:p>
    <w:p>
      <w:pPr>
        <w:pStyle w:val="TextBody"/>
        <w:bidi w:val="0"/>
        <w:spacing w:before="240" w:after="0"/>
        <w:jc w:val="left"/>
        <w:rPr>
          <w:rFonts w:ascii="Times New Roman" w:hAnsi="Times New Roman"/>
          <w:sz w:val="20"/>
        </w:rPr>
      </w:pPr>
      <w:r>
        <w:rPr>
          <w:rFonts w:ascii="Times New Roman" w:hAnsi="Times New Roman"/>
          <w:sz w:val="20"/>
        </w:rPr>
        <w:t xml:space="preserve">Links have been established among DTC, Clearstream and Euroclear to facilitate the initial issuance of the notes sold outside of the United States and cross-market transfers of the notes associated with secondary market trading.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procedures provided below in order to facilitate transfers, they are under no obligation to perform these procedures, and these procedures may be modified or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Clearstream and Euroclear and DTC’s book-entry system has been obtained from sources that we believe to be reliable, but we take no responsibility for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will pay for the notes in immediately available funds. We will make all payments due on the notes in immediately available funds so long as such notes are in book-entry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Secondary trading in long-term notes and debentures of corporate issuers is generally settled in clearing house or next-day funds. In contrast, the notes will trade in DTC’s Same-Day Funds Settlement System until maturity or until the notes are issued in certificated form, and secondary market trading activity in the notes will therefore be required by DTC to settle in immediately available funds. We can give no assurance as to the effect, if any, of settlement in immediately available funds on trading activity in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 zone differences, the securities account of a Clearstream Participant or Euroclear Participant purchasing an interest in a global note from a Participant will be credited, and any such crediting will be reported to the relevant Clearstream Participant or Euroclear Participant, during the securities settlement processing day (which must be a business day for Clearstream and Euroclear) immediately following the settlement date of DTC. DTC has advised us that cash received in Clearstream or Euroclear as a result of sales of interests in a global note by or through a Clearstream Participant or Euroclear Participant to a Participant will be received with value on the settlement date of DTC but will be available in the relevant Clearstream or Euroclear cash account only as of the business day for Clearstream or Euroclear following DTC’s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50422_6"/>
      <w:bookmarkEnd w:id="8"/>
      <w:r>
        <w:rPr>
          <w:rFonts w:ascii="Times New Roman" w:hAnsi="Times New Roman"/>
          <w:b/>
          <w:sz w:val="20"/>
        </w:rPr>
        <w:t xml:space="preserve">SUPPLEMENTAL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supplements and should be read together with the general discussion of the tax considerations relating to the ownership and disposition of the notes described in the accompanying prospectus under the title “United States Federal Income Tax Considerations.” To the extent any information set forth under the title “United States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are set forth in the first four paragraphs under the title “United States Federal Income Tax Considerations” in the accompanying prospectus as if those paragraphs were set forth in this prospectus supplement. </w:t>
      </w:r>
    </w:p>
    <w:p>
      <w:pPr>
        <w:pStyle w:val="TextBody"/>
        <w:bidi w:val="0"/>
        <w:spacing w:before="240" w:after="0"/>
        <w:jc w:val="left"/>
        <w:rPr>
          <w:rFonts w:ascii="Times New Roman" w:hAnsi="Times New Roman"/>
          <w:sz w:val="20"/>
        </w:rPr>
      </w:pPr>
      <w:r>
        <w:rPr>
          <w:rFonts w:ascii="Times New Roman" w:hAnsi="Times New Roman"/>
          <w:b/>
          <w:sz w:val="20"/>
        </w:rPr>
        <w:t xml:space="preserve">The notes are not expected to be issued with original issue discount in excess of the statutory </w:t>
      </w:r>
      <w:r>
        <w:rPr>
          <w:rFonts w:ascii="Times New Roman" w:hAnsi="Times New Roman"/>
          <w:b/>
          <w:i/>
          <w:sz w:val="20"/>
        </w:rPr>
        <w:t xml:space="preserve">de minimis </w:t>
      </w:r>
      <w:r>
        <w:rPr>
          <w:rFonts w:ascii="Times New Roman" w:hAnsi="Times New Roman"/>
          <w:b/>
          <w:sz w:val="20"/>
        </w:rPr>
        <w:t xml:space="preserve">amount.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not expected to be issued with original issue discount in excess of the statutory </w:t>
      </w:r>
      <w:r>
        <w:rPr>
          <w:rFonts w:ascii="Times New Roman" w:hAnsi="Times New Roman"/>
          <w:i/>
          <w:sz w:val="20"/>
        </w:rPr>
        <w:t>de minimis</w:t>
      </w:r>
      <w:r>
        <w:rPr>
          <w:rFonts w:ascii="Times New Roman" w:hAnsi="Times New Roman"/>
          <w:sz w:val="20"/>
        </w:rPr>
        <w:t xml:space="preserve"> amount. Holders should refer to the discussion in “United States Federal Income Tax Considerations—Taxation of Holders of Certain Fixed Rate Debt Securities” regarding the tax consequences of holding a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50422_7"/>
      <w:bookmarkEnd w:id="9"/>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BBVA Securities Inc., BNY Mellon Capital Markets, LLC, PNC Capital Markets LLC, TD Securities (USA) LLC, U.S. Bancorp Investments, Inc. and Wells Fargo Securities, LLC are acting as joint book-running managers of the offering and as representatives of the underwriters named below.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stated in the underwriting agreement dated the date of this prospectus supplement, each underwriter named below has agreed, severally and not jointly, to purchase, and we have agreed to sell to that underwriter, the principal amount of notes set forth opposite the underwriter’s name.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09"/>
        <w:gridCol w:w="513"/>
        <w:gridCol w:w="190"/>
        <w:gridCol w:w="1864"/>
        <w:gridCol w:w="63"/>
      </w:tblGrid>
      <w:tr>
        <w:trPr/>
        <w:tc>
          <w:tcPr>
            <w:tcW w:w="4309"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13"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br/>
              <w:t>of Notes</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85,000,000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85,000,000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85,000,000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85,000,000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85,000,000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85,000,000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85,000,000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13,900,000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M&amp;T Securities, Inc.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13,900,000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13,900,000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13,900,000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13,900,000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13,900,000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13,900,000</w:t>
            </w:r>
          </w:p>
        </w:tc>
        <w:tc>
          <w:tcPr>
            <w:tcW w:w="63" w:type="dxa"/>
            <w:tcBorders/>
            <w:vAlign w:val="bottom"/>
          </w:tcPr>
          <w:p>
            <w:pPr>
              <w:pStyle w:val="TableContents"/>
              <w:bidi w:val="0"/>
              <w:spacing w:before="0" w:after="283"/>
              <w:jc w:val="left"/>
              <w:rPr/>
            </w:pPr>
            <w:r>
              <w:rPr/>
              <w:t> </w:t>
            </w:r>
          </w:p>
        </w:tc>
      </w:tr>
      <w:tr>
        <w:trPr/>
        <w:tc>
          <w:tcPr>
            <w:tcW w:w="4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51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64" w:type="dxa"/>
            <w:tcBorders/>
            <w:shd w:fill="CCEEFF" w:val="clear"/>
            <w:vAlign w:val="bottom"/>
          </w:tcPr>
          <w:p>
            <w:pPr>
              <w:pStyle w:val="TableContents"/>
              <w:bidi w:val="0"/>
              <w:spacing w:before="0" w:after="283"/>
              <w:jc w:val="right"/>
              <w:rPr/>
            </w:pPr>
            <w:r>
              <w:rPr/>
              <w:t>7,700,000</w:t>
            </w:r>
          </w:p>
        </w:tc>
        <w:tc>
          <w:tcPr>
            <w:tcW w:w="63" w:type="dxa"/>
            <w:tcBorders/>
            <w:shd w:fill="CCEEFF" w:val="clear"/>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0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864" w:type="dxa"/>
            <w:tcBorders/>
            <w:vAlign w:val="bottom"/>
          </w:tcPr>
          <w:p>
            <w:pPr>
              <w:pStyle w:val="TableContents"/>
              <w:bidi w:val="0"/>
              <w:spacing w:before="0" w:after="283"/>
              <w:jc w:val="right"/>
              <w:rPr/>
            </w:pPr>
            <w:r>
              <w:rPr/>
              <w:t>700,000,000</w:t>
            </w:r>
          </w:p>
        </w:tc>
        <w:tc>
          <w:tcPr>
            <w:tcW w:w="63" w:type="dxa"/>
            <w:tcBorders/>
            <w:vAlign w:val="bottom"/>
          </w:tcPr>
          <w:p>
            <w:pPr>
              <w:pStyle w:val="TableContents"/>
              <w:bidi w:val="0"/>
              <w:spacing w:before="0" w:after="283"/>
              <w:jc w:val="left"/>
              <w:rPr/>
            </w:pPr>
            <w:r>
              <w:rPr/>
              <w:t> </w:t>
            </w:r>
          </w:p>
        </w:tc>
      </w:tr>
      <w:tr>
        <w:trPr/>
        <w:tc>
          <w:tcPr>
            <w:tcW w:w="4309"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8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obligations of the several underwriters to purchase the notes included in this offering are subject to approval of legal matters by counsel and to other conditions. The underwriters are obligated to purchase all the notes if they purchase any of the notes. The obligations of the underwriters under the underwriting agreement may also be terminated upon the occurrence of certain stated events.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some of the notes directly to the public at the public offering price set forth on the cover page of this prospectus supplement and some of the notes to dealers at the public offering price less a concession not to exceed 0.400% of the principal amount of the notes. The underwriters may allow, and dealers may reallow, a concession not to exceed 0.250% of the principal amount of the notes on sales to other dealers. After the initial offering of the notes to the public, the representatives may change the public offering price and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that we are to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78"/>
        <w:gridCol w:w="939"/>
        <w:gridCol w:w="177"/>
        <w:gridCol w:w="1668"/>
        <w:gridCol w:w="277"/>
      </w:tblGrid>
      <w:tr>
        <w:trPr/>
        <w:tc>
          <w:tcPr>
            <w:tcW w:w="3878" w:type="dxa"/>
            <w:tcBorders/>
            <w:vAlign w:val="center"/>
          </w:tcPr>
          <w:p>
            <w:pPr>
              <w:pStyle w:val="TableContents"/>
              <w:bidi w:val="0"/>
              <w:spacing w:before="0" w:after="283"/>
              <w:jc w:val="left"/>
              <w:rPr>
                <w:sz w:val="4"/>
                <w:szCs w:val="4"/>
              </w:rPr>
            </w:pPr>
            <w:r>
              <w:rPr>
                <w:sz w:val="4"/>
                <w:szCs w:val="4"/>
              </w:rPr>
            </w:r>
          </w:p>
        </w:tc>
        <w:tc>
          <w:tcPr>
            <w:tcW w:w="939"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bottom"/>
          </w:tcPr>
          <w:p>
            <w:pPr>
              <w:pStyle w:val="TableContents"/>
              <w:bidi w:val="0"/>
              <w:spacing w:before="0" w:after="283"/>
              <w:jc w:val="left"/>
              <w:rPr/>
            </w:pPr>
            <w:r>
              <w:rPr/>
              <w:t> </w:t>
            </w:r>
          </w:p>
        </w:tc>
        <w:tc>
          <w:tcPr>
            <w:tcW w:w="939" w:type="dxa"/>
            <w:tcBorders/>
            <w:vAlign w:val="bottom"/>
          </w:tcPr>
          <w:p>
            <w:pPr>
              <w:pStyle w:val="TableContents"/>
              <w:bidi w:val="0"/>
              <w:spacing w:before="0" w:after="283"/>
              <w:jc w:val="left"/>
              <w:rPr/>
            </w:pPr>
            <w:r>
              <w:rPr/>
              <w:t>  </w:t>
            </w:r>
          </w:p>
        </w:tc>
        <w:tc>
          <w:tcPr>
            <w:tcW w:w="1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Payable by BPLP</w:t>
            </w:r>
          </w:p>
        </w:tc>
        <w:tc>
          <w:tcPr>
            <w:tcW w:w="277" w:type="dxa"/>
            <w:tcBorders/>
            <w:vAlign w:val="bottom"/>
          </w:tcPr>
          <w:p>
            <w:pPr>
              <w:pStyle w:val="TableContents"/>
              <w:bidi w:val="0"/>
              <w:spacing w:before="0" w:after="283"/>
              <w:jc w:val="left"/>
              <w:rPr/>
            </w:pPr>
            <w:r>
              <w:rPr/>
              <w:t> </w:t>
            </w:r>
          </w:p>
        </w:tc>
      </w:tr>
      <w:tr>
        <w:trPr/>
        <w:tc>
          <w:tcPr>
            <w:tcW w:w="38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939"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0.650</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joint book-running managers may purchase and sell the notes in the open market. These transactions may include over-allotment, syndicate covering transactions and stabilizing transactions. Over-allotment involves syndicate sales of notes in excess of the principal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Penalty bids permit the underwriters to reclaim a selling concession from a syndicate member when the joint book-running managers in covering syndicate short positions or making stabilizing purchases, repurchase notes originally sold by that syndicate member. </w:t>
      </w:r>
    </w:p>
    <w:p>
      <w:pPr>
        <w:pStyle w:val="TextBody"/>
        <w:bidi w:val="0"/>
        <w:spacing w:before="240" w:after="0"/>
        <w:jc w:val="left"/>
        <w:rPr>
          <w:rFonts w:ascii="Times New Roman" w:hAnsi="Times New Roman"/>
          <w:sz w:val="20"/>
        </w:rPr>
      </w:pPr>
      <w:r>
        <w:rPr>
          <w:rFonts w:ascii="Times New Roman" w:hAnsi="Times New Roman"/>
          <w:sz w:val="20"/>
        </w:rPr>
        <w:t xml:space="preserve">Any of these activities may have the effect of preventing or slowing a decline in the market price of the notes. They may also cause the price of the notes to be greater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for this offering, not including the underwriting discount will be approximately $1.9 million.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engaged in, and may in the future engage in, commercial banking, derivatives, financial advisory and investment banking transactions and services and other commercial transactions and services in the ordinary course of business with us or our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Affiliates of certain of the underwriters are lenders and/or agents under the 2025 Credit Facility, the 2024 Unsecured Term Loan, the Commercial Paper Program and our mortgage indebtedness and construction loan facilities and those of our unconsolidated joint ventures and other affiliates. Additionally, affiliates of certain of the underwriters may hold 2026 Notes, and, therefore, may receive their pro rata share of the net proceeds from this offering, if any, that are used to redeem the 2026 Notes. See “Use of Proceeds” in this prospectus supplement. Certain of the underwriters and their affiliates have acted, and may in the future act, as counterparties to rate lock agreements, interest rate swaps or other hedging transactions entered into by us or our unconsolidated joint ventures and other affiliates. We also lease space in our properties to certain of the underwriters and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and certain other of those underwriters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An affiliate of BNY Mellon Capital Markets, LLC is acting as trustee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Secondary Trading Prior to Settlement </w:t>
      </w:r>
    </w:p>
    <w:p>
      <w:pPr>
        <w:pStyle w:val="TextBody"/>
        <w:bidi w:val="0"/>
        <w:spacing w:before="12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the date specified in the last paragraph of the cover page of this prospectus supplement, which will be the tenth business day following the date of pricing of the notes (such settlement cycle being referred to herein as “T+10”). Under Rule 15c6-1 under the Exchange Act, trades in the secondary market generally are required to settle in one business day, unless the parties to any such trade expressly agree otherwise. Accordingly, purchasers who wish to trade the notes prior to August 28, 2026 (the first business day preceding the closing date) will be required, by virtue of the fact that the notes initially will settle in T+10, to specify an alternate settlement cycle at the time of any such trade to prevent a failed settlement. Purchasers of notes who wish to trade the notes prior to August 28, 2026 (the first business day preceding the closing date) should consult their own advisor.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any offer of the notes in any Member State of the EEA (each, a “Relevant State”) will be made pursuant to an exemption under the Prospectus Regulation from the requirement to produce or publish a prospectus for offers of notes. Accordingly, any person making or intending to make any offer in that Relevant State of the notes which are the subject of the offering contemplated by this prospectus supplement and the accompanying prospectus may only do so in circumstances in which no obligation arises for us or any of the underwriters to produce a prospectus pursuant to the Prospectus Regulation in relation to such offer. This prospectus supplement and the accompanying prospectus are not a prospectus for purposes of the Prospectus Regulation. Neither we nor the underwriters have authorized, nor do we or they authorize, the making of any offer of notes in circumstances in which an obligation arises for us or the underwriters to publish a prospectus for such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Prohibition of Sales to United Kingdom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UK Retail Investor in the United Kingdom (the “UK”). For these purposes, a “UK Retail Investor” means a person who is one (or more) of the following: (i) a retail client, as defined in point (8) of Article 2 of Regulation (EU) 2017/565 as it forms part of UK domestic law by virtue of the European Union (Withdrawal) Act 2018 (as amended, the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UK domestic law by virtue of the EUWA; or (iii) not a qualified investor as defined in paragraph 15 of Schedule 1 to the Public Offers and Admissions to Trading Regulations 2024 (the “POATRs”) as it forms part of domestic law by virtue of the EUWA. Consequently, no disclosure document required by FCA Product Disclosure Sourcebook (“DISC”) for offering or selling the notes or otherwise making them available to retail investors in the UK has been prepared and therefore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or selling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notes in the UK will be made pursuant to an exemption under the POATRs and the FSMA from the requirement to publish a prospectus for offers of notes. This prospectus supplement and the accompanying prospectus are not a prospectus for the purposes of the POATRs or the FSMA.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addition, in the UK, this prospectus supplement, the accompanying prospectus and any other document in connection with the offering are being distributed only to, and issuance of the notes is directed only at qualified investors as defined in paragraph 15 of Schedule 1 to the POATRs who: (i) have professional experience in matters relating to investments and are persons falling within Article 19(5) of the Financial Services and Markets Act 2000 (Financial Promotion) Order 2005 (as amended, the “Order”); and/or (ii) are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notes in, from or otherwise involving the UK.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Relevant Persons should note that all, or most, of the protections offered by the UK regulatory system will not apply to an investment in the notes and that compensation will not be available under the United Kingdom Financial Services Compensation Scheme.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708 of 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notes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notes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50422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Certain legal matters related to this offering are being passed upon for the underwriters by Skadden, Arps, Slate, Meagher &amp; Flom LLP, New York, New York. </w:t>
      </w:r>
    </w:p>
    <w:p>
      <w:pPr>
        <w:pStyle w:val="TextBody"/>
        <w:bidi w:val="0"/>
        <w:spacing w:before="480" w:after="0"/>
        <w:jc w:val="center"/>
        <w:rPr>
          <w:rFonts w:ascii="Times New Roman" w:hAnsi="Times New Roman"/>
          <w:b/>
          <w:sz w:val="20"/>
        </w:rPr>
      </w:pPr>
      <w:bookmarkStart w:id="11" w:name="supptx150422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assessments of the effectiveness of internal control over financial reporting (which are included in Management’s Reports on Internal Control over Financial Reporting) incorporated in this prospectus supplement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913765" cy="6115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3765" cy="6115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22"/>
        </w:rPr>
      </w:pPr>
      <w:r>
        <w:rPr>
          <w:rFonts w:ascii="Times New Roman" w:hAnsi="Times New Roman"/>
          <w:b/>
          <w:sz w:val="22"/>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00" w:after="0"/>
        <w:jc w:val="center"/>
        <w:rPr>
          <w:rFonts w:ascii="Times New Roman" w:hAnsi="Times New Roman"/>
          <w:b/>
          <w:sz w:val="42"/>
        </w:rPr>
      </w:pPr>
      <w:r>
        <w:rPr>
          <w:rFonts w:ascii="Times New Roman" w:hAnsi="Times New Roman"/>
          <w:b/>
          <w:sz w:val="42"/>
        </w:rPr>
        <w:t xml:space="preserve">BXP, INC. </w:t>
      </w:r>
    </w:p>
    <w:p>
      <w:pPr>
        <w:pStyle w:val="TextBody"/>
        <w:bidi w:val="0"/>
        <w:spacing w:before="100" w:after="0"/>
        <w:jc w:val="center"/>
        <w:rPr>
          <w:rFonts w:ascii="Times New Roman" w:hAnsi="Times New Roman"/>
          <w:b/>
          <w:sz w:val="22"/>
        </w:rPr>
      </w:pPr>
      <w:r>
        <w:rPr>
          <w:rFonts w:ascii="Times New Roman" w:hAnsi="Times New Roman"/>
          <w:b/>
          <w:sz w:val="22"/>
        </w:rPr>
        <w:t xml:space="preserve">Debt Securities </w:t>
      </w:r>
    </w:p>
    <w:p>
      <w:pPr>
        <w:pStyle w:val="TextBody"/>
        <w:bidi w:val="0"/>
        <w:spacing w:before="0" w:after="0"/>
        <w:jc w:val="center"/>
        <w:rPr>
          <w:rFonts w:ascii="Times New Roman" w:hAnsi="Times New Roman"/>
          <w:b/>
          <w:sz w:val="22"/>
        </w:rPr>
      </w:pPr>
      <w:r>
        <w:rPr>
          <w:rFonts w:ascii="Times New Roman" w:hAnsi="Times New Roman"/>
          <w:b/>
          <w:sz w:val="22"/>
        </w:rPr>
        <w:t xml:space="preserve">Guarantees </w:t>
      </w:r>
    </w:p>
    <w:p>
      <w:pPr>
        <w:pStyle w:val="TextBody"/>
        <w:bidi w:val="0"/>
        <w:spacing w:before="0" w:after="0"/>
        <w:jc w:val="center"/>
        <w:rPr>
          <w:rFonts w:ascii="Times New Roman" w:hAnsi="Times New Roman"/>
          <w:b/>
          <w:sz w:val="22"/>
        </w:rPr>
      </w:pPr>
      <w:r>
        <w:rPr>
          <w:rFonts w:ascii="Times New Roman" w:hAnsi="Times New Roman"/>
          <w:b/>
          <w:sz w:val="22"/>
        </w:rPr>
        <w:t xml:space="preserve">Common Stock </w:t>
      </w:r>
    </w:p>
    <w:p>
      <w:pPr>
        <w:pStyle w:val="TextBody"/>
        <w:bidi w:val="0"/>
        <w:spacing w:before="0" w:after="0"/>
        <w:jc w:val="center"/>
        <w:rPr>
          <w:rFonts w:ascii="Times New Roman" w:hAnsi="Times New Roman"/>
          <w:b/>
          <w:sz w:val="22"/>
        </w:rPr>
      </w:pPr>
      <w:r>
        <w:rPr>
          <w:rFonts w:ascii="Times New Roman" w:hAnsi="Times New Roman"/>
          <w:b/>
          <w:sz w:val="22"/>
        </w:rPr>
        <w:t xml:space="preserve">Preferred Stock </w:t>
      </w:r>
    </w:p>
    <w:p>
      <w:pPr>
        <w:pStyle w:val="TextBody"/>
        <w:bidi w:val="0"/>
        <w:spacing w:before="0" w:after="0"/>
        <w:jc w:val="center"/>
        <w:rPr>
          <w:rFonts w:ascii="Times New Roman" w:hAnsi="Times New Roman"/>
          <w:b/>
          <w:sz w:val="22"/>
        </w:rPr>
      </w:pPr>
      <w:r>
        <w:rPr>
          <w:rFonts w:ascii="Times New Roman" w:hAnsi="Times New Roman"/>
          <w:b/>
          <w:sz w:val="22"/>
        </w:rPr>
        <w:t xml:space="preserve">Stock Purchase Contracts </w:t>
      </w:r>
    </w:p>
    <w:p>
      <w:pPr>
        <w:pStyle w:val="TextBody"/>
        <w:bidi w:val="0"/>
        <w:spacing w:before="0" w:after="0"/>
        <w:jc w:val="center"/>
        <w:rPr>
          <w:rFonts w:ascii="Times New Roman" w:hAnsi="Times New Roman"/>
          <w:b/>
          <w:sz w:val="22"/>
        </w:rPr>
      </w:pPr>
      <w:r>
        <w:rPr>
          <w:rFonts w:ascii="Times New Roman" w:hAnsi="Times New Roman"/>
          <w:b/>
          <w:sz w:val="22"/>
        </w:rPr>
        <w:t xml:space="preserve">Depositary Shares </w:t>
      </w:r>
    </w:p>
    <w:p>
      <w:pPr>
        <w:pStyle w:val="TextBody"/>
        <w:bidi w:val="0"/>
        <w:spacing w:before="0" w:after="0"/>
        <w:jc w:val="center"/>
        <w:rPr>
          <w:rFonts w:ascii="Times New Roman" w:hAnsi="Times New Roman"/>
          <w:b/>
          <w:sz w:val="22"/>
        </w:rPr>
      </w:pPr>
      <w:r>
        <w:rPr>
          <w:rFonts w:ascii="Times New Roman" w:hAnsi="Times New Roman"/>
          <w:b/>
          <w:sz w:val="22"/>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2"/>
        </w:rPr>
      </w:pPr>
      <w:r>
        <w:rPr>
          <w:rFonts w:ascii="Times New Roman" w:hAnsi="Times New Roman"/>
          <w:b/>
          <w:sz w:val="42"/>
        </w:rPr>
        <w:t xml:space="preserve">BOSTON PROPERTIES LIMITED PARTNERSHIP </w:t>
      </w:r>
    </w:p>
    <w:p>
      <w:pPr>
        <w:pStyle w:val="TextBody"/>
        <w:bidi w:val="0"/>
        <w:spacing w:before="80" w:after="0"/>
        <w:jc w:val="center"/>
        <w:rPr>
          <w:rFonts w:ascii="Times New Roman" w:hAnsi="Times New Roman"/>
          <w:b/>
          <w:sz w:val="22"/>
        </w:rPr>
      </w:pPr>
      <w:r>
        <w:rPr>
          <w:rFonts w:ascii="Times New Roman" w:hAnsi="Times New Roman"/>
          <w:b/>
          <w:sz w:val="22"/>
        </w:rPr>
        <w:t xml:space="preserve">Debt Securities </w:t>
      </w:r>
    </w:p>
    <w:p>
      <w:pPr>
        <w:pStyle w:val="TextBody"/>
        <w:bidi w:val="0"/>
        <w:spacing w:before="0" w:after="0"/>
        <w:jc w:val="center"/>
        <w:rPr>
          <w:rFonts w:ascii="Times New Roman" w:hAnsi="Times New Roman"/>
          <w:b/>
          <w:sz w:val="22"/>
        </w:rPr>
      </w:pPr>
      <w:r>
        <w:rPr>
          <w:rFonts w:ascii="Times New Roman" w:hAnsi="Times New Roman"/>
          <w:b/>
          <w:sz w:val="22"/>
        </w:rPr>
        <w:t xml:space="preserve">Guarantees </w:t>
      </w:r>
    </w:p>
    <w:p>
      <w:pPr>
        <w:pStyle w:val="TextBody"/>
        <w:bidi w:val="0"/>
        <w:spacing w:before="80" w:after="0"/>
        <w:jc w:val="left"/>
        <w:rPr>
          <w:rFonts w:ascii="Times New Roman" w:hAnsi="Times New Roman"/>
          <w:sz w:val="18"/>
        </w:rPr>
      </w:pPr>
      <w:r>
        <w:rPr>
          <w:rFonts w:ascii="Times New Roman" w:hAnsi="Times New Roman"/>
          <w:sz w:val="18"/>
        </w:rPr>
        <w:t xml:space="preserve">BXP, Inc. (“BXP”) may offer to sell from time to time debt securities, common stock, preferred stock, stock purchase contracts, and warrants. The debt securities of BXP may be convertible into common stock or preferred stock of BXP and may be guaranteed by Boston Properties Limited Partnership (“BPLP”). The preferred stock of BXP may either be sold separately or represented by depositary shares and may be convertible into common stock or preferred stock of another series. BPLP may offer to sell from time to time debt securities, which may be exchangeable for common stock or for preferred stock of BXP and may be guaranteed by BXP. Selling security holders may from time to time offer to sell debt securities, guarantees, common stock, preferred stock, stock purchase contracts, and warrants of BXP under this prospectus. </w:t>
      </w:r>
    </w:p>
    <w:p>
      <w:pPr>
        <w:pStyle w:val="TextBody"/>
        <w:bidi w:val="0"/>
        <w:spacing w:before="80" w:after="0"/>
        <w:jc w:val="left"/>
        <w:rPr>
          <w:rFonts w:ascii="Times New Roman" w:hAnsi="Times New Roman"/>
          <w:sz w:val="18"/>
        </w:rPr>
      </w:pPr>
      <w:r>
        <w:rPr>
          <w:rFonts w:ascii="Times New Roman" w:hAnsi="Times New Roman"/>
          <w:sz w:val="18"/>
        </w:rPr>
        <w:t xml:space="preserve">The debt securities, common stock, preferred stock, stock purchase contracts, depositary shares and warrants of BXP and the debt securities of BPLP may be offered separately or together, in multiple series, in amounts, at prices and on terms that will be set forth in one or more prospectus supplements to this prospectus. BPLP may guarantee the payment of principal of, premium, if any, and interest on debt securities issued by BXP to the extent and on the terms described herein and in the applicable prospectus supplement to this prospectus. BXP may guarantee the payment of principal of, premium, if any, and interest on debt securities issued by BPLP to the extent and on the terms described herein and in the applicable prospectus supplement to this prospectus. </w:t>
      </w:r>
    </w:p>
    <w:p>
      <w:pPr>
        <w:pStyle w:val="TextBody"/>
        <w:bidi w:val="0"/>
        <w:spacing w:before="80" w:after="0"/>
        <w:jc w:val="left"/>
        <w:rPr>
          <w:rFonts w:ascii="Times New Roman" w:hAnsi="Times New Roman"/>
          <w:sz w:val="18"/>
        </w:rPr>
      </w:pPr>
      <w:r>
        <w:rPr>
          <w:rFonts w:ascii="Times New Roman" w:hAnsi="Times New Roman"/>
          <w:sz w:val="18"/>
        </w:rPr>
        <w:t xml:space="preserve">This prospectus describes some of the general terms that may apply to these securities and the general manner in which they may be offered. Each time any of BXP, BPLP or selling security holders sell securities, a prospectus supplement will be provided that will contain specific information about the terms of any securities offered and the specific manner in which the securities will be offered and the identity of any selling security holders. The prospectus supplement will also contain information, where appropriate, about material United States federal income tax consequences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our securities. This prospectus may not be used to sell securities unless accompanied by a prospectus supplement. </w:t>
      </w:r>
    </w:p>
    <w:p>
      <w:pPr>
        <w:pStyle w:val="TextBody"/>
        <w:bidi w:val="0"/>
        <w:spacing w:before="80" w:after="0"/>
        <w:jc w:val="left"/>
        <w:rPr>
          <w:rFonts w:ascii="Times New Roman" w:hAnsi="Times New Roman"/>
          <w:sz w:val="18"/>
        </w:rPr>
      </w:pPr>
      <w:r>
        <w:rPr>
          <w:rFonts w:ascii="Times New Roman" w:hAnsi="Times New Roman"/>
          <w:sz w:val="18"/>
        </w:rPr>
        <w:t xml:space="preserve">BXP, BPLP or selling security holders may offer the securities directly to investors, through agents designated from time to time by BXP or BPLP,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69. We will not receive any of the proceeds from the sale of securities by the selling security holders. </w:t>
      </w:r>
    </w:p>
    <w:p>
      <w:pPr>
        <w:pStyle w:val="TextBody"/>
        <w:bidi w:val="0"/>
        <w:spacing w:before="80" w:after="0"/>
        <w:jc w:val="left"/>
        <w:rPr>
          <w:rFonts w:ascii="Times New Roman" w:hAnsi="Times New Roman"/>
          <w:sz w:val="18"/>
        </w:rPr>
      </w:pPr>
      <w:r>
        <w:rPr>
          <w:rFonts w:ascii="Times New Roman" w:hAnsi="Times New Roman"/>
          <w:sz w:val="18"/>
        </w:rPr>
        <w:t xml:space="preserve">The common stock of BXP is listed on the New York Stock Exchange under the symbol “BXP.” On March 5, 2026, the last reported sale price of our common stock on the New York Stock Exchange was $55.47 per share. </w:t>
      </w:r>
    </w:p>
    <w:p>
      <w:pPr>
        <w:pStyle w:val="TextBody"/>
        <w:bidi w:val="0"/>
        <w:spacing w:before="80" w:after="0"/>
        <w:jc w:val="left"/>
        <w:rPr/>
      </w:pPr>
      <w:r>
        <w:rPr>
          <w:rFonts w:ascii="Times New Roman" w:hAnsi="Times New Roman"/>
          <w:b/>
          <w:sz w:val="18"/>
        </w:rPr>
        <w:t>Investing in our securities involves various risks. See “</w:t>
      </w:r>
      <w:hyperlink w:anchor="toc150422_2">
        <w:r>
          <w:rPr>
            <w:rStyle w:val="InternetLink"/>
            <w:rFonts w:ascii="Times New Roman" w:hAnsi="Times New Roman"/>
            <w:b/>
            <w:sz w:val="18"/>
          </w:rPr>
          <w:t>Risk Factors</w:t>
        </w:r>
      </w:hyperlink>
      <w:r>
        <w:rPr>
          <w:rFonts w:ascii="Times New Roman" w:hAnsi="Times New Roman"/>
          <w:b/>
          <w:sz w:val="18"/>
        </w:rPr>
        <w:t xml:space="preserve">” beginning on page 3 as well as the risk factors contained in documents we file with the Securities and Exchange Commission and which are incorporated by reference in this prospectus. </w:t>
      </w:r>
    </w:p>
    <w:p>
      <w:pPr>
        <w:pStyle w:val="TextBody"/>
        <w:bidi w:val="0"/>
        <w:spacing w:before="80" w:after="0"/>
        <w:jc w:val="left"/>
        <w:rPr>
          <w:rFonts w:ascii="Times New Roman" w:hAnsi="Times New Roman"/>
          <w:b/>
          <w:sz w:val="18"/>
        </w:rPr>
      </w:pPr>
      <w:r>
        <w:rPr>
          <w:rFonts w:ascii="Times New Roman" w:hAnsi="Times New Roman"/>
          <w:b/>
          <w:sz w:val="18"/>
        </w:rPr>
        <w:t xml:space="preserve">Neither the Securities and Exchange Commission nor any other regulatory body has approved or disapproved of these securities or passed upon the accuracy or adequacy of this prospectus. Any representation to the contrary is a criminal offense. </w:t>
      </w:r>
    </w:p>
    <w:p>
      <w:pPr>
        <w:pStyle w:val="TextBody"/>
        <w:bidi w:val="0"/>
        <w:spacing w:before="80" w:after="0"/>
        <w:jc w:val="center"/>
        <w:rPr>
          <w:rFonts w:ascii="Times New Roman" w:hAnsi="Times New Roman"/>
          <w:b/>
          <w:sz w:val="18"/>
        </w:rPr>
      </w:pPr>
      <w:r>
        <w:rPr>
          <w:rFonts w:ascii="Times New Roman" w:hAnsi="Times New Roman"/>
          <w:b/>
          <w:sz w:val="18"/>
        </w:rPr>
        <w:t xml:space="preserve">Prospectus dated March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
      <w:bookmarkEnd w:id="1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4">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5">
              <w:r>
                <w:rPr>
                  <w:rStyle w:val="InternetLink"/>
                  <w:rFonts w:ascii="Times New Roman" w:hAnsi="Times New Roman"/>
                  <w:sz w:val="20"/>
                </w:rPr>
                <w:t>INFORMATION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7">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8">
              <w:r>
                <w:rPr>
                  <w:rStyle w:val="InternetLink"/>
                  <w:rFonts w:ascii="Times New Roman" w:hAnsi="Times New Roman"/>
                  <w:sz w:val="20"/>
                </w:rPr>
                <w:t>DESCRIPTION OF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9">
              <w:r>
                <w:rPr>
                  <w:rStyle w:val="InternetLink"/>
                  <w:rFonts w:ascii="Times New Roman" w:hAnsi="Times New Roman"/>
                  <w:sz w:val="20"/>
                </w:rPr>
                <w:t>DESCRIPTION OF COMMON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0">
              <w:r>
                <w:rPr>
                  <w:rStyle w:val="InternetLink"/>
                  <w:rFonts w:ascii="Times New Roman" w:hAnsi="Times New Roman"/>
                  <w:sz w:val="20"/>
                </w:rPr>
                <w:t>DESCRIPTION OF PREFERRED STOCK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1">
              <w:r>
                <w:rPr>
                  <w:rStyle w:val="InternetLink"/>
                  <w:rFonts w:ascii="Times New Roman" w:hAnsi="Times New Roman"/>
                  <w:sz w:val="20"/>
                </w:rPr>
                <w:t>DESCRIPTION OF STOCK PURCHASE CONTRACTS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2">
              <w:r>
                <w:rPr>
                  <w:rStyle w:val="InternetLink"/>
                  <w:rFonts w:ascii="Times New Roman" w:hAnsi="Times New Roman"/>
                  <w:sz w:val="20"/>
                </w:rPr>
                <w:t>DESCRIPTION OF DEPOSITARY SHARES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3">
              <w:r>
                <w:rPr>
                  <w:rStyle w:val="InternetLink"/>
                  <w:rFonts w:ascii="Times New Roman" w:hAnsi="Times New Roman"/>
                  <w:sz w:val="20"/>
                </w:rPr>
                <w:t>DESCRIPTION OF WARRANTS OF BXP</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4">
              <w:r>
                <w:rPr>
                  <w:rStyle w:val="InternetLink"/>
                  <w:rFonts w:ascii="Times New Roman" w:hAnsi="Times New Roman"/>
                  <w:sz w:val="20"/>
                </w:rPr>
                <w:t>LIMITS ON OWNERSHIP OF BXP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5">
              <w:r>
                <w:rPr>
                  <w:rStyle w:val="InternetLink"/>
                  <w:rFonts w:ascii="Times New Roman" w:hAnsi="Times New Roman"/>
                  <w:sz w:val="20"/>
                </w:rPr>
                <w:t>IMPORTANT PROVISIONS OF DELAWARE LAW, BXP’S CERTIFICATE OF INCORPORATION AND BY-LAWS AND OTHER GOVERNANCE DOCUMENTS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6">
              <w:r>
                <w:rPr>
                  <w:rStyle w:val="InternetLink"/>
                  <w:rFonts w:ascii="Times New Roman" w:hAnsi="Times New Roman"/>
                  <w:sz w:val="20"/>
                </w:rPr>
                <w:t>UNITED STATES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7">
              <w:r>
                <w:rPr>
                  <w:rStyle w:val="InternetLink"/>
                  <w:rFonts w:ascii="Times New Roman" w:hAnsi="Times New Roman"/>
                  <w:sz w:val="20"/>
                </w:rPr>
                <w:t>SELLING SECURITY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1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50422_2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3" w:name="toc150422_1"/>
      <w:bookmarkEnd w:id="13"/>
      <w:r>
        <w:rPr>
          <w:rFonts w:ascii="Times New Roman" w:hAnsi="Times New Roman"/>
          <w:b/>
          <w:sz w:val="20"/>
          <w:bdr w:val="single" w:sz="8" w:space="1" w:color="000000"/>
        </w:rPr>
        <w:t xml:space="preserve">PROSPECTUS SUMMARY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this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used in this prospectus and the registration statement on Form S-3 of which this prospectus is a part, unless the context otherwise requires, the terms “we,” “us,” and “our” refer to BXP, Inc., a Delaware corporation organized in 1997, individually or together with its subsidiaries, including Boston Properties Limited Partnership, a Delaware limited partnership, and our predecessors. BPLP is the entity through which BXP conducts substantially all of its business and owns substantially all of its assets. In addition, we sometimes refer to BXP, Inc. as the “Company” or “BXP” and to Boston Properties Limited Partnership as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is part of a “shelf” registration statement that we have filed under the Securities Act of 1933, as amended (the “Securities Act”), with the Securities and Exchange Commission (the “SEC”). By using a shelf registration statement, BXP and/or selling security holders are registering an unspecified amount of debt securities, common stock, preferred stock, stock purchase contracts, depositary shares and warrants, and may sell such securities, at any time and from time to time, in one or more offerings. By using a shelf registration statement, BPLP is registering an unspecified amount of debt securities and may sell such debt securities, at any time and from time to time, in one or more offerings. The registration statement also registers the possible guarantee by BPLP of debt securities to be issued by BXP and the possible guarantee by BXP of debt securities to be issued by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rely only on the information contained in this prospectus and the accompanying prospectus supplement or incorporated by reference in these documents. No dealer, salesperson or other person is authorized to give any information or to represent anything not contained or incorporated by reference in this prospectus or the accompanying prospectus supplement. If anyone provides you with different, inconsistent or unauthorized information or representations, you must not rely on them. This prospectus and the accompanying prospectus supplement are an offer to sell only the securities offered by these documents, but only under circumstances and in jurisdictions where it is lawful to do so. The information contained in this prospectus or any prospectus supplement is current only as of the date on the front of those documents.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BXP and BPLP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BXP, a Delaware corporation, is a fully integrated, self-administered and self-managed real estate investment trust (“REIT”) that develops, owns and manages primarily premier workplaces. BXP was formed in 1997 to succeed the real estate development, redevelopment, acquisition, management, operating and leasing businesses associated with the predecessor company founded by Mortimer B. Zuckerman and Edward H. Linde in 1970.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properties are concentrated in six dynamic gateway markets in the United States – Boston, Los Angeles, New York, San Francisco, Seattle and Washington, DC. BXP conducts substantially all of its business through BPLP. BXP is the sole general partner of BPLP, its operating partnership, and at December 31, 2025 owned an approximate 89.7% general and limited partnership ownership interest in BPLP.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December 31, 2025, we owned or had joint venture interests in a portfolio of 179 commercial real estate properties (the “Properties”) aggregating approximately 52.6 million net rentable square feet of primarily premier workplaces, including eight properties under construction/redevelopment totaling approximately 3.5 million net rentable square feet. As of December 31, 2025, the Properties consisted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157 office properties (including four properties under construction/redevelopment);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 retail properties (including one property under construction);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 residential properties (including three properties under construction);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hotel.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Prudential Center, 800 Boylston Street, Suite 1900, Boston, Massachusetts 02199 and our telephone number is (617) 236-3300.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information regarding BXP and BPLP, including audited financial statements and descriptions of BXP and BPLP, is contained in the documents incorporated by reference in this prospectus. See “Where You Can Find More Information” on page 5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50422_2"/>
      <w:bookmarkEnd w:id="14"/>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in the documents incorporated by reference in this prospectus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Reports on Form 10-K, (ii) our Quarterly Reports on Form 10-Q and (iii) documents we file with the SEC after the date of this prospectus and which are deemed incorporated by reference in this prospectus. </w:t>
      </w:r>
    </w:p>
    <w:p>
      <w:pPr>
        <w:pStyle w:val="TextBody"/>
        <w:bidi w:val="0"/>
        <w:spacing w:before="480" w:after="0"/>
        <w:jc w:val="center"/>
        <w:rPr>
          <w:rFonts w:ascii="Times New Roman" w:hAnsi="Times New Roman"/>
          <w:b/>
          <w:sz w:val="20"/>
        </w:rPr>
      </w:pPr>
      <w:bookmarkStart w:id="15" w:name="toc150422_3"/>
      <w:bookmarkEnd w:id="1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information incorporated by reference into this prospectus, and any accompanying prospectus supplement, contain forward-looking statements within the meaning of the federal securities laws, including Section 27A of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We caution investors that any such forward-looking statements presented in this prospectus or any of the documents incorporated by reference, or which management may make orally or in writing from time to time,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The most significant factors that may cause actual results to differ materially from those expressed or implied by the forward-looking statements include the following risks and uncertainties,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availability and terms of financing, the use of debt to fund acquisitions and developments or refinance existing indebtedness, including the impact of higher interest rates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 and/or availability of financing and the use of forward interest rate contracts and derivatives and the effectiveness of such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integrate acquisitions and developments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uncertainties affecting property development and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joint venture partners to satisfy their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actual or threatened terrorist attacks;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compliance with the Americans with Disabilities Act and other similar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uninsured losses and environmental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climate change and severe weather events, as well as the regulatory efforts intended to reduce the effects of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use of artificial intelligence (AI) and cyber security breaches, incidents and compromises, as well as other significant disruptions of our information technology (IT) networks and related systems, which support our operations and our buildings;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legal proceedings and other claims that could result in substantial monetary damages and other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BXP’s potential failure to qualify as a REIT under the Internal Revenue Code of 1986, as amended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adverse changes in tax and environmental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newly adopted accounting principles on our accounting policies and on period-to-period comparisons of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possible state and local tax audits;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dependence on key personnel whose continued service is not guaranteed.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are also urged to carefully review the disclosures we make concerning these risks and other factors that may affect our business and operating results, including the risks and uncertainties identified in our most recently filed Annual Report on Form 10-K and Quarterly Report on Form 10-Q, including those described under the caption “Risk Factors,” and our other reports filed from time to time with the SEC and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risks included herein are not exhaustive, and you should be aware that there may be other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Quarterly Reports on Form 10-Q and Current Reports on Form 8-K that are incorporated herein by reference, including those filed in the future,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50422_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BXP and BPLP are subject to the information requirements of the Exchange Act, and in accordance with the Exchange Act, we file annual, quarterly and current reports, proxy statements and other information with the SEC. Our SEC filings are available to the public from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BXP has a website located at http://www.bxp.com. The information on this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50422_5"/>
      <w:bookmarkEnd w:id="17"/>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 SEC,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The SEC file number of BXP is 1-13087 and the SEC file number of BPLP is 0-50209. We are incorporating by reference the documents listed below, which we have already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BXP’s and BPLP’s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on February 27,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BXP common stock contained in BXP’s Registration Statement on </w:t>
            </w:r>
            <w:hyperlink r:id="rId5">
              <w:r>
                <w:rPr>
                  <w:rStyle w:val="InternetLink"/>
                  <w:rFonts w:ascii="Times New Roman" w:hAnsi="Times New Roman"/>
                  <w:sz w:val="20"/>
                </w:rPr>
                <w:t>Form 8-A</w:t>
              </w:r>
            </w:hyperlink>
            <w:r>
              <w:rPr>
                <w:rFonts w:ascii="Times New Roman" w:hAnsi="Times New Roman"/>
                <w:sz w:val="20"/>
              </w:rPr>
              <w:t xml:space="preserve">, filed on June 12, 1997, as updated by </w:t>
            </w:r>
            <w:hyperlink r:id="rId6">
              <w:r>
                <w:rPr>
                  <w:rStyle w:val="InternetLink"/>
                  <w:rFonts w:ascii="Times New Roman" w:hAnsi="Times New Roman"/>
                  <w:sz w:val="20"/>
                </w:rPr>
                <w:t>Exhibit 4.2</w:t>
              </w:r>
            </w:hyperlink>
            <w:r>
              <w:rPr>
                <w:rFonts w:ascii="Times New Roman" w:hAnsi="Times New Roman"/>
                <w:sz w:val="20"/>
              </w:rPr>
              <w:t xml:space="preserve"> to BXP’s and BPLP’s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2024, filed on February 27, 2025, including amendments or reports filed for the purpose of updating such descriptions.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BXP and BPLP with the SEC pursuant to Sections 13(a), 13(c), 14 or 15(d) of the Exchange Act on or after the date of this prospectus until the earlier of the date on which all of the securities registered hereunder have been sold or this registration statement has been withdrawn shall be deemed incorporated by reference in this prospectus and to be a part of this prospectus from the date of filing of those documents. Upon request, we will provide, without charge, to each person, including any beneficial owner, to whom a copy of this prospectus is delivered a copy of the documents incorporated by reference in this prospectus. You may request a copy of these filings, and any exhibits we have specifically incorporated by reference as an exhibit in this prospectus, by writing or telephoning us at the following: </w:t>
      </w:r>
    </w:p>
    <w:p>
      <w:pPr>
        <w:pStyle w:val="TextBody"/>
        <w:bidi w:val="0"/>
        <w:spacing w:before="240" w:after="0"/>
        <w:jc w:val="center"/>
        <w:rPr>
          <w:rFonts w:ascii="Times New Roman" w:hAnsi="Times New Roman"/>
          <w:sz w:val="20"/>
        </w:rPr>
      </w:pPr>
      <w:r>
        <w:rPr>
          <w:rFonts w:ascii="Times New Roman" w:hAnsi="Times New Roman"/>
          <w:sz w:val="20"/>
        </w:rPr>
        <w:t xml:space="preserve">BXP, Inc. </w:t>
      </w:r>
    </w:p>
    <w:p>
      <w:pPr>
        <w:pStyle w:val="TextBody"/>
        <w:bidi w:val="0"/>
        <w:spacing w:before="0" w:after="0"/>
        <w:jc w:val="center"/>
        <w:rPr>
          <w:rFonts w:ascii="Times New Roman" w:hAnsi="Times New Roman"/>
          <w:sz w:val="20"/>
        </w:rPr>
      </w:pPr>
      <w:r>
        <w:rPr>
          <w:rFonts w:ascii="Times New Roman" w:hAnsi="Times New Roman"/>
          <w:sz w:val="20"/>
        </w:rPr>
        <w:t xml:space="preserve">Prudential Center </w:t>
      </w:r>
    </w:p>
    <w:p>
      <w:pPr>
        <w:pStyle w:val="TextBody"/>
        <w:bidi w:val="0"/>
        <w:spacing w:before="0" w:after="0"/>
        <w:jc w:val="center"/>
        <w:rPr>
          <w:rFonts w:ascii="Times New Roman" w:hAnsi="Times New Roman"/>
          <w:sz w:val="20"/>
        </w:rPr>
      </w:pPr>
      <w:r>
        <w:rPr>
          <w:rFonts w:ascii="Times New Roman" w:hAnsi="Times New Roman"/>
          <w:sz w:val="20"/>
        </w:rPr>
        <w:t xml:space="preserve">800 Boylston Street, Suite 1900 </w:t>
      </w:r>
    </w:p>
    <w:p>
      <w:pPr>
        <w:pStyle w:val="TextBody"/>
        <w:bidi w:val="0"/>
        <w:spacing w:before="0" w:after="0"/>
        <w:jc w:val="center"/>
        <w:rPr>
          <w:rFonts w:ascii="Times New Roman" w:hAnsi="Times New Roman"/>
          <w:sz w:val="20"/>
        </w:rPr>
      </w:pPr>
      <w:r>
        <w:rPr>
          <w:rFonts w:ascii="Times New Roman" w:hAnsi="Times New Roman"/>
          <w:sz w:val="20"/>
        </w:rPr>
        <w:t xml:space="preserve">Boston, Massachusetts 02199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(617) 236-3300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the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the date of the applicable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50422_6"/>
      <w:bookmarkEnd w:id="1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BXP is required by the terms of the limited partnership agreement of BPLP to contribute the net proceeds of any sale of common stock, preferred stock, stock purchase contracts, depositary shares or warrants to BPLP in exchange for securities of BPLP with economic interests that are substantially similar to the securities issued by BXP. If BXP issues any debt securities, it may lend those proceeds to BPLP.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a supplement to this prospectus, following BXP’s contribution of any net proceeds to BPLP, or any proceeds received directly by BPLP, we intend to use the net proceeds from our sales of the securities covered by this prospectus for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development, and improvement of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of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general business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of the sale by selling security holders of the securities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50422_7"/>
      <w:bookmarkEnd w:id="1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Debt Securities May Be Senior or Subordinated </w:t>
      </w:r>
    </w:p>
    <w:p>
      <w:pPr>
        <w:pStyle w:val="TextBody"/>
        <w:bidi w:val="0"/>
        <w:spacing w:before="120" w:after="0"/>
        <w:jc w:val="left"/>
        <w:rPr>
          <w:rFonts w:ascii="Times New Roman" w:hAnsi="Times New Roman"/>
          <w:sz w:val="20"/>
        </w:rPr>
      </w:pPr>
      <w:r>
        <w:rPr>
          <w:rFonts w:ascii="Times New Roman" w:hAnsi="Times New Roman"/>
          <w:sz w:val="20"/>
        </w:rPr>
        <w:t xml:space="preserve">BXP and BPLP may issue senior or subordinated debt securities at one or more times in one or more series. Each series of debt securities may have different terms. Neither the senior debt securities nor the subordinated debt securities will be secured by any property or assets of BXP, BPLP or any of their respective subsidiaries. Thus, by owning a debt security, you are an unsecured creditor of BXP or BPLP,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Neither any limited or general partner of BPLP, including BXP, nor any principal, shareholder, member, officer, director, trustee or employee of any limited or general partner of BXP or BPLP or of any successor of any limited or general partner of BPLP has any obligation for payment of debt securities or for any of BXP’s or BPLP’s obligations, covenants or agreements contained in the debt securities or the applicable indenture. By accepting the debt securities, you waive and release all liability of this kind. The waiver and release are part of the consideration for the issuance of debt securities. This waiver and release will not apply to the liability of BPLP solely in its capacity of guarantor of any series of debt securities of BXP and solely to the extent of any such guarantee.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of BXP and the senior debt securities of BPLP will be issued under the applicable senior debt indenture, as described below, and will rank equally with all of BXP’s or BPLP’s, as the case may be, other senior unsecured and unsubordinated debt. </w:t>
      </w:r>
    </w:p>
    <w:p>
      <w:pPr>
        <w:pStyle w:val="TextBody"/>
        <w:bidi w:val="0"/>
        <w:spacing w:before="240" w:after="0"/>
        <w:jc w:val="left"/>
        <w:rPr>
          <w:rFonts w:ascii="Times New Roman" w:hAnsi="Times New Roman"/>
          <w:sz w:val="20"/>
        </w:rPr>
      </w:pPr>
      <w:r>
        <w:rPr>
          <w:rFonts w:ascii="Times New Roman" w:hAnsi="Times New Roman"/>
          <w:sz w:val="20"/>
        </w:rPr>
        <w:t xml:space="preserve">The subordinated debt securities of BXP and the subordinated debt securities of BPLP will be issued under the applicable subordinated debt indenture, as described below, and will be subordinate in right of payment to all of BXP’s or BPLP’s, as the case may be, “senior debt,” as defined in the applicable subordinated debt indenture, as described under “Description of Debt Securities—Subordination Provisions” beginning on page 21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None of the indentures limit BXP’s or BPLP’s ability to incur additional senior debt, unless otherwise described in the prospectus supplement relating to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BXP senior debt will be structurally subordinate to the indebtedness of BPLP (unless BPLP guarantees such indebtedness and then solely to the extent of any such guarantee), and will be structurally subordinate to the indebtedness of the subsidiaries of BPLP. BPLP’s senior debt is, and any additional senior debt of BPLP will be, structurally subordinate to the indebtedness of BPLP’s subsidiaries and will be structurally senior to any indebtedness of BXP, unless BPLP guarantees such indebtedness of BXP. See “—BXP’s and BPLP’s Debt Securities Are Structurally Subordinated to Indebtedness of BPLP and BPLP’s Subsidiaries, Respectively” below.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“senior debt securities” in this prospectus, we mean both the senior debt securities of BXP and the senior debt securities of BPLP, unless the context requires otherwise. When we refer to “subordinated debt securities” in this prospectus, we mean both the subordinated debt securities of BXP and the subordinated debt securities of BPLP, unless the context requires otherwise. When we refer to “debt securities” in this prospectus, we mean both the senior debt securities and the subordinated debt securities, unless the context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indentures and the debt securities, or indicated which material provisions will be described in the related prospectus supplement. The prospectus supplement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beginning on page 5 to find out how you can obtain a copy of those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The Senior Debt Indenture and the Subordinated Debt Indenture of BXP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of BXP will be issued under an indenture, to be dated as of a date prior to such issuance, among BXP, as the issuer of the debt securities, BPLP, as the guarantor of the debt securities, if applicable, and The Bank of New York Mellon Trust Company, N.A., as trustee, as amended or supplemented from time to time. The subordinated debt securities of BXP will be issued under a separate indenture, to be dated as of a date prior to such issuance, among BXP, as the issuer of the debt securities, BPLP, as the guarantor of the debt securities, if applicable, and The Bank of New York Mellon Trust Company, N.A., as trustee, as amended or supplemented from time to time. The indentures will be subject to and governed by the Trust Indenture Act of 1939. We included copies of the forms of indentures as exhibits to our registration statement and they are incorporated into this prospectus by reference. Except as otherwise indicated, the terms of the indentures are identical. </w:t>
      </w:r>
    </w:p>
    <w:p>
      <w:pPr>
        <w:pStyle w:val="TextBody"/>
        <w:bidi w:val="0"/>
        <w:spacing w:before="240" w:after="0"/>
        <w:jc w:val="left"/>
        <w:rPr>
          <w:rFonts w:ascii="Times New Roman" w:hAnsi="Times New Roman"/>
          <w:sz w:val="20"/>
        </w:rPr>
      </w:pPr>
      <w:r>
        <w:rPr>
          <w:rFonts w:ascii="Times New Roman" w:hAnsi="Times New Roman"/>
          <w:sz w:val="20"/>
        </w:rPr>
        <w:t xml:space="preserve">BPLP may, under each indenture, guarantee (either fully and unconditionally or in a limited manner) the due and punctual payment of principal of, and premium, if any, and interest on, one or more series or debt securities of BXP and all other amounts owed under the applicable indenture. See “Description of Guarantees” below for more information. If such debt securities are so guaranteed, the existence and terms of such guarantee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Senior Debt Indenture and the Subordinated Debt Indenture of BPLP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of BPLP will be issued under an indenture, dated as of December 13, 2002, between BPLP and The Bank of New York Mellon Trust Company, N.A., as trustee, as amended or supplemented from time to time. The subordinated debt securities of BPLP will be issued under a separate indenture, dated as of a date prior to such issuance, between BPLP, as the issuer of the debt securities, and The Bank of New York Mellon Trust Company, N.A., as trustee, as amended or supplemented from time to time. The senior debt securities indenture is and the subordinated debt securities indenture will be subject to and governed by the Trust Indenture Act of 1939. We included a copy of the form of subordinated debt securities indenture as an exhibit to this registration statement and it and the senior debt securities indenture are incorporated into this prospectus by reference. Except as otherwise indicated, the terms of the indentures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with terms different from those of the debt securities previously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debt securities will be unsecured.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as described under “Description of Debt Securities—Merger, Consolidation or Sale of Assets” beginning on page 16 or as may be set forth in the applicable prospectus supplement, the debt securities will not contain any provisions that (1) would limit our ability to incur indebtedness or (2) would afford holders of debt securities protection in the event of (a) a highly leveraged or similar transaction involving BXP, BPLP or any of their respective affiliates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 Neither governing law,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term “debt securities” includes the debt securities that may be offered by this prospectus and all other debt securities issued by BXP or BPLP under the indentures. When we refer to the indenture or the trustee with respect to any debt securities of BXP or BPLP, we mean the indenture under which those debt securities are issued and the trustee under that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in the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When we refer to a series of debt securities, we mean a series issued under the applicable indenture. When we refer to a prospectus supplement, we mean the prospectus supplement describing the specific terms of the debt securities of a particular series being offered. The terms used in any prospectus supplement have the meanings described in this prospectus,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most of the financial and other specific terms of a particular series of debt securities being offered, including the terms of any guarantee, if applicable, whether it be a series of the senior debt securities or subordinated debt securities, in a prospectus supplement accompanying this prospectus. Those terms may vary from the terms described here.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contain the terms of a given offering, the initial offering price and our net proceeds. Where applicable, a prospectus supplement will also describe any material U.S. federal income tax considerations relating to the debt securities offered and indicate whether the securities offered are or will be listed on any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Disclosure of the specific terms of a particular series of debt securities in the applicable prospectus supplement, may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issuer of the debt securities is BXP or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they are senior debt securities or subordinated debt securities and, if they are subordinated debt securities, any changes in the subordination provisions described in this prospectus applicable to those subordinated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amount, and the original issue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payable upon declaration of acceleration of the maturity,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of the debt securities, or the method by which the interest rate or rates is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payment dates, or the method by which we will determine those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to whom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make-whole amount, which is the amount in addition to principal and interest that is required to be paid to the holder of a debt security as a result of any optional redemption or accelerated payment of such debt security, or the method for determining the make-whole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may be converted into, in the case of debt securities of BXP, or exchanged for, in the case of debt securities of BPLP, common stock or preferred stock of BXP or other securities, the terms on which such conversion or exchange may occur, including whether such conversion or exchange is mandatory, at the option of the holder or at our option, the period during which such conversion or exchange may occur, the initial conversion or exchange price or rate, and the circumstances or manner in which the shares of common stock or preferred stock issuable upon conversion or exchange may be adjusted or calculated according to the market price of BXP common stock or preferred stock or such other securities or other applicable parameters;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issued by BXP, whether BPLP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issued by BPLP, whether BXP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(or make-whole amount)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debt securities may be surrendered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notices or demands to or upon us in respect of the debt securities and the applicable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times, prices and other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deletions from, modifications of, or additions to our events of default or covenants, and any change in the right of any trustee or any of the holders to declare the principal amount of any of such debt securities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issuable, if other than denominations of $1,000 and any integral multiple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securities are denominated and in which principal and/or interest is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and any premium (or make-whole amount) or interest on, the debt securities may be determined according to an index, formula or other method and how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depository for securities in registered form, if such series are to be issuable as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applicable to the offer, sale or delivery of securities in bearer form and the terms upon which securities in bearer form of the series may be exchanged for securities in registered form of the series and vice versa if permitted by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any debt securities in bearer form or in temporary global form shall be dated if other than the original issuance date of the first security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described in this prospectus or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any additional amounts on the debt securities in respect of any tax, assessment or governmental charge and, if so, whether we will have the option to redeem the debt securities in lieu of making such a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circumstances, if any, under which beneficial owners of interests in the global security may obtain definitive debt securities and the manner in which payments on a permanent global debt security will be made if any debt securities are issuable in temporary or permanent global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of securities upon the occurrence of such events as specified in the applicable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applicable trustee and the nature of any material relationship with us or with any of our affiliates, and the percentage of debt securities of the class necessary to require the trustee to take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debt securities not inconsistent with the provisions of the applicable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Original Issue Discount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debt securities at a discount below their principal amount and provide for less than the entire principal amount thereof to be payable upon declaration of acceleration of the maturity thereof. We will refer to any such debt securities throughout this prospectus as “original issue discount securities.” A fixed rate debt security, a floating rate debt security or an indexed debt security may be an original issue discount security. The applicable prospectus supplement will describe the material federal income tax consequences and other relevant considerations applicable to original issue discount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fixed rate debt securities. A debt security of this type will bear interest at a fixed rate described in the applicable prospectus supplement. This type includes zero coupon debt securities, which bear no interest and are instead issued at a price usually significantly lower than the principal amount. Unless otherwise disclosed in the applicable prospectus supplement, each fixed rate debt security, except any zero coupon debt security, will bear interest from its original issue date or from the most recent date to which interest on the debt security has been paid or made available for payment. Interest will accrue on the principal of a fixed rate debt security at the fixed yearly rate stated in the applicable prospectus supplement, until the principal is paid or made available for payment or the debt security is exchanged. Each payment of interest due on an interest payment date or the date of maturity will include interest accrued from and including the last date to which interest has been paid, or made available for payment, or from the issue date if none has been paid or made available for payment, to but excluding the interest payment date or the date of maturity. Unless otherwise disclosed in the applicable prospectus supplement, we will compute interest on fixed rate debt securities on the basis of a 360-day year of twelve 30-day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Floating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floating rate debt securities. A debt security of this type will bear interest at rates that are determined by reference to an interest rate formula. In some cases, the rates may also be adjusted by adding or subtracting a spread or multiplying by a spread multiplier and may be subject to a minimum rate or a maximum rate. If a debt security is a floating rate debt security, the formula and any adjustments that apply to the interest rate will be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disclosed in the applicable prospectus supplement, each floating rate debt security will bear interest from its original issue date or from the most recent date to which interest on the debt security has been paid or made available for payment. Interest will accrue on the principal of a floating rate debt security at the yearly rate determined according to the interest rate formula stated in the applicable prospectus supplement, until the principal is paid or made available for payment or the security is exchanged. </w:t>
      </w:r>
    </w:p>
    <w:p>
      <w:pPr>
        <w:pStyle w:val="TextBody"/>
        <w:bidi w:val="0"/>
        <w:spacing w:before="240" w:after="0"/>
        <w:jc w:val="left"/>
        <w:rPr>
          <w:rFonts w:ascii="Times New Roman" w:hAnsi="Times New Roman"/>
          <w:sz w:val="20"/>
        </w:rPr>
      </w:pPr>
      <w:r>
        <w:rPr>
          <w:rFonts w:ascii="Times New Roman" w:hAnsi="Times New Roman"/>
          <w:sz w:val="20"/>
        </w:rPr>
        <w:t xml:space="preserve">Calculations relating to floating rate debt securities will be made by the calculation agent, an institution that we appoint as our agent for this purpose. The prospectus supplement for a particular floating rate debt security will name the institution that we have appointed to act as the calculation agent for that debt security as of its original issue date. We may appoint a different institution to serve as calculation agent from time to time after the original issue date of the debt security without your consent and without notifying you of the change. </w:t>
      </w:r>
    </w:p>
    <w:p>
      <w:pPr>
        <w:pStyle w:val="TextBody"/>
        <w:bidi w:val="0"/>
        <w:spacing w:before="240" w:after="0"/>
        <w:jc w:val="left"/>
        <w:rPr>
          <w:rFonts w:ascii="Times New Roman" w:hAnsi="Times New Roman"/>
          <w:sz w:val="20"/>
        </w:rPr>
      </w:pPr>
      <w:r>
        <w:rPr>
          <w:rFonts w:ascii="Times New Roman" w:hAnsi="Times New Roman"/>
          <w:sz w:val="20"/>
        </w:rPr>
        <w:t xml:space="preserve">For each floating rate debt security, the calculation agent will determine, on the corresponding interest calculation or determination date, as described in the applicable prospectus supplement, the interest rate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or by the actual number of days in the year,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All percentages resulting from any calculation relating to a debt security will be rounded upward or downward, as appropriate, to the next higher or lower one hundred-thousandth of a percentage point, e.g., 9.876541% (or .09876541) being rounded down to 9.87654% (or .0987654) and 9.876545% (or .09876545) being rounded up to 9.87655% (or .0987655). All amounts used in or resulting from any calculation relating to a floating rate debt security will be rounded upward or downward, as appropriate, to the nearest cent, in the case of U.S. dollars, or to the nearest corresponding hundredth of a unit, in the case of a currency other than U.S. dollars, with one-half cent or one-half of a corresponding hundredth of a unit or more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base rate that applies to a floating rate debt security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Indexed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 A debt security of this type provides that the principal amount payable at its maturity, and the amount of interest payable on an interest payment date, will be determined by reference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 one or more issuers;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financial, economic or other measure or instrument, including the occurrence or non-occurrence of any event or circumstance;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indices or baskets of the items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holder of an indexed debt security, you may receive an amount at maturity that is greater than or less than the face amount of your debt security depending upon the value of the applicable index at maturity. The value of the applicable index will fluctuate over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Amounts that We May Issue </w:t>
      </w:r>
    </w:p>
    <w:p>
      <w:pPr>
        <w:pStyle w:val="TextBody"/>
        <w:bidi w:val="0"/>
        <w:spacing w:before="120" w:after="0"/>
        <w:jc w:val="left"/>
        <w:rPr>
          <w:rFonts w:ascii="Times New Roman" w:hAnsi="Times New Roman"/>
          <w:sz w:val="20"/>
        </w:rPr>
      </w:pPr>
      <w:r>
        <w:rPr>
          <w:rFonts w:ascii="Times New Roman" w:hAnsi="Times New Roman"/>
          <w:sz w:val="20"/>
        </w:rPr>
        <w:t xml:space="preserve">None of the indentures limit the aggregate amount of debt securities that we may issue or the number of series or the aggregate amount of any particular series. In addition, the indentures and the debt securities do not limit either BXP’s or BPLP’s ability to incur other indebtedness or to issue other securities, unless otherwise described in the prospectus supplement relating to any series of debt securities. Also, neither BXP nor BPLP is subject to financial or similar restrictions by the terms of the debt securities, unless otherwise described in the prospectus supplement relating to any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we give you different information in the applicable prospectus supplement, the principal of, and any premium (or make-whole amount) and interest on, any series of the debt securities will be payable at the corporate trust office of the applicable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BXP’s and BPLP’s Debt Securities are Structurally Subordinated to Indebtedness of BPLP and BPLP’s Subsidiaries, Respectively </w:t>
      </w:r>
    </w:p>
    <w:p>
      <w:pPr>
        <w:pStyle w:val="TextBody"/>
        <w:bidi w:val="0"/>
        <w:spacing w:before="120" w:after="0"/>
        <w:jc w:val="left"/>
        <w:rPr>
          <w:rFonts w:ascii="Times New Roman" w:hAnsi="Times New Roman"/>
          <w:sz w:val="20"/>
        </w:rPr>
      </w:pPr>
      <w:r>
        <w:rPr>
          <w:rFonts w:ascii="Times New Roman" w:hAnsi="Times New Roman"/>
          <w:sz w:val="20"/>
        </w:rPr>
        <w:t xml:space="preserve">BXP’s indebtedness is structurally subordinated to debt of BPLP, except to the extent of any guarantee of such indebtedness by BPLP. In addition, because BXP’s assets consist principally of interests in BPLP and because BPLP’s assets consist principally of interests in the subsidiaries through which we own our properties and conduct our business, our right to participate as an equity holder in any distribution of assets of any of our subsidiaries upon the subsidiary’s liquidation or otherwise, and thus the ability of our security holders to benefit from the distribution, is junior to creditors of the applicable subsidiary, except to the extent that any claims we may have as a creditor of such subsidiary are recognized. Furthermore, because some of our subsidiaries are partnerships in which we are a general partner, we may be liable for their obligations. We may also guarantee some obligations of our subsidiaries. Any liability we may have for our subsidiaries’ obligations could reduce our assets that are available to satisfy our direct creditors, including investors in our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debt security in global—i.e., book-entry—form only, unless we specify otherwise in the applicable prospectus supplement. Debt securities in book-entry form will be represented by a global security registered in the name of a depositary, which will be the holder of all the debt securities represented by that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issue each debt security in fully registered form, without coupons.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described in the applicable prospectus supplement, the debt securities of any series will be issuable in denominations of $1,000 and integral multiples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limitations imposed upon debt securities that are issued in book-entry form and represented by a global security registered in the name of a depositary, a holder of debt securities of any series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them for registration of transfer or exchange at the corporate trust office of the applicable trustee or at the office of any transfer agent that we designate for such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Every debt security surrendered for registration of transfer or exchange must be duly endorsed or accompanied by a written instrument of transfer, and the person requesting such action must provide evidence of title and identity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shall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so selected for redemption, in whole or in part, except the unredeemed portion of any debt security being redeemed in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security that has been surrendered for repayment at the option of the holder, except the portion, if any, of such debt security not to be so repaid.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each of BXP and BPLP may, without the consent of the holders of any outstanding debt securities, (1) consolidate with, (2) sell, lease or convey all or substantially all of its assets to, or (3)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it is the continuing entity, or the successor entity, if other than BXP or BPLP, as the case may be, is an entity organized and existing under the laws of the United States and assumes its obligations (A) to pay the principal of, and any premium and interest on, all of its debt securities and (B) to duly perform and observe all of its covenants and conditions contained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and treating any indebtedness that becomes the obligation of BXP or BPLP, as the case may be, or the obligation of any of our subsidiaries as having been incurred by us or by such subsidiary at the time of the transaction, no event of default under the applicable indenture, and no event which, after notice or the lapse of time, or both, would become such an event of default, occurs and continues;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limitation applicable to the ability of BPLP, in its capacity as guarantor of debt securities of any series of BXP, to participate in any of the transactions described above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i/>
          <w:sz w:val="20"/>
        </w:rPr>
        <w:t>Existence</w:t>
      </w:r>
      <w:r>
        <w:rPr>
          <w:rFonts w:ascii="Times New Roman" w:hAnsi="Times New Roman"/>
          <w:sz w:val="20"/>
        </w:rPr>
        <w:t xml:space="preserve">. Except as permitted under “Description of Debt Securities—Merger, Consolidation or Sale of Assets” above, the indentures require us to do or cause to be done all things necessary to preserve and keep in full force and effect our existence, rights and franchises. However, the indentures do not require us to preserve any right or franchise if the board of directors of BXP determines that any right or franchise is no longer desirable in the conduct of our business. </w:t>
      </w:r>
    </w:p>
    <w:p>
      <w:pPr>
        <w:pStyle w:val="TextBody"/>
        <w:bidi w:val="0"/>
        <w:spacing w:before="240" w:after="0"/>
        <w:jc w:val="left"/>
        <w:rPr>
          <w:rFonts w:ascii="Times New Roman" w:hAnsi="Times New Roman"/>
          <w:sz w:val="20"/>
        </w:rPr>
      </w:pPr>
      <w:r>
        <w:rPr>
          <w:rFonts w:ascii="Times New Roman" w:hAnsi="Times New Roman"/>
          <w:i/>
          <w:sz w:val="20"/>
        </w:rPr>
        <w:t>Maintenance of properties</w:t>
      </w:r>
      <w:r>
        <w:rPr>
          <w:rFonts w:ascii="Times New Roman" w:hAnsi="Times New Roman"/>
          <w:sz w:val="20"/>
        </w:rPr>
        <w:t xml:space="preserve">. If we determine that it is necessary in order to properly and advantageously carry on our business, the indentures require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all of our material properties used or useful in the conduct of our business or the business of any of our subsidiaries to be maintained and kept in good condition, repair and working order, normal wear and tear, casualty and condemnation excepted, and supplied with all necessary equipment;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to be made all necessary repairs, renewals, replacements, betterments and improvements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indentures do not prohibit us or our subsidiaries from (1) permanently removing any property that has been condemned or suffered a casualty loss, if it is in our best interests, or (2) selling or otherwise disposing of our respective properties for value in the ordinary course of business. </w:t>
      </w:r>
    </w:p>
    <w:p>
      <w:pPr>
        <w:pStyle w:val="TextBody"/>
        <w:bidi w:val="0"/>
        <w:spacing w:before="24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The indentures require our insurable properties to be insured against loss or damage in an amount deemed reasonable by the board of directors of BXP with insurers of recognized responsibility. </w:t>
      </w:r>
    </w:p>
    <w:p>
      <w:pPr>
        <w:pStyle w:val="TextBody"/>
        <w:bidi w:val="0"/>
        <w:spacing w:before="240" w:after="0"/>
        <w:jc w:val="left"/>
        <w:rPr>
          <w:rFonts w:ascii="Times New Roman" w:hAnsi="Times New Roman"/>
          <w:sz w:val="20"/>
        </w:rPr>
      </w:pPr>
      <w:r>
        <w:rPr>
          <w:rFonts w:ascii="Times New Roman" w:hAnsi="Times New Roman"/>
          <w:i/>
          <w:sz w:val="20"/>
        </w:rPr>
        <w:t>Payment of taxes and other claims</w:t>
      </w:r>
      <w:r>
        <w:rPr>
          <w:rFonts w:ascii="Times New Roman" w:hAnsi="Times New Roman"/>
          <w:sz w:val="20"/>
        </w:rPr>
        <w:t xml:space="preserve">. The indentures require us to pay, discharge or cause to be paid or discharged, before they become delinquent: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taxes, assessments and governmental charges levied or imposed on us, our subsidiaries or our subsidiaries’ income, profits or property;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lawful claims for labor, materials and supplies which, if unpaid, might by law become a lien upon our or our subsidiaries’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we will not be required to pay, discharge or cause to be paid or discharged any such tax, assessment, charge or claim whose amount, applicability or validity is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i/>
          <w:sz w:val="20"/>
        </w:rPr>
        <w:t>Provision of financial information</w:t>
      </w:r>
      <w:r>
        <w:rPr>
          <w:rFonts w:ascii="Times New Roman" w:hAnsi="Times New Roman"/>
          <w:sz w:val="20"/>
        </w:rPr>
        <w:t xml:space="preserve">. The indentures require us to (1) within 15 days of each of the respective dates by which we are required to file annual reports, quarterly reports and other documents with the SEC, file copies of such reports and documents with the trustee and (2) within 30 days after the filing of such reports and documents with the Trustee, mail to all holders of debt securities, as their names and addresses appear in the applicable register for such debt securities summary of the annual reports, quarterly reports and other documents that we file with the SEC under Section 13 or Section 15(d) of the Exchange Act. </w:t>
      </w:r>
    </w:p>
    <w:p>
      <w:pPr>
        <w:pStyle w:val="TextBody"/>
        <w:bidi w:val="0"/>
        <w:spacing w:before="240" w:after="0"/>
        <w:jc w:val="left"/>
        <w:rPr>
          <w:rFonts w:ascii="Times New Roman" w:hAnsi="Times New Roman"/>
          <w:sz w:val="20"/>
        </w:rPr>
      </w:pPr>
      <w:r>
        <w:rPr>
          <w:rFonts w:ascii="Times New Roman" w:hAnsi="Times New Roman"/>
          <w:i/>
          <w:sz w:val="20"/>
        </w:rPr>
        <w:t>Additional covenants</w:t>
      </w:r>
      <w:r>
        <w:rPr>
          <w:rFonts w:ascii="Times New Roman" w:hAnsi="Times New Roman"/>
          <w:sz w:val="20"/>
        </w:rPr>
        <w:t xml:space="preserve">. The applicable prospectus supplement will set forth any additional covenants of BXP or BPLP relating to any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(or make-whole amount) on, any debt security of such series at its maturity;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making any sinking fund payment as required for any debt security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of BXP or BPLP, as the case may be, contained in the indenture continuing for 60 days after written notice to BXP or BPLP, as the case may be, as provided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BXP or BPLP, as the case may be, under any bond, debenture, note, mortgage, indenture or other instrument under which there may be outstanding, or by which there may be secured or evidenced any recourse indebtedness for money borrowed by BXP or BPLP, as the case may be, having an aggregate in principal amount outstanding of at least $50 million, whether such recourse indebtedness now exists or shall hereafter be created, which default either (A) constitutes a failure to pay any portion of the principal of such recourse indebtedness when due and payable at its stated maturity after the expiration of any applicable grace period with respect thereto (and without such recourse indebtedness having been discharged) or (B) resulted in such recourse indebtedness becoming or being declared due and payable prior to its stated maturity (and without such recourse indebtedness having been discharged or such acceleration having been rescinded or annulled), and in each case such default shall not have been rescinded or annulled within 10 days after written notice of such default has been received by BXP or BPLP, as the case may be, as provided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BXP, BPLP or any subsidiary of BPLP that is an obligor or guarantor of any indebtedness that is also recourse indebtedness of BXP or BPLP having an aggregate principal amount outstanding of at least $50 million;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(or make-whole amount), and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(or make-whole amount),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any premium (or make-whole amount) or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contained in the applicable indenture that cannot be modified or amended without the consent of the holder of the outstanding debt security that is affected by the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for the benefit or protection of the trustee, without its express written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indentures require each trustee to give notice to the holders of debt securities within 90 days of a default unless such default has been cured or waived. However, the trustee may withhold notice if specified responsible officers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make-whole amount) on, or any installment of principal of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the rate or amount of interest on or any premium (or make-whole amount) payable on redemption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that would be due and payable upon declaration of acceleration of the maturity thereof or would be provable in bankruptcy, or adversely affect any right of repayment of the holder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coin or currency for payment of principal of, or any premium (or make-whole amount)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such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BXP or BPLP and the respective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BXP or BPLP for the benefit of the holders of all or any series of debt securities or to surrender any right or power conferred upon us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an indenture (1) to facilitate the issuance of, or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provisions of an indenture, provided that any such change or elimination shall become effective only when there are no debt securities outstanding of any series created prior thereto which are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acceptance of appointment by a successor trustee or facilitate the administration of the trusts under an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an indenture, provided that such action shall not adversely affect the interests of holders of debt securities of any series issued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original issue discount security that shall be deemed to be outstanding shall be the amount of the principal thereof that would be due and payable as of the date of such determination upon declaration of acceleration of the maturity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immediately preceding bullet point;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indexed security that shall be deemed outstanding shall be the principal face amount of such indexed security at original issuance, unless otherwise provided for such indexed security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owned by us or any other obligor upon the debt securities or by any affiliate of ours or of such other obligor shall be disregarded.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the indentures provide that if any action is to be taken at a meeting with respect to any request, demand, authorization, direction, notice, consent, waiver and other action that such indenture expressly provides may be made, given or taken by the holders of a specified percentage in principal amount of all outstanding debt securities affected by such action, or of the holders of such series and one or more additional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no minimum quorum requirement for such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Subordination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Holders of subordinated debt securities should recognize that contractual provisions in the applicable subordinated debt indenture may prohibit the issuer of the subordinated debt securities, whether BXP or BPLP, as the case may be, from making payments on those securities. Subordinated debt securities are subordinate and junior in right of payment, to the extent and in the manner stated in the applicable subordinated debt indenture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provisions of the applicable debt securities, to all of the issuer’s senior debt, as defined in the applicable subordinated debt indenture, including all debt securities the issuer has issued and will issue under the applicable senior debt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defined differently in the applicable prospectus supplement, the applicable subordinated debt indentures define “senior debt” as the principal of and premium, if any, and interest on all indebtedness of the issuer, other than the subordinated debt securities, whether outstanding on the date of the indenture or thereafter created, incurred or assumed, which is (a) for money borrowed, (b) evidenced by a note or similar instrument given in connection with the acquisition of any businesses, properties or assets of any kind or (c) obligations of the issuer, as lessee under leases required to be capitalized on the balance sheet of the lessee under generally accepted accounting principles or leases of property or assets made as part of any sale and lease-back transaction to which the issuer is a party. For the purpose of this definition, “interest” includes interest accruing on or after the filing of any petition in bankruptcy or for reorganization relating to the issuer, to the extent that the claim for post-petition interest is allowed in the proceeding. Also for the purpose of this definition, “indebtedness of the issuer” includes indebtedness of others guaranteed by the issuer and amendments, renewals, extensions, modifications and refundings of any indebtedness or obligation of the kinds described in the first sentence of this paragraph. However, “indebtedness of the issuer” for the purpose of this definition does not include any indebtedness or obligation if the instrument creating or evidencing the indebtedness or obligation, or under which the indebtedness or obligation is outstanding, provides that the indebtedness or obligation is not superior in right of payment to the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provides differently, the subordinated debt indentures provides that, unless all principal of and any premium or interest on the senior debt has been paid in full, no payment or other distribution may be made in respect of any subordinated debt securities in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insolvency or bankruptcy proceedings, or any receivership, liquidation, reorganization or other similar proceeding involving the issuer or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liquidation, dissolution or other winding up of the issuer, whether voluntary or involuntary and whether or not involving insolvency or bankruptcy;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assignment for the benefit of creditors or any other marshalling of assets and liabilities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subordinated debt securities of issuer have been declared due and payable before their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and during the continuation of any default in the payment of principal, premium or interest on any senior debt beyond any applicable grace period or if any event of default with respect to any senior debt of the issuer has occurred and is continuing, permitting the holders of that senior debt of the issuer or a trustee to accelerate the maturity of that senior debt, unless the event of default has been cured or waived or ceased to exist and any related acceleration has been rescinded;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judicial proceeding is pending with respect to a payment default or an event of default described in the immediately preceding clause.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trustee under the applicable subordinated debt indenture or any holders of the subordinated debt securities receive any payment or distribution that they know is prohibited under the subordination provisions, then the trustee or the holders will have to repay that money to the holders of the senior debt. </w:t>
      </w:r>
    </w:p>
    <w:p>
      <w:pPr>
        <w:pStyle w:val="TextBody"/>
        <w:bidi w:val="0"/>
        <w:spacing w:before="240" w:after="0"/>
        <w:jc w:val="left"/>
        <w:rPr>
          <w:rFonts w:ascii="Times New Roman" w:hAnsi="Times New Roman"/>
          <w:sz w:val="20"/>
        </w:rPr>
      </w:pPr>
      <w:r>
        <w:rPr>
          <w:rFonts w:ascii="Times New Roman" w:hAnsi="Times New Roman"/>
          <w:sz w:val="20"/>
        </w:rPr>
        <w:t xml:space="preserve">Even if the subordination provisions prevent BXP or BPLP from making any payment when due on the subordinated debt securities of any series, BXP or BPLP, as the case may be, will be in default on its obligations under that series if it does not make the payment when due. This means that the trustee under the applicable subordinated debt indenture and the holders of that series can take action against us, but they will not receive any money until the claims of the holders of senior debt have been fully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Modification of Subordination Provisions </w:t>
      </w:r>
    </w:p>
    <w:p>
      <w:pPr>
        <w:pStyle w:val="TextBody"/>
        <w:bidi w:val="0"/>
        <w:spacing w:before="120" w:after="0"/>
        <w:jc w:val="left"/>
        <w:rPr>
          <w:rFonts w:ascii="Times New Roman" w:hAnsi="Times New Roman"/>
          <w:sz w:val="20"/>
        </w:rPr>
      </w:pPr>
      <w:r>
        <w:rPr>
          <w:rFonts w:ascii="Times New Roman" w:hAnsi="Times New Roman"/>
          <w:sz w:val="20"/>
        </w:rPr>
        <w:t xml:space="preserve">Neither BXP nor BPLP may amend the subordinated debt indenture governing any series of subordinated debt securities it has already issued to alter the subordination of any outstanding subordinated debt securities without the written consent of each holder of senior debt then outstanding who would be adversely affected by such amendment. In addition, neither BXP nor BPLP may modify the subordination provisions of the subordinated debt indenture governing any series of subordinated debt securities it has already issued in a manner that would adversely affect the outstanding subordinated debt securities of any one or more series in any material respect, without the consent of the holders of a majority in aggregate principal amount of all affected series, voting together as one class.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the conditions to discharging the debt securities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we may elect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such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only permit us to establish the trust described in the paragraph above if, among other things, we have delivered to the applicable trustee an opinion of counsel to the effect that the holders of such debt securities will not recognize income, gain or loss for federal income tax purposes as a result of such defeasance or covenant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defeasance and will be subject to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federal income tax law occurring after the date of the indenture. In the event of such defeasance, the holders of such debt securities would be able to look only to such trust fund for payment of principal, any premium (or make-whole amount), and interest.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“government obligations,” we mean securities that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United States or the government that issued the foreign currency in which the debt securities of a particular series are payable, for the payment of which its full faith and credit is pledged;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“conversion event,” we mean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currency unit or composite currency both by the government of the country that issued such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unit or composite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all payments of principal of, and premium (or make-whole amount), if any, and interest on, any debt security that is payable in a foreign currency that ceases to be used by its government of issuance shall be made in United States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(1) we effect covenant defeasance with respect to any debt securities and (2) such debt securities are declared due and payable because of the occurrence of any event of default,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we would remain liable to make payments of such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on which debt securities of BXP or BPLP are convertible into or exchangeable for shares of common stock or preferred stock of BXP or other securities will be set forth in the applicable prospectus supplement. Such terms will include the terms on which such conversion or exchange may occur, including whether such conversion or exchange is mandatory, at the option of the holder or at our option, the period or periods during which such conversion or exchange may occur, the initial conversion or exchange price or rate, the circumstances under or manner in which the number of shares of common stock or preferred stock of BXP or other securities issuable upon conversion or exchange may be adjusted or calculated according to the market price of such common stock or preferred stock of BXP or other securities or based on other parameters, and provisions affecting conversion or exchange in the event that the debt securities are redeemed.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Recourse </w:t>
      </w:r>
    </w:p>
    <w:p>
      <w:pPr>
        <w:pStyle w:val="TextBody"/>
        <w:bidi w:val="0"/>
        <w:spacing w:before="120" w:after="0"/>
        <w:jc w:val="left"/>
        <w:rPr>
          <w:rFonts w:ascii="Times New Roman" w:hAnsi="Times New Roman"/>
          <w:sz w:val="20"/>
        </w:rPr>
      </w:pPr>
      <w:r>
        <w:rPr>
          <w:rFonts w:ascii="Times New Roman" w:hAnsi="Times New Roman"/>
          <w:sz w:val="20"/>
        </w:rPr>
        <w:t xml:space="preserve">No recourse under or upon any obligation, covenant or agreement contained in any indenture or the debt securities, or because of any indebtedness evidenced thereby, shall be had (1) in the case of debt securities of BPLP, against BXP as general partner or any other past, present or future partner of BPLP, or against any other person or entity which owns an interest, directly or indirectly, in any partner of BPLP, or (2) in the case of any debt securities of BXP or BPLP, against any past, present or future shareholder, partner, employee, officer or director, as such, of BPLP or BXP or any successor under any rule of law, statute or constitutional provision or by the enforcement of any assessment or by any legal or equitable proceeding or otherwise. Each holder of debt securities waives and releases all such liability by accepting the debt securities. The waiver and release are part of the consideration for the issue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BXP’s and BPLP’s Relationship with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Trust Company, N.A. and/or its affiliates have provided commercial banking and other services for BXP, BPLP and/or their affiliates in the past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Trust Company, N.A. is initially serving as the trustee for the senior debt securities and the subordinated debt securities of BXP and BPLP. We may appoint other parties to serve as trustee or co-trustee as may be indicated in the applicable prospectus supplement. If an actual or potential event of default occurs with respect to any of the debt securities, the trustee may be considered to have a conflicting interest for purposes of the Trust Indenture Act of 1939. In that case, the trustee may be required to resign under one or more of the indentures, and the issuer of the debt securities would be required to appoint a successor trustee. For this purpose, a “potential” event of default means an event that would be an event of default if the requirements for giving the issuer of the debt securities default notice or for the default having to exist for a specific period of time were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50422_8"/>
      <w:bookmarkEnd w:id="20"/>
      <w:r>
        <w:rPr>
          <w:rFonts w:ascii="Times New Roman" w:hAnsi="Times New Roman"/>
          <w:b/>
          <w:sz w:val="20"/>
        </w:rPr>
        <w:t xml:space="preserve">DESCRIPTION OF GUARANTEES </w:t>
      </w:r>
    </w:p>
    <w:p>
      <w:pPr>
        <w:pStyle w:val="TextBody"/>
        <w:bidi w:val="0"/>
        <w:spacing w:before="240" w:after="0"/>
        <w:jc w:val="left"/>
        <w:rPr>
          <w:rFonts w:ascii="Times New Roman" w:hAnsi="Times New Roman"/>
          <w:sz w:val="20"/>
        </w:rPr>
      </w:pPr>
      <w:r>
        <w:rPr>
          <w:rFonts w:ascii="Times New Roman" w:hAnsi="Times New Roman"/>
          <w:sz w:val="20"/>
        </w:rPr>
        <w:t xml:space="preserve">BXP may guarantee (either fully or unconditionally or in a limited manner) the due and punctual payment of the principal of, and any premium and interest on, one or more series of debt securities of BPLP, whether at maturity, by acceleration, redemption, repayment or otherwise, and all other amounts owed under the applicable indenture, in accordance with the terms of such guarantee and the applicable indenture. In case of the failure of BPLP punctually to pay any principal, premium or interest on any guaranteed debt security, BXP will cause any such payment to be made as it becomes due and payable, whether at maturity, upon acceleration, redemption, repayment or otherwise, and as if such payment were made by BPLP. The particular terms of the guarantee, if any, will be set forth in a prospectus supplement relating to the guaranteed debt securities. Any guarantee by BXP will be of payment only and not of collection. </w:t>
      </w:r>
    </w:p>
    <w:p>
      <w:pPr>
        <w:pStyle w:val="TextBody"/>
        <w:bidi w:val="0"/>
        <w:spacing w:before="240" w:after="0"/>
        <w:jc w:val="left"/>
        <w:rPr>
          <w:rFonts w:ascii="Times New Roman" w:hAnsi="Times New Roman"/>
          <w:sz w:val="20"/>
        </w:rPr>
      </w:pPr>
      <w:r>
        <w:rPr>
          <w:rFonts w:ascii="Times New Roman" w:hAnsi="Times New Roman"/>
          <w:sz w:val="20"/>
        </w:rPr>
        <w:t xml:space="preserve">BPLP may guarantee (either fully or unconditionally or in a limited manner) the due and punctual payment of the principal of, and any premium and interest on, one or more series of debt securities of BXP, whether at maturity, by acceleration, redemption, repayment or otherwise, and all other amounts owed under the applicable indenture, in accordance with the terms of such guarantee and the applicable indenture. In case of the failure of BXP punctually to pay any principal, premium or interest on any guaranteed debt security, BPLP will cause any such payment to be made as it becomes due and payable, whether at maturity, upon acceleration, redemption, repayment or otherwise, and as if such payment were made by BXP. The particular terms of the guarantee, if any, will be set forth in a prospectus supplement relating to the guaranteed debt securities. Any guarantee by BPLP will be of payment only and not of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50422_9"/>
      <w:bookmarkEnd w:id="21"/>
      <w:r>
        <w:rPr>
          <w:rFonts w:ascii="Times New Roman" w:hAnsi="Times New Roman"/>
          <w:b/>
          <w:sz w:val="20"/>
        </w:rPr>
        <w:t xml:space="preserve">DESCRIPTION OF COMMON STOCK OF BXP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terms and provisions of BXP common stock. It may not contain all the information that is important to you. You can access complete information by referring to the certificate of incorporation and by-laws of BXP and the Delaware General Corporation Law. The certificate of incorporation and by-laws are incorporated by reference into this prospectus, and the following summary is qualified in its entirety by reference to such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of incorporation, BXP has the authority to issue 250,000,000 shares of common stock, par value $0.01 per share. On December 31, 2025, there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158,548,298 shares of BXP’s common stock issued and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15,590,009 common units of partnership interest in BPLP issued and outstanding (other than the common units held by BXP), each of which is redeemable for one share of BXP’s common stock (if BXP elects to issue common stock rather than pay cash upon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2,662,140 long term incentive units of partnership interest in BPLP issued and outstanding (excluding long term incentive units issued pursuant to 2023 Multi-Year Long-Term Incentive Program (“MYLTIP”) awards, 2024 MYLTIP awards and 2025 MYLTIP awards, which are excluded because their three-year performance periods had not ended by December 31, 2025), each of which, upon the satisfaction of certain conditions, is convertible into one common unit;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111,701 deferred stock units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BXP may issue common stock from time to time. BXP’s board of directors must approve the amount of stock we sell and the price for which it is sold. Holders of BXP common stock do not have any preferential rights or preemptive rights to buy or subscribe for capital stock or other securities that BXP may issue. BXP common stock does not have any redemption or sinking fund provisions or any conversion rights. </w:t>
      </w:r>
    </w:p>
    <w:p>
      <w:pPr>
        <w:pStyle w:val="TextBody"/>
        <w:bidi w:val="0"/>
        <w:spacing w:before="240" w:after="0"/>
        <w:jc w:val="left"/>
        <w:rPr>
          <w:rFonts w:ascii="Times New Roman" w:hAnsi="Times New Roman"/>
          <w:sz w:val="20"/>
        </w:rPr>
      </w:pPr>
      <w:r>
        <w:rPr>
          <w:rFonts w:ascii="Times New Roman" w:hAnsi="Times New Roman"/>
          <w:sz w:val="20"/>
        </w:rPr>
        <w:t xml:space="preserve">All of BXP common stock, when issued, will be duly authorized, fully paid and nonassessable. This means that the full price for BXP outstanding common stock will have been paid at the time of issuance and that any holder of BXP common stock will not later be required to pay BXP any additional money for such BXP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shares of BXP stock and the provisions of the certificate of incorporation regarding excess stock, holders of BXP common stock may receive dividends out of assets that BXP can legally use to pay dividends when and if they are authorized and declared by the board of directors of BXP. In the event BXP is liquidated, dissolved or its affairs are wound up, each common stockholder shares in the same proportion as other common stockholders out of assets that BXP can legally use to pay distributions after BXP pays or makes adequate provision for all of its known debts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certificate of incorporation of BXP regarding excess stock, and the rights of limited partners of BPLP other than BXP to vote on certain extraordinary transactions, holders of common stock will have the exclusive power to vote on all matters presented to BXP’s stockholders, including the election of directors, except as otherwise provided by Delaware law or as provided with respect to any other shares of BXP stock. Holders of BXP common stock are entitled to one vote per share. There is no cumulative voting in the election of directors of BXP.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all matters to be voted on by stockholders, other than the election of directors, must be approved by a majority of the votes present in person or represented by proxy and entitled to vote at a meeting at which a quorum is present, subject to any voting rights granted to holders of any then outstanding preferred stock. In uncontested elections of directors, a majority voting standard will apply pursuant to which, in order for a director nominee to be elected, the votes cast “for” his or her election must exceed the votes cast “against” his or her election. In contested elections of directors, which generally will include any situation in which BXP receives a notice that a stockholder has nominated a person for election to the board of directors at a meeting of the stockholders of BXP that is not withdrawn on or before the tenth day before BXP first mails its notice for such meeting to its stockholders, a plurality voting standard will apply. </w:t>
      </w:r>
    </w:p>
    <w:p>
      <w:pPr>
        <w:pStyle w:val="TextBody"/>
        <w:bidi w:val="0"/>
        <w:spacing w:before="360" w:after="0"/>
        <w:jc w:val="left"/>
        <w:rPr>
          <w:rFonts w:ascii="Times New Roman" w:hAnsi="Times New Roman"/>
          <w:b/>
          <w:sz w:val="20"/>
        </w:rPr>
      </w:pPr>
      <w:r>
        <w:rPr>
          <w:rFonts w:ascii="Times New Roman" w:hAnsi="Times New Roman"/>
          <w:b/>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certificate of incorporation of BXP regarding excess stock, all shares of BXP common stock have equal dividend, distribution, liquidation and other rights, and have no preference, appraisal or exchange rights, except for any appraisal rights provided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For BXP to qualify as a REIT under the Code, no more than 50% in value of BXP outstanding stock may be owned, actually or constructively, by five or fewer individuals during the last half of a taxable year. To assist BXP in meeting this requirement, it may take actions including the automatic conversion of shares in excess of this ownership restriction into excess stock to limit the ownership of the outstanding equity securities of BXP, actually or constructively, by one person or entity. See “Limits on Ownership of BXP Capital Stock” beginning on page 41.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BXP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of incorporation of BXP, it has authority to issue up to 50,000,000 shares of preferred stock. As of December 31, 2025, no shares of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BXP may issue preferred stock from time to time, in one or more series, as authorized by its board of directors. Prior to issuance of shares of each series, the board of directors of BXP is required by the Delaware General Corporation Law and the certificate of incorporation of BXP to fix for each series, subject to the provisions of the certificate of incorporation regarding excess stock, the terms, preferences, conversion or other rights, voting powers, restrictions, limitations as to dividends or other distributions, qualifications and terms or conditions of redemption, as are permitted by Delaware law. The preferred stock will, when issued, be fully paid and nonassessable and will have no preemptive rights. The board of directors of BXP could authorize the issuance of preferred stock with terms and conditions that could have the effect of discouraging a takeover or other transaction that holders of BXP common stock might believe to be in their best interests or in which holders of some, or a majority, of BXP common stock might receive a premium for their shares over the then market price of BXP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50422_10"/>
      <w:bookmarkEnd w:id="22"/>
      <w:r>
        <w:rPr>
          <w:rFonts w:ascii="Times New Roman" w:hAnsi="Times New Roman"/>
          <w:b/>
          <w:sz w:val="20"/>
        </w:rPr>
        <w:t xml:space="preserve">DESCRIPTION OF PREFERRED STOCK OF BXP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shares of BXP’s preferred stock that we may offer by this prospectus. BXP may issue preferred stock in one or more series; each series of preferred stock will have its own rights and preferences. We will describe in a prospectus supplement (1) the specific terms of the series of any preferred stock offered through that prospectus supplement and (2) any general terms outlined in this section that will not apply to those shares of preferred stock. This summary of terms is not complete. For additional information before you buy any preferred stock you should read the certificate of incorporation and by-laws of BXP that are in effect on the date that we offer any preferred stock, as well as any applicable amendment to our certificate of incorporation designating the terms of a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its certificate of incorporation, BXP has the authority to issue up to 50,000,000 shares of preferred stock, par value $0.01 per share. Prior to issuing shares of preferred stock of a particular series, our board of directors will determine or fix the terms of that series of preferred stock,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they will be fully paid and nonassessable. This means the full purchase price for the outstanding preferred stock will be paid at issuance and that the purchasers of shares of preferred stock will not be required later to pay us any additional consideration for those shares. The preferred stock will have no preemptive rights to subscribe for any additional securities which we may issue in the future. This means that the purchasers of shares of preferred stock will not receive any rights, as a holder of preferred stock, to buy any portion of the securities which we may issue in the future. Because our board of directors has the power to establish the preferences and rights of each class or series of preferred stock, our board of directors may grant the holders of any series or class of preferred stock preferences, powers, and rights, voting or otherwise, senior to the rights of holders of shares of common stock. The issuance or possibility of issuance of preferred stock could have the effect of delaying or preventing a change in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stock will have the dividend, liquidation, redemption, voting, and conversion rights described in this section unless we state otherwise in the applicable prospectus supplement. The liquidation preference is not indicative of the price at which the preferred stock will actually trade on or after the date of issuance. You should read the prospectus supplement relating to the particular series of preferred stock for specific terms,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liquidation preference of such preferred stock and the number of shares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offering price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or rates (or method of calculation), the dividend periods, the date(s) on which dividends will be payable and whether the dividends will be cumulative or noncumulative, and, if cumulative, the dates from which the dividends will start to 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such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 of federal income tax considerations applicable to such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ranking and preference of such preferred stock as to dividend rights and rights upon liquidation, dissolution, or winding up of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series of preferred stock ranking senior to or on a parity with such series of preferred stock as to dividend rights and rights upon liquidation, dissolution, or winding up of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direct or beneficial ownership and restrictions on transfer, in each case as may be appropriate to preserve our status as a REIT.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Rank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each series of preferred stock will, with respect to dividend rights and rights upon liquidation, dissolution, or winding up of our business, rank: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our common stock and any of our other equity securities ranking junior to such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which according to their terms rank on a parity with such series of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which according to their terms rank senior to such series of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any convertible debt securities BXP may issue.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shares of preferred stock, you will be entitled to receive cash dividends, if declared by our board of directors, out of our assets that we can legally use to pay dividends. The prospectus supplement relating to a particular series of preferred stock will state the dividend rate or rates (or method of calculation) and dates on which the dividends will be payable for such series. We will pay dividends to the holders of record as they appear on our stock transfer books on the record dates fixed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state whether the dividends on any series of preferred stock are cumulative or non-cumulative. Dividends, if cumulative, will accumulate from and after the dates stated in the applicable prospectus supplement. If our board of directors does not declare a dividend payable on a dividend payment date on any series of preferred stock for which dividends are non-cumulative, then the holders of such series of preferred stock will have no right to receive a dividend for the dividend period ending on such dividend payment date, and we will not be obligated to pay the dividend accrued for such period, even if our board of directors declares a dividend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 dividend on any class or series of stock ranking as to dividends equal with or junior to a series of preferred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has a cumulative dividend, full cumulative dividends have been or contemporaneously are declared and paid (or declared and sufficient money is set apart for payment);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full dividends for the then current dividend period have been or contemporaneously are declared and paid (or declared and sufficient money is set apart for the payment).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at any time full dividends will not be paid (or declared and sufficient money set apart for payment) on all shares of preferred stock ranking equal as to dividends,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declare any dividends pro rata among all shares of preferred stock ranking equal as to dividends. This means that the dividends we declare per share on each series of such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will not include any accumulation in respect of unpaid dividends for prior dividend periods if such preferred stock does not have a cumulative dividend, will bear the same relationship to each other that the full accrued dividends per share on each such series of preferred stock bear to each other;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pro rata dividends, we will not declare or pay any dividends or set any money aside for payment of dividends, except dividends paid in the form of securities ranking junior to the preferred stock as to dividends and upon liquidation, or declare or make any distributions upon any security ranking junior to or equal with the preferred stock as to dividends or upon liquidation;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redeem, purchase, or otherwise acquire, or set aside money for a sinking fund for, any securities ranking junior to or equal with the preferred stock as to dividends or upon liquidation, except by conversion into or exchange for shares junior to the preferred stock as to dividends and upon liquidation.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 series of preferred stock may be redeemable, in whole or in part, at our option and may be subject to mandatory redemption pursuant to a sinking fund, or otherwise, as we may describe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series of preferred stock is subject to mandatory redemption, we will specify the following in the applicable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such mandatory redemption shall commence and the number of shares of such preferred stock that we will redeem each year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redemption price will be paid in cash or other property together with an amount equal to all accrued and unpaid dividends, which shall not include any accumulation in respect of unpaid dividends for prior dividend periods if such preferred stock does not have a cumulative dividend, to the date of redemption.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only permitted to pay the redemption price of a series of preferred stock from the net proceeds of the issuance of shares of our capital stock and the proceeds from such issuance are insufficient or no such issuance has occurred, then the terms of that series may provide that such preferred stock will automatically and mandatorily be converted into shares of our capital stock pursuant to conversion provisions which we will specify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Even if the terms of a series of preferred stock permit us to redeem such shares of preferred stock in whole or in part, if any dividends, including accumulated dividends, on that series are past due,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any preferred stock of that series unless we simultaneously redeem all outstanding shares of preferred stock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otherwise acquire any preferred stock of that series, except by conversion into or exchange for shares of our capital stock ranking junior to such preferred stock as to dividends and upon liquidation.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prohibitions regarding redemption discussed in the prior sentence will not restrict us from purchasing or acquiring preferred stock of any series to preserve our REIT status or pursuant to a purchase or exchange offer made on the same terms to all holders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If fewer than all of the outstanding shares of any series of preferred stock are to be redeemed, our board of directors will determine the number of shares to be redeemed. Except when such redemption is to preserve our status as a REIT, we may redeem the shares pro rata from the holders of record in proportion to the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shares held by them or for which such holder requested redemption, with adjustments to avoid redemption of fractional shares, or by any other equitable manner that we determine. </w:t>
      </w:r>
    </w:p>
    <w:p>
      <w:pPr>
        <w:pStyle w:val="TextBody"/>
        <w:bidi w:val="0"/>
        <w:spacing w:before="240" w:after="0"/>
        <w:jc w:val="left"/>
        <w:rPr>
          <w:rFonts w:ascii="Times New Roman" w:hAnsi="Times New Roman"/>
          <w:sz w:val="20"/>
        </w:rPr>
      </w:pPr>
      <w:r>
        <w:rPr>
          <w:rFonts w:ascii="Times New Roman" w:hAnsi="Times New Roman"/>
          <w:sz w:val="20"/>
        </w:rPr>
        <w:t xml:space="preserve">We will give notice of redemption by mailing a notice to each record holder of shares to be redeemed between 30 and 60 days prior to the date fixed for redemption. Each notice shall state: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holders of such preferred stock may surrender the certificates for payment of the redemption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the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upon which the holder’s conversion rights, if any, will terminate.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redeem fewer than all shares of any series of preferred stock, we will specify in the notice to each holder the number of shares to be redeemed from such holder. If we have given notice of redemption of any preferred stock and we have set aside the funds necessary for the payment of the redemption price, then beginning on the redemption date, the dividends on the preferred stock called for redemption will no longer accrue, and the holders will no longer have any rights as stockholders except to receive the redemption price.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if we voluntarily or involuntarily liquidate, dissolve, or wind up our business, the holders of each series of preferred stock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liquidating distributions, if any, in the amount or proportion stated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accrued and unpaid dividends, which will not include any accumulation in respect of unpaid dividends for prior dividend periods if such preferred stock does not have a cumulative dividend.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pay these amounts to the holders of shares of each series of preferred stock, and all amounts owing on any other class or series of our capital stock ranking senior to or equally with such series of preferred stock as to distributions upon liquidation, out of our assets legally available for distribution to our stockholders before we make any distribution or payment to holders of any of our securities ranking junior to such series of preferred stock. After we pay the full amount of the liquidating distributions to the holders of preferred stock to which they are entitled, such holders will have no right or claim to any of our remaining assets. </w:t>
      </w:r>
    </w:p>
    <w:p>
      <w:pPr>
        <w:pStyle w:val="TextBody"/>
        <w:bidi w:val="0"/>
        <w:spacing w:before="240" w:after="0"/>
        <w:jc w:val="left"/>
        <w:rPr>
          <w:rFonts w:ascii="Times New Roman" w:hAnsi="Times New Roman"/>
          <w:sz w:val="20"/>
        </w:rPr>
      </w:pPr>
      <w:r>
        <w:rPr>
          <w:rFonts w:ascii="Times New Roman" w:hAnsi="Times New Roman"/>
          <w:sz w:val="20"/>
        </w:rPr>
        <w:t xml:space="preserve">If we voluntarily or involuntarily liquidate, dissolve or wind up our business and our available assets are insufficient to pay the amount of the liquidating distributions on all outstanding shares of each series of preferred stock and any other shares of our stock ranking senior to or equal with such series as to any such distribution, then we will only make pro rata distributions to the holders of all shares ranking equal as to distributions upon dissolution, liquidation or winding up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have paid the full liquidation preference to all holders of preferred stock, we will distribute our remaining assets among the holders of any other classes or series of our capital stock ranking junior to the preferred stock upon liquidation, dissolution or winding up of our business, according to their respective rights and preferences. For such purposes, our consolidation with or into any other corporation, trust or entity, or the sale, lease or conveyance of all or substantially all of our property or business, will not be considered a liquidation, dissolution or winding up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As a holder of preferred stock, you will not have any voting rights, except as we describe in this section or in the applicable prospectus supplement or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otherwise for any series of preferred stock, unless we receive the consent of a majority of all the outstanding shares of such series of preferred stock, we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create, or increase the authorized or issued amount of, any class or series of shares of capital stock ranking senior to such series of preferred stock with respect to payment of dividends or the distribution of assets upon liquidation, dissolution, or winding up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any authorized capital stock into such shares of capital stock ranking senior to such series of preferred stock with respect to payment of dividends or the distribution of assets upon liquidation, dissolution, or winding up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authorize or issue any obligation or security convertible into or evidencing the right to purchase shares of capital stock ranking senior to such series of preferred stock with respect to payment of dividends or the distribution of assets upon liquidation, dissolution or winding up of our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alter or repeal our certificate of incorporation, whether by merger, consolidation or otherwise, so as to materially and adversely affect any right, preference, privilege or voting power of such series of preferred stock or the holders of that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holder of preferred stock, you may give your consent in person or by proxy, either in writing or at a meeting with each series voting separately as a class. We are not required to obtain your consent, as a holder of preferred stock, for the following actions because they will be deemed not to adversely affect any right, preference, or voting power of your series of preferred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upon the amendment, alteration, or repeal our certificate of incorporation, whether by merger, consolidation or otherwise, your series of preferred stock remains outstanding with its terms materially unchanged, taking into account that, upon the occurrence of such an event, we may not be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 in the amount of the authorized preferred stock, or the creation or issuance of any other series of preferred stock, provided such series of preferred stock ranks equal with or junior to your series of preferred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 in the amount of authorized shares of a series of preferred stock, in each case ranking equal with or junior to the preferred stock of such series with respect to payment of dividends, or the distribution of our assets upon liquidation, dissolution or winding-up of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voting provisions will not apply if we redeem or call for redemption all shares of a series of preferred stock outstanding at or prior to the time when the act with respect to which such vote would otherwise be required shall be effected. All outstanding shares of a series of preferred stock will be deemed to have been redeemed or called for redemption provided sufficient funds will have been deposited in trust to effect such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specify in the applicable prospectus supplement the terms and conditions, if any, upon which any series of preferred stock is convertible into common stock or preferred stock of a different series or exchangeable for other securities. Such terms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preferred stock or other securities to be received on conversion or exchange of each share of such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price or rate or method of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conversion or exchange is at our option and/or at the option of the holder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resulting in adjustment of the conversion or exchange price or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of conversion or exchange in the event we call for redemption such series of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For us to qualify as a REIT under the Code, no more than 50% in value of our outstanding stock may be owned, actually or constructively, by five or fewer individuals during the last half of a taxable year. To assist us in meeting this requirement, we may take actions including the automatic conversion of shares in excess of this ownership restriction into excess stock to limit the ownership of our outstanding equity securities, actually or constructively, by one person or entity. See “Limits on Ownership of BXP Capital Stock” beginning on page 41.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We will name the transfer agent and registrar for the preferred stock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50422_11"/>
      <w:bookmarkEnd w:id="23"/>
      <w:r>
        <w:rPr>
          <w:rFonts w:ascii="Times New Roman" w:hAnsi="Times New Roman"/>
          <w:b/>
          <w:sz w:val="20"/>
        </w:rPr>
        <w:t xml:space="preserve">DESCRIPTION OF STOCK PURCHASE CONTRACTS OF BXP </w:t>
      </w:r>
    </w:p>
    <w:p>
      <w:pPr>
        <w:pStyle w:val="TextBody"/>
        <w:bidi w:val="0"/>
        <w:spacing w:before="240" w:after="0"/>
        <w:jc w:val="left"/>
        <w:rPr>
          <w:rFonts w:ascii="Times New Roman" w:hAnsi="Times New Roman"/>
          <w:sz w:val="20"/>
        </w:rPr>
      </w:pPr>
      <w:r>
        <w:rPr>
          <w:rFonts w:ascii="Times New Roman" w:hAnsi="Times New Roman"/>
          <w:sz w:val="20"/>
        </w:rPr>
        <w:t xml:space="preserve">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50422_12"/>
      <w:bookmarkEnd w:id="24"/>
      <w:r>
        <w:rPr>
          <w:rFonts w:ascii="Times New Roman" w:hAnsi="Times New Roman"/>
          <w:b/>
          <w:sz w:val="20"/>
        </w:rPr>
        <w:t xml:space="preserve">DESCRIPTION OF DEPOSITARY SHARES OF BXP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BXP,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our depositary shares set forth below is not complete. The prospectus supplement relating to any particular securities offered will describe the specific terms of the securities, which may be in addition to or different from the general terms summarized in this prospectus. You should refer to the applicable prospectus supplement, provisions of the deposit agreement and the depositary receipts that will be filed with the SEC as part of the offering of any depositary shares. To obtain copies of these documents,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Whenever the depositary receives any cash dividend or other cash distribution on the applicable series of preferred stock, the depositary will distribute to record holders of the depositary shares such amounts of such dividend or distribution as are, as nearly as practicable, in proportion to the respective numbers of depositary shares held by such holders on the relevant record date, which will be the same date as the record date fixed by us for the applicable series of preferred stock; provided, however, that in case we or the depositary are required to withhold and do withhold from any cash dividend or other cash distribution in respect of the applicable series of preferred stock an amount on account of taxes or as otherwise required by law, regulation or court process, the amount made available for distribution or distributed in respect of depositary shares will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Further, whenever the depositary receives any distribution other than cash, rights, preferences or privileges upon the applicable series of preferred stock, the depositary will distribute to record holders of the depositary shares such amounts of the securities or property received by it as are, as nearly as practicable, in proportion to the respective numbers of depositary shares held by such holders on the relevant record date, in any manner that the depositary and we may deem equitable and practicable for accomplishing such distribution. If for any reason the depositary, after consultation with us, deems such distribution not to be feasible, the depositary may, with our approval, adopt such method as it deems equitable and practicable for the purpose of effecting such distribution, including the sale (at a public or a private sale) of the securities or property thus received, or any part thereof, at any place or places and upon such terms as it may deem equitable and appropriate, and will distribute the net proceeds from such sale to such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Shares </w:t>
      </w:r>
    </w:p>
    <w:p>
      <w:pPr>
        <w:pStyle w:val="TextBody"/>
        <w:bidi w:val="0"/>
        <w:spacing w:before="120" w:after="0"/>
        <w:jc w:val="left"/>
        <w:rPr>
          <w:rFonts w:ascii="Times New Roman" w:hAnsi="Times New Roman"/>
          <w:sz w:val="20"/>
        </w:rPr>
      </w:pPr>
      <w:r>
        <w:rPr>
          <w:rFonts w:ascii="Times New Roman" w:hAnsi="Times New Roman"/>
          <w:sz w:val="20"/>
        </w:rPr>
        <w:t xml:space="preserve">Any holder of depositary shares representing any number of whole shares of preferred stock may (unless such depositary shares have previously been called for redemption) withdraw the shares of preferred stock and all money and other property, if any, represented thereby in accordance with the deposit agreement and after paying any unpaid amount due to the depositary. Thereafter, without unreasonable delay, the depositary shall deliver to such holder or to the person or persons designated by such holder, the number of whole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all money and other property, if any, represented by the depositary shares so surrendered for withdrawal. Holders of such whole shares of preferred stock will not thereafter be entitled to deposit such shares with the depositary or receive depositary shares therefor.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in Trust </w:t>
      </w:r>
    </w:p>
    <w:p>
      <w:pPr>
        <w:pStyle w:val="TextBody"/>
        <w:bidi w:val="0"/>
        <w:spacing w:before="120" w:after="0"/>
        <w:jc w:val="left"/>
        <w:rPr>
          <w:rFonts w:ascii="Times New Roman" w:hAnsi="Times New Roman"/>
          <w:sz w:val="20"/>
        </w:rPr>
      </w:pPr>
      <w:r>
        <w:rPr>
          <w:rFonts w:ascii="Times New Roman" w:hAnsi="Times New Roman"/>
          <w:sz w:val="20"/>
        </w:rPr>
        <w:t xml:space="preserve">If an event occurs as a result of which the applicable certificate of designations provides that shares of preferred stock are to be automatically transferred to a trust, then (1) immediately prior to such transfer, depositary shares corresponding to such shares of preferred stock shall be automatically transferred to a separate trust and all provisions of the applicable certificate of designations relating to a trust holding shares of preferred stock, the shares of preferred stock so held and the rights and obligations of all other persons with respect to such shares of preferred stock (including any person who, but for such provisions, would beneficially own or constructively own (as such terms are defined in the certificate of incorporation) such shares of preferred stock) shall apply in the same manner to such separate trust holding the depositary shares, the depositary shares so held and the rights and obligations of all other persons with respect to such depositary shares and (2) such shares of preferred stock shall not be automatically transferred to a trust unless required by the applicable certificate of designations after giving effect to such automatic transfer of the depositary shares to a separate trust.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Whenever we elect to redeem shares of preferred stock, the depositary will redeem, as of the same redemption date, the number of depositary shares representing such shares of preferred stock to be so redeemed. The depositary will mail notice of our redemption of the shares of preferred stock and the proposed simultaneous redemption of the depositary shares by first-class mail, postage pre-paid, promptly upon the depositary’s receipt of our notice to redeem the shares of preferred stock to the record holders of the depositary shares to be so redeemed. On the date of such redemption, provided that we will then have paid or caused to be paid in full to the depositary the redemption price of the shares of preferred stock to be redeemed, plus an amount equal to all accrued and unpaid dividends (whether or not declared) thereon up to, but excluding the date fixed for redemption, without interest, the depositary shall redeem the number of depositary shares representing such redeemed shares of preferred stock. If fewer than all outstanding depositary shares corresponding to a series of preferred stock are to be redeemed, the depositary shares to be redeemed shall be determined pro rata, by lot, or by other equitable method determined by us. Notwithstanding anything else to the contrary contained therein, no notice shall be required to be provided in the event the depositary shares are redeemed in accordance with the terms of the applicable certificate of designations regarding the preservation of our status as a REIT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Notice having been mailed as set forth in the above paragraph, from and after the date fixed for redemption (unless we have failed to provide the funds necessary to redeem the shares of preferred stock evidenced by the depositary shares called for redemption), (1) dividends on the shares of preferred stock so called for redemption shall cease to accrue from and after such date, (2) the depositary shares being redeemed shall be deemed no longer to be outstanding, and (3) all rights of the holders of such depositary shares (except the right to receive the redemption price) shall, to the extent of such depositary shares, terminate. Such depositary shares will be redeemed by the depositary at the established redemption price per depositary share plus a corresponding fraction of all money and other property, if any, represented by such depositary shares, including all amounts paid by us in respect of dividends which on the date fixed for redemption have accrued on the shares of preferred stock to be so redeemed and have not theretofore been paid. Subject to applicable escheat laws, any funds deposited by us with the depositary for any depositary shares that the holders thereof fail to redeem will be returned to us at the end of two years from the date fixed for redemption, after which reversion the holders of such depositary shares so called for redemption shall look to our general funds for the payment of such cash.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Other Rights </w:t>
      </w:r>
    </w:p>
    <w:p>
      <w:pPr>
        <w:pStyle w:val="TextBody"/>
        <w:bidi w:val="0"/>
        <w:spacing w:before="120" w:after="0"/>
        <w:jc w:val="left"/>
        <w:rPr>
          <w:rFonts w:ascii="Times New Roman" w:hAnsi="Times New Roman"/>
          <w:sz w:val="20"/>
        </w:rPr>
      </w:pPr>
      <w:r>
        <w:rPr>
          <w:rFonts w:ascii="Times New Roman" w:hAnsi="Times New Roman"/>
          <w:sz w:val="20"/>
        </w:rPr>
        <w:t xml:space="preserve">As soon as practicable after receipt of notice of any meeting at which the holders of a series of preferred stock are entitled to vote, the depositary will mail to the record holders of depositary shares corresponding to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preferred stock as of the record date for such meeting a notice, which will contain (1) such information as is contained in such notice of meeting, (2) a statement that the holders may, subject to any applicable restrictions, instruct the depositary as to the exercise of the voting rights pertaining to the applicable series of preferred stock represented by their respective depositary shares, and (3) a brief statement as to the manner in which such instructions may be given. Upon the written request of a holder of depositary shares on such record date, the depositary shall use its best efforts to vote or cause to be voted, in accordance with the instructions set forth in such request, the shares of preferred stock represented by such holders’ depositary shares. We will take all action that may be deemed reasonably necessary by the depositary in order to enable the depositary to do so. In the absence of specific instructions from the holder of the depositary shares, the depositary will abstain from voting to the extent of the shares of preferred stock represented by such depositary shares. In addition, to the extent holders of the shares of preferred stock may exercise other rights pursuant to the certificate of incorporation (including the applicable certificate of designations), then, upon the written request of holders of the depositary shares corresponding to such shares of preferred stock, the depositary shall use its best efforts to exercise such rights on behalf of such holders. The requesting holders shall be responsible for any costs, expenses and liabilities associated with the depositary’s exercise of any such rights on behalf of such holders, and the depositary will not be required to take any action unless the requesting holders have provided advanced payment or offered to the depositary indemnity satisfactory to the depositary, in its sole discretion, against the costs, expenses and liabilities to be incurred in compliance with such request.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winding-up, whether voluntary or involuntary, each holder of depositary shares will be entitled to the fraction of the liquidation preference accorded the preferred stock represented by such depositary shares,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shares, as such, are not convertible into or exchangeable for common stock or any other securities or property. Nevertheless, if so specified in the applicable prospectus supplement relating to an offering of depositary shares, the depositary shares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the deposit agreement may at any time and from time to time be amended by agreement between us and the depositary in any respect that we and the depositary may deem necessary or desirable; provided, however, that no such amendment (other than any changes in the fees of any depositary or the registrar, which shall go into effect not sooner than three months after notice thereof to the holders of the depositary shares) that materially adversely alters the rights of holders of depositary shares shall be effective unless such amendment shall have been approved by the holders of at least two-thirds of the depositary shares. Notwithstanding the foregoing, in no event may any amendment impair the right of any holder of any depositary shares, upon surrender of such depositary shares and subject to any conditions specified in the deposit agreement, to receive shares of preferred stock and any money or other property represented thereby, except in order to comply with mandatory provisions of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deposit agreement may be terminated by us at any time upon not less than 60 days’ prior written notice to the depositary, in which case, on a date that is not later than 30 days after the date of such notice, the depositary will deliver or make available for delivery to holders of depositary shares, such number of whole or fractional shares as are represented by such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 agreement, except such charges as are expressly provided in the deposit agreement to be at the expense of holders of depositary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at any time remove the depositary by delivering to the depositary notice of such removal,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$50,000,000.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Ownership </w:t>
      </w:r>
    </w:p>
    <w:p>
      <w:pPr>
        <w:pStyle w:val="TextBody"/>
        <w:bidi w:val="0"/>
        <w:spacing w:before="120" w:after="0"/>
        <w:jc w:val="left"/>
        <w:rPr>
          <w:rFonts w:ascii="Times New Roman" w:hAnsi="Times New Roman"/>
          <w:sz w:val="20"/>
        </w:rPr>
      </w:pPr>
      <w:r>
        <w:rPr>
          <w:rFonts w:ascii="Times New Roman" w:hAnsi="Times New Roman"/>
          <w:sz w:val="20"/>
        </w:rPr>
        <w:t xml:space="preserve">In order to safeguard us against an inadvertent loss of REIT status, the deposit agreement will contain provisions restricting the ownership and transfer of depositary shares. These restrictions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furnish to holders of depositary shares copies of any reports and communications received from us that are received by the depositary as the holder of the shares of preferred stock represented by such deposit shares. The depositary will keep books at the depositary’s office (as defined in the deposit agreement) for the registration and registration of transfer, surrender and exchange of depositary shares, which books at all reasonable times will be open for inspection by the record holders of depositary shares; provided that any such holder requesting to exercise such right shall certify to the depositary that such inspection shall be for a proper purpose reasonably related to such person’s interest as an owner of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None of the depositary, any depositary’s agent (as defined in the deposit agreement), the registrar or us shall incur any liability to any holder of depositary shares, if by reason of any provision of any present or future law, or regulation thereunder, of the United States or any other governmental authority or, in the case of the depositary, any depositary’s agent or the registrar, by reason of any provision, present or future, of the certificate of incorporation or the applicable certificate of designations or by reason of any act of war or other circumstance beyond the control of the relevant party, the depositary, any depositary’s agent, the registrar or the Company shall be prevented, delayed or forbidden from, or subjected to any penalty on account of, doing or performing any act or thing which the terms of the deposit agreement provide shall be done or performed; nor shall the depositary, any depositary’s agent, the registrar or the Company incur liability to any holder of depositary shares (1) by reason of any nonperformance or delay, caused as aforesaid, in the performance of any act or thing that the terms of the deposit agreement shall provide shall or may be done or performed, or (2) by reason of any exercise of, or failure to exercise, any discretion provided for in the deposit agreement except, in the case of any such exercise or failure to exercise discretion not caused as aforesaid, if caused by the gross negligence, willful misconduct or bad faith of the party charged with such exercise or failure to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50422_13"/>
      <w:bookmarkEnd w:id="25"/>
      <w:r>
        <w:rPr>
          <w:rFonts w:ascii="Times New Roman" w:hAnsi="Times New Roman"/>
          <w:b/>
          <w:sz w:val="20"/>
        </w:rPr>
        <w:t xml:space="preserve">DESCRIPTION OF WARRANTS OF BXP </w:t>
      </w:r>
    </w:p>
    <w:p>
      <w:pPr>
        <w:pStyle w:val="TextBody"/>
        <w:bidi w:val="0"/>
        <w:spacing w:before="240" w:after="0"/>
        <w:jc w:val="left"/>
        <w:rPr>
          <w:rFonts w:ascii="Times New Roman" w:hAnsi="Times New Roman"/>
          <w:sz w:val="20"/>
        </w:rPr>
      </w:pPr>
      <w:r>
        <w:rPr>
          <w:rFonts w:ascii="Times New Roman" w:hAnsi="Times New Roman"/>
          <w:sz w:val="20"/>
        </w:rPr>
        <w:t xml:space="preserve">BXP may issue warrants for the purchase of BXP’s preferred stock or common stock offered by this prospectus. Warrants may be issued independently, together with any other securities offered by any prospectus supplement or through a dividend or other distribution to the stockholders of BXP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 In the applicable prospectus supplement, we will describe the terms of the warrants and applicable warrant agreement, including, where applicable,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their aggregate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we will issue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preferred stock or common stock that can be purchased upon exercise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other securities, if any,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they and the related preferred stock or common stock, if any,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each share of preferred stock or common stock that can be purchased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them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transferability,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50422_14"/>
      <w:bookmarkEnd w:id="26"/>
      <w:r>
        <w:rPr>
          <w:rFonts w:ascii="Times New Roman" w:hAnsi="Times New Roman"/>
          <w:b/>
          <w:sz w:val="20"/>
        </w:rPr>
        <w:t xml:space="preserve">LIMITS ON OWNERSHIP OF BXP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limits on ownership of BXP capital stock contained in BXP’s certificate of incorporation that affect BXP and its stockholders. The description below is intended as only a summary. You can access complete information by referring to BXP’s certificate of incorporation, and the following summary is qualified in its entirety by reference to such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Limits </w:t>
      </w:r>
    </w:p>
    <w:p>
      <w:pPr>
        <w:pStyle w:val="TextBody"/>
        <w:bidi w:val="0"/>
        <w:spacing w:before="120" w:after="0"/>
        <w:jc w:val="left"/>
        <w:rPr>
          <w:rFonts w:ascii="Times New Roman" w:hAnsi="Times New Roman"/>
          <w:sz w:val="20"/>
        </w:rPr>
      </w:pPr>
      <w:r>
        <w:rPr>
          <w:rFonts w:ascii="Times New Roman" w:hAnsi="Times New Roman"/>
          <w:sz w:val="20"/>
        </w:rPr>
        <w:t xml:space="preserve">For BXP to qualify as a REIT under the Code, among other things, not more than 50% in value of BXP outstanding stock may be owned, actually or constructively, by five or fewer individuals during the last half of a taxable year, and BXP outstanding stock must be beneficially owned by 100 or more persons during at least 335 days of a taxable year of 12 months or during a proportionate part of a shorter taxable year. In order to protect BXP against the risk of losing its status as a REIT and to otherwise protect it from the consequences of a concentration of ownership among the stockholders of BXP, the certificate of incorporation of BXP provides that generally no holder may beneficially own more than 6.6% of any class or series of our stock. Under the certificate of incorporation of BXP, a person generally “beneficially owns” shares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has direct ownership of the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has indirect ownership of the shares taking into account the constructive ownership rules of Section 544 of the Code, as modified by Section 856(h)(1)(B)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would be deemed to beneficially own the shares pursuant to Rule 13d-3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BXP provides two exceptions to the 6.6% ownership limit.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15% Related Party Ownership Limit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of BXP provides that Mr. Mortimer B. Zuckerman, together with his heirs, legatees and devisees, and any other person who beneficially owns shares of our stock that are also deemed to be beneficially owned by Mr. Zuckerman or his heirs, legatees or devisees, are subject to an aggregate ownership limit with respect to each class or series of our stock of 15%. The heirs, legatees and devisees of Mr. Edward H. Linde, and any other person who beneficially owns shares of our stock that are also deemed to be beneficially owned by Mr. E. Linde’s heirs, legatees or devisees, are subject to an aggregate ownership limit with respect to each class or series of our stock of 15%. </w:t>
      </w:r>
    </w:p>
    <w:p>
      <w:pPr>
        <w:pStyle w:val="TextBody"/>
        <w:bidi w:val="0"/>
        <w:spacing w:before="360" w:after="0"/>
        <w:jc w:val="left"/>
        <w:rPr>
          <w:rFonts w:ascii="Times New Roman" w:hAnsi="Times New Roman"/>
          <w:b/>
          <w:i/>
          <w:sz w:val="20"/>
        </w:rPr>
      </w:pPr>
      <w:r>
        <w:rPr>
          <w:rFonts w:ascii="Times New Roman" w:hAnsi="Times New Roman"/>
          <w:b/>
          <w:i/>
          <w:sz w:val="20"/>
        </w:rPr>
        <w:t xml:space="preserve">15% Look-Through Entity Ownership Limit </w:t>
      </w:r>
    </w:p>
    <w:p>
      <w:pPr>
        <w:pStyle w:val="TextBody"/>
        <w:bidi w:val="0"/>
        <w:spacing w:before="120" w:after="0"/>
        <w:jc w:val="left"/>
        <w:rPr>
          <w:rFonts w:ascii="Times New Roman" w:hAnsi="Times New Roman"/>
          <w:sz w:val="20"/>
        </w:rPr>
      </w:pPr>
      <w:r>
        <w:rPr>
          <w:rFonts w:ascii="Times New Roman" w:hAnsi="Times New Roman"/>
          <w:sz w:val="20"/>
        </w:rPr>
        <w:t xml:space="preserve">Trusts described in Section 401(a) of the Code and exempt from tax under Section 501(a) of the Code, as modified by Section 856(h)(3) of the Code, and entities registered under the Investment Company Act of 1940 are subject to an ownership limit of 15%. These types of entities are among the entities that are not treated as stockholders under the requirement that not more than 50% in value of BXP outstanding stock be owned by five or fewer individuals during the last half of a taxable year other than our first year. Rather, the beneficial owners of these entities will be counted as stockholders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board of directors of BXP may, in its sole discretion, waive the foregoing ownership limits if evidence satisfactory to the board of directors is presented that the changes in ownership will not jeopardize BXP’s status as a REIT and the board of directors otherwise determines that such action is in the best interests of BXP. </w:t>
      </w:r>
    </w:p>
    <w:p>
      <w:pPr>
        <w:pStyle w:val="TextBody"/>
        <w:bidi w:val="0"/>
        <w:spacing w:before="240" w:after="0"/>
        <w:jc w:val="left"/>
        <w:rPr>
          <w:rFonts w:ascii="Times New Roman" w:hAnsi="Times New Roman"/>
          <w:sz w:val="20"/>
        </w:rPr>
      </w:pPr>
      <w:r>
        <w:rPr>
          <w:rFonts w:ascii="Times New Roman" w:hAnsi="Times New Roman"/>
          <w:sz w:val="20"/>
        </w:rPr>
        <w:t xml:space="preserve">These ownership limitations may have the effect of precluding the acquisition of control of BXP.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Shares in Excess of Ownership Limits </w:t>
      </w:r>
    </w:p>
    <w:p>
      <w:pPr>
        <w:pStyle w:val="TextBody"/>
        <w:bidi w:val="0"/>
        <w:spacing w:before="120" w:after="0"/>
        <w:jc w:val="left"/>
        <w:rPr>
          <w:rFonts w:ascii="Times New Roman" w:hAnsi="Times New Roman"/>
          <w:sz w:val="20"/>
        </w:rPr>
      </w:pPr>
      <w:r>
        <w:rPr>
          <w:rFonts w:ascii="Times New Roman" w:hAnsi="Times New Roman"/>
          <w:sz w:val="20"/>
        </w:rPr>
        <w:t xml:space="preserve">Purported transfers of BXP stock or beneficial ownership of BXP stock that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violating the ownership limit applicable to that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BXP’s stock being beneficially owned by fewer than 100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being “closely held” within the meaning of Section 856(h)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constructively owning 10% or more of one of its tenants,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shall be null and void and of no effect with respect to the number of shares of stock that would cause such result. These shares will be converted automatically into an equal number of shares of our excess stock that will be transferred by operation of law to a trust for the benefit of a qualified charitable organization selected by BXP. Additionally, events other than purported transfers that would result in the occurrence of any of the events described above will result in a number of shares of stock sufficient to prevent the occurrence of such event converting into an equal number of shares of BXP’s excess stock and being transferred to the trust. As soon as practicable after the transfer of shares to the trust, the trustee of the trust will be required to sell the excess stock to a person who could own the shares without violating the applicable limits and distribute to the original transferee-stockholder an amount equal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the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dividends and other distributions received with respect to the excess stock prior to their sale by the trust and any proceeds from the sale by the trust in excess of the amount distributable to the original transferee-owner will be distributed to the beneficiary of the trust.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restrictions will not apply if the board of directors of BXP determines that it is no longer in the best interests of BXP to attempt to, or to continue to, qualify as a REIT. </w:t>
      </w:r>
    </w:p>
    <w:p>
      <w:pPr>
        <w:pStyle w:val="TextBody"/>
        <w:bidi w:val="0"/>
        <w:spacing w:before="360" w:after="0"/>
        <w:jc w:val="left"/>
        <w:rPr>
          <w:rFonts w:ascii="Times New Roman" w:hAnsi="Times New Roman"/>
          <w:b/>
          <w:sz w:val="20"/>
        </w:rPr>
      </w:pPr>
      <w:r>
        <w:rPr>
          <w:rFonts w:ascii="Times New Roman" w:hAnsi="Times New Roman"/>
          <w:b/>
          <w:sz w:val="20"/>
        </w:rPr>
        <w:t xml:space="preserve">Right to Purchase Excess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transfer restrictions, BXP has the right, for a period of 90 days during the time any shares of excess stock are held by the trust, to purchase all or any portion of these shares for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BXP stock on the date it exercises its option to purchase, which will be determined in the manner set forth in the certificate of incorporation of BXP.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90-day period begins on the date of the purported transfer or other event that resulted in the conversion of shares into excess stock if the original transferee-stockholder gives notice to BXP of such event or, if no notice is given, the date on which the board of directors of BXP determines that such event has occurred.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of Stock Ownership by the Stockholders of BXP </w:t>
      </w:r>
    </w:p>
    <w:p>
      <w:pPr>
        <w:pStyle w:val="TextBody"/>
        <w:bidi w:val="0"/>
        <w:spacing w:before="120" w:after="0"/>
        <w:jc w:val="left"/>
        <w:rPr>
          <w:rFonts w:ascii="Times New Roman" w:hAnsi="Times New Roman"/>
          <w:sz w:val="20"/>
        </w:rPr>
      </w:pPr>
      <w:r>
        <w:rPr>
          <w:rFonts w:ascii="Times New Roman" w:hAnsi="Times New Roman"/>
          <w:sz w:val="20"/>
        </w:rPr>
        <w:t xml:space="preserve">Each of the stockholders of BXP will be required to disclose to BXP upon demand in writing any information BXP may request to determine its status as a REIT and ensure compliance with the ownership limits.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50422_15"/>
      <w:bookmarkEnd w:id="27"/>
      <w:r>
        <w:rPr>
          <w:rFonts w:ascii="Times New Roman" w:hAnsi="Times New Roman"/>
          <w:b/>
          <w:sz w:val="20"/>
        </w:rPr>
        <w:t xml:space="preserve">IMPORTANT PROVISIONS OF DELAWARE LAW, BXP’S CERTIFICATE OF INCORPORATION AND BY-LAWS AND OTHER GOVERNANCE DOCUMENTS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important provisions of Delaware law, the certificate of incorporation and by-laws of BXP and other governance documents which affect BXP and its stockholders. The description below is intended as only a summary and to the extent that it describes the certificate of incorporation and by-laws of BXP, it is qualified in its entirety by reference to such documents. You can access complete information by referring to Delaware General Corporation Law, the certificate of incorporation and by-laws of BXP and the other governance documents referred to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Combinations with Interested Stockholders under Delaware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Delaware General Corporation Law prevents a publicly held corporation from engaging in a “business combination” with an “interested stockholder” for a period of three years after the date of the transaction in which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date on which the person became an interested stockholder, the board of directors of the corporation approved either the business combination or the transaction which resulted in the person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interested stockholder owned at least 85% of the outstanding voting stock of the corporation at the time the transaction commenced, excluding stock held by directors who are also officers of the corporation and by employee stock plans that do not provide participants with the rights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date on which the person became an interested stockholder, the business combination is approved by the board of directors and the holders of at least two-thirds of the voting stock of the corporation voting at a meeting, excluding the voting stock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defined in Section 203, the term “interested stockholder” is generally (1) a person who, together with affiliates and associates, owns 15% or more of a corporation’s outstanding voting stock or (2) a person who is an affiliate or associate of the corporation and was, together with affiliates and associates, the owner of 15% or more of a corporation’s outstanding voting stock within the past three years. As defined in Section 203, a “business combination” includes mergers, consolidations, stock and assets sales and other transactions with the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203 may have the effect of delaying, deferring or preventing a change of control of BXP.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Certificate of Incorporation and By-laws of BXP </w:t>
      </w:r>
    </w:p>
    <w:p>
      <w:pPr>
        <w:pStyle w:val="TextBody"/>
        <w:bidi w:val="0"/>
        <w:spacing w:before="120" w:after="0"/>
        <w:jc w:val="left"/>
        <w:rPr>
          <w:rFonts w:ascii="Times New Roman" w:hAnsi="Times New Roman"/>
          <w:sz w:val="20"/>
        </w:rPr>
      </w:pPr>
      <w:r>
        <w:rPr>
          <w:rFonts w:ascii="Times New Roman" w:hAnsi="Times New Roman"/>
          <w:sz w:val="20"/>
        </w:rPr>
        <w:t xml:space="preserve">Amendments to the certificate of incorporation of BXP must be approved by the affirmative vote of more than 75% of the directors then in office and generally by the vote of a majority of the votes entitled to be cast at a meeting of the stockholders of BXP. However, the affirmative vote of not less than 75% of BXP outstanding shares entitled to vote thereon, voting together as a single class, and the affirmative vote of not less than 75% of the outstanding shares of each class entitled to vote thereon, is required for amendments dealing with fundamental governance provisions of the certificate of incorporation of BXP, including provisions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stockholder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powers, election of, removal of and terms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of the by-laws or certificate of incorporation of BXP.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required by law, the board of directors of BXP may amend the by-laws of BXP by a majority vote of the directors of BXP then in office. The by-laws of BXP may also be amended at a meeting of stockholders by the affirmative vote of a majority of the shares present in person or represented by proxy at the meeting and entitled to be cast on such amendment, voting together as a single class, if the board of directors of BXP recommends the approval of the amendment. Otherwise, the by-laws of BXP may be amended at a meeting of stockholders by the affirmative vote of at least 75% of the outstanding shares of capital stock entitled to vote on such amendment,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Extraordinary Actions </w:t>
      </w:r>
    </w:p>
    <w:p>
      <w:pPr>
        <w:pStyle w:val="TextBody"/>
        <w:bidi w:val="0"/>
        <w:spacing w:before="120" w:after="0"/>
        <w:jc w:val="left"/>
        <w:rPr>
          <w:rFonts w:ascii="Times New Roman" w:hAnsi="Times New Roman"/>
          <w:sz w:val="20"/>
        </w:rPr>
      </w:pPr>
      <w:r>
        <w:rPr>
          <w:rFonts w:ascii="Times New Roman" w:hAnsi="Times New Roman"/>
          <w:sz w:val="20"/>
        </w:rPr>
        <w:t xml:space="preserve">Delaware law generally requires that BXP obtain the approval of a majority of the outstanding shares of BXP common stock that are entitled to vote before BXP may consolidate or merge with another corporation. However, Delaware law does not require that BXP seek approval of the stockholders of BXP to enter into a merger in which BXP is the surviving corporation following the merger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BXP is not amended in any respect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BXP stock outstanding prior to the merger is to be an identical share of stock following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shares of common stock (together with any other securities convertible into shares of common stock) to be issued or delivered as a result of the merger represent in the aggregate no more than 20% of the number of shares of BXP common stock outstanding immediately prior to the merger.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by-laws of BXP, BXP will hold annual meetings of its stockholders at a date and time as determined by the board of directors, Chairman, Chief Executive Officer or President of BXP. The by-laws of BXP require advance notice for the stockholders of BXP to make nominations of candidates for the board of directors of BXP or bring other business before an annual meeting of the stockholders of BXP. Only the board of directors of BXP can call special meetings of the stockholders of BXP and any special meeting is restricted to considering and acting upon matters set forth in the notice of that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Proxy Access </w:t>
      </w:r>
    </w:p>
    <w:p>
      <w:pPr>
        <w:pStyle w:val="TextBody"/>
        <w:bidi w:val="0"/>
        <w:spacing w:before="120" w:after="0"/>
        <w:jc w:val="left"/>
        <w:rPr>
          <w:rFonts w:ascii="Times New Roman" w:hAnsi="Times New Roman"/>
          <w:sz w:val="20"/>
        </w:rPr>
      </w:pPr>
      <w:r>
        <w:rPr>
          <w:rFonts w:ascii="Times New Roman" w:hAnsi="Times New Roman"/>
          <w:sz w:val="20"/>
        </w:rPr>
        <w:t xml:space="preserve">The by-laws of BXP include proxy access provisions that permit a stockholder, or group of no more than five stockholders, meeting specified eligibility requirements, to include director nominees in BXP’s proxy materials for annual meetings of its stockholders. In order to be eligible to utilize these proxy access provisions, a stockholder, or group of stockholders, must, among other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owned shares of common stock equal to at least 3% of the aggregate of the issued and outstanding shares of common stock of BXP continuously for at least the prior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 that such shares were acquired in the ordinary course of business and not with the intent to change or influence control at BXP and that such stockholder or group does not presently have such intent;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 notice requesting the inclusion of director nominees in BXP’s proxy materials and provide other required information to BXP not less than 120 days prior to the anniversary of the date of the proxy statement for the prior year’s annual meeting of stockholders (with adjustments if the date for the upcoming annual meeting of stockholders is more than 30 days before or more than 60 days after the anniversary date of the prior year’s annual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requirements, issued and outstanding common units of BPLP, other than those owned by BXP, BPLP or any of their directly or indirectly wholly owned subsidiaries and excluding issued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long term incentive units of BPLP, will be treated as issued and outstanding shares of common stock as such common units are generally economically equivalent to, and exchangeable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all director nominees submitted through these provisions must be independent and meet specified additional criteria, and stockholders will not be entitled to utilize this proxy access right at an annual meeting if BXP receives notice through its traditional advanced notice by-law provisions that a stockholder intends to nominate a director at such meeting. The maximum number of director nominees that may be submitted pursuant to these provisions may not exceed 25% of the number of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proxy access right is subject to additional eligibility, procedural and disclosure requirements set forth in the by-laws of BXP.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Each director of BXP holds office for a one-year term expiring at the next succeeding annual meeting of stockholders, or until his or her successor is duly elected and qualified or until his or her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BXP provides that the affirmative vote of more than 75% of the directors then in office is required to approve fundamental transactions or 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change of control of BXP or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to the limited partnership agreement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waiver of the limitations on ownership contained in the certificate of incorporation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or sale of all or substantially all of the assets of BXP or of BPLP;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issuances of equity securities by BXP (but not including, among others, underwritten public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or BPLP making a general assignment for the benefit of creditors or instituting any proceedings in bankruptcy or for the liquidation, dissolution, reorganization or winding up of either entity or consenting to the taking of any of these actions against either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of the certificate of incorporation of BXP;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conducting business other than through BPLP or for either of them to engage in any business other than the ownership, construction, development, management and operation of commercial real estate properties;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BXP’s status as a REIT.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 of Directors’ and Officers’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of incorporation of BXP contains a provision permitted by the Delaware General Corporation Law that generally eliminates the personal liability of directors for monetary damages for breaches of their fiduciary duty, including breaches involving negligence or gross negligence in business combinations, unless the director has breached his or her duty of loyalty, failed to act in good faith, engaged in intentional misconduct or a knowing violation of law, paid a dividend or approved a stock repurchase in violation of the Delaware General Corporation Law or obtained an improper personal benefit. This provision also provides that if the Delaware General Corporation Law is amended in the future to authorize corporate action further eliminating or limiting the personal liability of directors, then the liability of a director of BXP shall be eliminated or limited to the fullest extent permitted by the Delaware General Corporation Law, as so amended. This provision does not alter a director’s liability under the federal securities laws. In addition, this provision does not affect the availability of equitable remedies, including an injunction or rescission, for breach of fiduciary duty.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General Corporation Law permits a corporation to indemnify its directors, officers, employees or agents and expressly provides that the indemnification provided for under the Delaware General Corporation Law shall not be deemed exclusive of any indemnification right under any by-law, agreement, vote of stockholders or disinterested directors, or otherwise. The Delaware General Corporation Law permits indemnification against expenses and certain other liabilities arising out of legal actions brought or threatened against these persons for their conduct on behalf of a corporation, provided that each such person acted in good faith and in a manner that he or she reasonably believed was in or not opposed to the corporation’s best interests and, in the case of a criminal proceeding, provided each person had no reasonable cause to believe his or her conduct was unlawful. The Delaware General Corporation Law does not allow indemnification of directors in the case of an action by or in the right of a corporation unless the directors successfully defend the action or indemnification is ordered by the court. </w:t>
      </w:r>
    </w:p>
    <w:p>
      <w:pPr>
        <w:pStyle w:val="TextBody"/>
        <w:bidi w:val="0"/>
        <w:spacing w:before="240" w:after="0"/>
        <w:jc w:val="left"/>
        <w:rPr>
          <w:rFonts w:ascii="Times New Roman" w:hAnsi="Times New Roman"/>
          <w:sz w:val="20"/>
        </w:rPr>
      </w:pPr>
      <w:r>
        <w:rPr>
          <w:rFonts w:ascii="Times New Roman" w:hAnsi="Times New Roman"/>
          <w:sz w:val="20"/>
        </w:rPr>
        <w:t xml:space="preserve">The by-laws of BXP provide that its directors and officers will be, and, in the discretion of the board of directors of BXP, non-officer employees may be, indemnified to the fullest extent authorized by the Delaware General Corporation Law, as it now exists or may in the future be amended, against all expenses and liabilities actually and reasonably incurred in connection with service for or on behalf of our company. The by-laws of BXP also provide that the right of directors and officers to indemnification shall be a contract right and shall not be exclusive of any other right now possessed or hereafter acquired under any by-law, agreement, vote of stockholders,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BXP or BPLP pursuant to the foregoing provisions, BXP and BPLP have been informed that in the opinion of the staff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BXP and BPLP have entered into indemnification agreements with each of the directors and some of the officers of BXP The indemnification agreements require, among other things, that BXP and BPLP indemnify the directors and officers of BXP to the fullest extent permitted by law and advance to the directors and officers of BXP all related expenses, subject to reimbursement if it is subsequently determined that indemnification is not permitted. Under these agreements, BXP and BPLP must also indemnify and advance all expenses incurred by the directors and officers of BXP seeking to enforce their rights under the indemnification agreements and may cover the directors and officers of BXP under their directors’ and officers’ liability insurance. Although the form of indemnification agreement offers substantially the same scope of coverage afforded by law, it provides greater assurance to the directors and officers of BXP that indemnification will be available, because, as a contract, it cannot be modified unilaterally in the future by BXP’s board of directors or stockholders to eliminate the rights it provides.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by-laws of BXP generally provide that, unless BXP consents in writing to the selection of an alternative forum, the Court of Chancery of the State of Delaware shall be the sole and exclusive forum for any stockholder to bring (1) any derivative action or proceeding on behalf of BXP, (2) any action asserting a claim of, or a claim based on, breach of a fiduciary duty owed by any current or former director, officer, employee or stockholder of BXP to BXP or its stockholders, (3) any action asserting a claim against BXP or any current or former director, officer, employee or stockholder of BXP arising pursuant to any provision of the Delaware General Corporation Law or the certificate of incorporation or by-laws of BXP, or (4) any action asserting a claim against BXP or any current or former director, officer, employee or stockholder of BXP governed by the internal affairs doctrine. </w:t>
      </w:r>
    </w:p>
    <w:p>
      <w:pPr>
        <w:pStyle w:val="TextBody"/>
        <w:bidi w:val="0"/>
        <w:spacing w:before="360" w:after="0"/>
        <w:jc w:val="left"/>
        <w:rPr>
          <w:rFonts w:ascii="Times New Roman" w:hAnsi="Times New Roman"/>
          <w:b/>
          <w:sz w:val="20"/>
        </w:rPr>
      </w:pPr>
      <w:r>
        <w:rPr>
          <w:rFonts w:ascii="Times New Roman" w:hAnsi="Times New Roman"/>
          <w:b/>
          <w:sz w:val="20"/>
        </w:rPr>
        <w:t xml:space="preserve">BPLP Agreement </w:t>
      </w:r>
    </w:p>
    <w:p>
      <w:pPr>
        <w:pStyle w:val="TextBody"/>
        <w:bidi w:val="0"/>
        <w:spacing w:before="120" w:after="0"/>
        <w:jc w:val="left"/>
        <w:rPr>
          <w:rFonts w:ascii="Times New Roman" w:hAnsi="Times New Roman"/>
          <w:sz w:val="20"/>
        </w:rPr>
      </w:pPr>
      <w:r>
        <w:rPr>
          <w:rFonts w:ascii="Times New Roman" w:hAnsi="Times New Roman"/>
          <w:sz w:val="20"/>
        </w:rPr>
        <w:t xml:space="preserve">BXP has agreed in the limited partnership agreement of BPLP not to engage in specified extraordinary transactions, including, among others, business combinations, unless limited partners of BPLP, other than BXP, receive, or have the opportunity to receive, either (1) the same consideration for their partnership interests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BXP common stock in the transaction or (2) limited partnership units that, among other things, would entitle the holders, upon redemption of these units, to receive shares of common equity of a publicly traded company or the same consideration as holders of the common stock of BXP received in the transaction. If these limited partners would not receive such consideration, BXP cannot engage in the transaction unless limited partners holding at least 75% of the common units of limited partnership interest, other than those held by BXP or its affiliates, consent to the transaction. In addition, BXP has agreed in the limited partnership agreement of BPLP that BXP will not complete business combinations in which BXP receives the approval of its common stockholders unless either (1) limited partners holding at least 75% of the common units of limited partnership interest, other than those held by BXP or its affiliates, consent to the transaction or (2) the limited partners of BPLP are also allowed to vote and the transaction would have been approved had these limited partners been able to vote as common stockholders on the transaction. Therefore, if the common stockholders of BXP approve a specified extraordinary transaction, the limited partnership agreement requires the following before BXP can complete the transaction: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partnership interests in BPLP, including BXP, must vote on the matter;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BXP must vote all of its partnership interests in the same proportion as the stockholders of BXP voted on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 of the vote of holders of partnership interests in BPLP must be such that had such vote been a vote of stockholders, the transaction would have been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BPLP also generally provides that BXP, as general partner of BPLP, will incur no liability to BPLP or any limited partner for losses sustained or liabilities incurred as a result of errors in judgment or of any act or omission if BXP acted in good faith. In addition, BXP is not responsible for any misconduct or negligence on the part of its agents, provided BXP appointed such agents in good faith. BXP may consult with legal counsel, accountants, appraisers, management consultants, investment bankers and other consultants and advisors, and any act taken or omitted to be taken in reliance upon the opinion of such persons, as to matters that BXP reasonably believes to be within their professional or expert competence, shall be conclusively presumed to have been done or omitted in good faith and in accordance with such opinion.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BPLP also provides for indemnification, to the fullest extent permitted by Delaware law, of BXP, the directors and officers of BXP, and such other persons as BXP may from time to time designate against any liabilities, expenses and other amounts arising from any claim or proceeding that relates to the operations of BPLP or BXP as set forth in the limited partnership agreement of BPLP in which such indemnified person is involved, or is threatened to be involved, as a party or otherwise, unless it is established that: (1) the act or omission of the indemnified person was material to the matter giving rise to the preceding and either was committed in bad faith or was the result of active and deliberate dishonesty; (2) the indemnified person actually received an improper personal benefit in money, property or services; or (3) in the case of any criminal proceeding, the indemnified person had reasonable cause to believe that the act or omission was unlawful. Under the limited partnership agreement, BPLP generally must also advance all reasonable expenses incurred by an indemnified person who is a party to proceeding in advance of the final disposition of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50422_16"/>
      <w:bookmarkEnd w:id="28"/>
      <w:r>
        <w:rPr>
          <w:rFonts w:ascii="Times New Roman" w:hAnsi="Times New Roman"/>
          <w:b/>
          <w:sz w:val="20"/>
        </w:rPr>
        <w:t xml:space="preserve">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United States federal income tax consequences relating to the purchase, ownership and disposition of common stock, preferred stock and debt securities of BXP and debt securities of BPLP, and the qualification and taxation of BXP as a REIT. </w:t>
      </w:r>
    </w:p>
    <w:p>
      <w:pPr>
        <w:pStyle w:val="TextBody"/>
        <w:bidi w:val="0"/>
        <w:spacing w:before="240" w:after="0"/>
        <w:jc w:val="left"/>
        <w:rPr>
          <w:rFonts w:ascii="Times New Roman" w:hAnsi="Times New Roman"/>
          <w:sz w:val="20"/>
        </w:rPr>
      </w:pPr>
      <w:r>
        <w:rPr>
          <w:rFonts w:ascii="Times New Roman" w:hAnsi="Times New Roman"/>
          <w:sz w:val="20"/>
        </w:rPr>
        <w:t xml:space="preserve">Because this is a summary that is intended to address only certain material United States federal income tax consequences relating to the ownership and disposition of debt securities, common stock and preferred stock generally applicable to holders, it may not contain all the information that may be important to you. As you review this discussion, you should keep in mind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to you may vary depending on your particular tax situation;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assumes that the relevant common stock, preferred stock and debt securities are held as capital assets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summary does not address state, local, non-U.S., alternative minimum, or estate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discussion is not intended to be, and should not be construed as, tax advice.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is based on the current Code, current, temporary and proposed Treasury regulations, the legislative history of the Code, current administrative interpretations and practices of the Internal Revenue Service, or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“partnerships” in this section refer to any entities treated as a partnership for U.S. federal income tax purposes, and references to “corporations” in this section refer to any entities treated as corporations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Classification and Taxation of BXP as a REIT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references to “we,” “us” or “our,” and any similar terms, refer only to BXP. We have elected to be taxed as a REIT under the Code. A REIT generally is not subject to federal income tax on the income that it distributes to stockholders if it meets the applicable REIT distribution requirements and other requirements for qualification.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organization and operations, commencing with the taxable year ended December 31, 1997, our form of organization and operations are such as to enable us to qualify as a “real estate investment trust” under the applicable provisions of the Code.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BXP common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w:t>
      </w:r>
    </w:p>
    <w:p>
      <w:pPr>
        <w:pStyle w:val="TextBody"/>
        <w:bidi w:val="0"/>
        <w:spacing w:before="240" w:after="0"/>
        <w:jc w:val="left"/>
        <w:rPr>
          <w:rFonts w:ascii="Times New Roman" w:hAnsi="Times New Roman"/>
          <w:sz w:val="20"/>
        </w:rPr>
      </w:pPr>
      <w:r>
        <w:rPr>
          <w:rFonts w:ascii="Times New Roman" w:hAnsi="Times New Roman"/>
          <w:sz w:val="20"/>
        </w:rPr>
        <w:t xml:space="preserve">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 </w:t>
      </w:r>
    </w:p>
    <w:p>
      <w:pPr>
        <w:pStyle w:val="TextBody"/>
        <w:bidi w:val="0"/>
        <w:spacing w:before="240" w:after="0"/>
        <w:jc w:val="left"/>
        <w:rPr>
          <w:rFonts w:ascii="Times New Roman" w:hAnsi="Times New Roman"/>
          <w:sz w:val="20"/>
        </w:rPr>
      </w:pPr>
      <w:r>
        <w:rPr>
          <w:rFonts w:ascii="Times New Roman" w:hAnsi="Times New Roman"/>
          <w:sz w:val="20"/>
        </w:rPr>
        <w:t xml:space="preserve">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taxed at regular corporate rates on any undistributed “REIT taxable income.” REIT taxable income is the taxable income of the REIT subject to specified adjustments, including a deduction for dividends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net income from “prohibited transactions” (including certain foreign currency gain attributable thereto ) we will be subject to a 100% tax on this income. In general, prohibited transactions are sales or other dispositions of property held primarily for sale to customers in the ordinary course of business other than foreclosure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be subject to a 100% penalty tax on some payments we receive (or on certain expenses deducted by a taxable REIT subsidiary of ours) if arrangements among us, our tenants, and/or our taxable REIT subsidiaries are not comparable to similar arrangements among unrelated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have subsidiaries or own interests in other lower-tier entities that are “C” corporations that will jointly elect, with us, to be treated as a taxable REIT subsidiary, the earnings of which would be subject to U.S. federal corporate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Qualification as a REIT </w:t>
      </w:r>
    </w:p>
    <w:p>
      <w:pPr>
        <w:pStyle w:val="TextBody"/>
        <w:bidi w:val="0"/>
        <w:spacing w:before="120" w:after="0"/>
        <w:jc w:val="left"/>
        <w:rPr>
          <w:rFonts w:ascii="Times New Roman" w:hAnsi="Times New Roman"/>
          <w:sz w:val="20"/>
        </w:rPr>
      </w:pPr>
      <w:r>
        <w:rPr>
          <w:rFonts w:ascii="Times New Roman" w:hAnsi="Times New Roman"/>
          <w:sz w:val="20"/>
        </w:rPr>
        <w:t xml:space="preserve">We elected to be taxable as a REIT for United States federal income tax purposes for our taxable year ended December 31, 1997. In order to have so qualified, we must have met and continue to meet the requirements discussed below, relating to our organization, sources of income, nature of assets and distributions of income to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Code defines a REIT as a corporation, trust, or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managed by one or more trustees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evidenced by transferable shares, or by transferable certificates of beneficial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would be taxable as a domestic corporation, but for Sections 856 through 860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is neither a financial institution nor an insurance company subject to applicable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ownership of which is held by 100 or more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last half of each taxable year not more than 50% in value of the outstanding shares of which is owned directly or indirectly by five or fewer “individuals,” as defined in the Code to include specified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uses a calendar year for United States federal income tax purposes and complies with the recordkeeping requirements of the Code and regulations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meets other applicable tests, described below, regarding the nature of its income and assets and the amount of its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Conditions (1), (2), (3), and (4) above must be met during the entire taxable year and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REIT, we also cannot have at the end of any taxable year any undistributed earnings and profits that are attributable to a non-REIT taxable year. We do not believe that we have any non-REIT earnings and profits and believe that we therefore satisfy this requirement.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Protection from Stock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protect us from a concentration of ownership of stock that would cause us to fail conditions (5) or (6) above, our certificate of incorporation provides that stock owned, or deemed to be owned or transferred to a stockholder in excess of specified ownership limits will be converted automatically into Excess Stock (as defined below) and transferred to a charity for resale and that certain transfers of our stock shall be void </w:t>
      </w:r>
      <w:r>
        <w:rPr>
          <w:rFonts w:ascii="Times New Roman" w:hAnsi="Times New Roman"/>
          <w:i/>
          <w:sz w:val="20"/>
        </w:rPr>
        <w:t>ab initio</w:t>
      </w:r>
      <w:r>
        <w:rPr>
          <w:rFonts w:ascii="Times New Roman" w:hAnsi="Times New Roman"/>
          <w:sz w:val="20"/>
        </w:rPr>
        <w:t xml:space="preserve">. The original stockholder is entitled to receive certain proceeds from such a resale. Excess Stock is a separate class of our capital stock that is entitled to no voting rights but shares ratably with the common stock in dividends and rights upon dissolution. Because of the absence of authority on this issue, however, we cannot assure you that the operation of the Excess Stock or other provisions contained in our certificate of incorporation will, as a matter of law, prevent a violation of the share ownership requirements in conditions (5) and (6) above. If there were such a share ownership violation and the operation of the Excess Stock or other provisions contained in our certificate of incorporation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certificate of incorporation preclude us from failing conditions (5) or (6)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Qualified REIT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Taxable REIT Subsidiaries </w:t>
      </w:r>
    </w:p>
    <w:p>
      <w:pPr>
        <w:pStyle w:val="TextBody"/>
        <w:bidi w:val="0"/>
        <w:spacing w:before="120" w:after="0"/>
        <w:jc w:val="left"/>
        <w:rPr>
          <w:rFonts w:ascii="Times New Roman" w:hAnsi="Times New Roman"/>
          <w:sz w:val="20"/>
        </w:rPr>
      </w:pPr>
      <w:r>
        <w:rPr>
          <w:rFonts w:ascii="Times New Roman" w:hAnsi="Times New Roman"/>
          <w:sz w:val="20"/>
        </w:rPr>
        <w:t>A “taxable REIT subsidiary” of ours is a corporation in which we directly or indirectly own stock and that jointly elects with us to be treated as a taxable REIT subsidiary under Section 856(</w:t>
      </w:r>
      <w:r>
        <w:rPr>
          <w:rFonts w:ascii="Times New Roman" w:hAnsi="Times New Roman"/>
          <w:i/>
          <w:sz w:val="20"/>
        </w:rPr>
        <w:t>l</w:t>
      </w:r>
      <w:r>
        <w:rPr>
          <w:rFonts w:ascii="Times New Roman" w:hAnsi="Times New Roman"/>
          <w:sz w:val="20"/>
        </w:rPr>
        <w:t xml:space="preserve">)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 </w:t>
      </w:r>
    </w:p>
    <w:p>
      <w:pPr>
        <w:pStyle w:val="TextBody"/>
        <w:bidi w:val="0"/>
        <w:spacing w:before="240" w:after="0"/>
        <w:jc w:val="left"/>
        <w:rPr>
          <w:rFonts w:ascii="Times New Roman" w:hAnsi="Times New Roman"/>
          <w:sz w:val="20"/>
        </w:rPr>
      </w:pPr>
      <w:r>
        <w:rPr>
          <w:rFonts w:ascii="Times New Roman" w:hAnsi="Times New Roman"/>
          <w:sz w:val="20"/>
        </w:rPr>
        <w:t xml:space="preserve">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Partnership Interests by a REIT </w:t>
      </w:r>
    </w:p>
    <w:p>
      <w:pPr>
        <w:pStyle w:val="TextBody"/>
        <w:bidi w:val="0"/>
        <w:spacing w:before="120" w:after="0"/>
        <w:jc w:val="left"/>
        <w:rPr>
          <w:rFonts w:ascii="Times New Roman" w:hAnsi="Times New Roman"/>
          <w:sz w:val="20"/>
        </w:rPr>
      </w:pPr>
      <w:r>
        <w:rPr>
          <w:rFonts w:ascii="Times New Roman" w:hAnsi="Times New Roman"/>
          <w:sz w:val="20"/>
        </w:rPr>
        <w:t xml:space="preserve">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BXP’s proportionate share of the assets and items of income of BPLP, including BPLP’s share of the assets and liabilities and items of income with respect to any partnership (or disregarded entity) in which it holds an interest, will be treated as BXP’s assets and liabilities and its items of income for purposes of applying the requirements described in this prospectus. BXP has control over BPLP and substantially all of the partnerships and limited liability company subsidiaries of BPLP and intends to operate them in a manner that is consistent with the requirements for the qualification of BXP as a REIT.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must satisfy two gross income tests. First, at least 75% of our gross income, excluding gross income from prohibited transactions, for each taxable year must be derived directly or indirectly from investments relating to real property or mortgages on real property, including “rents from real property,” gains on the disposition of “real estate assets” (other than certain debt instruments of publicly offered REITs), dividends paid by another REIT, interest on obligations secured by mortgages on real property or on interests in real property, income from some types of temporary investments, and certain other real estate related sources. Second, at least 95% of our gross income for each taxable year, excluding gross income from prohibited transactions, must be derived from any combination of income qualifying under the 75% test, dividends, interest, and gain from the sale or disposition of stock 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Income and gain from certain hedging transactions will not constitute gross income for purposes of both the 75% and 95% gross income tests. See “—Hedging Transactions.” In addition, certain foreign currency gains will be excluded from gross income for purposes of one or both of the gross income tests. If a REIT is a shareholder of a controlled foreign corporation or a passive foreign investment company, the income it must recognize on account of such ownership under certain special non-deferral provisions of the Code will generally be treated as qualifying income for purposes of the 95% gross income test. In addition, foreign currency gain with respect to distributions of previously taxed earnings and profits will generally be excluded from income for purposes of the 95% gross income test. </w:t>
      </w:r>
    </w:p>
    <w:p>
      <w:pPr>
        <w:pStyle w:val="TextBody"/>
        <w:bidi w:val="0"/>
        <w:spacing w:before="240" w:after="0"/>
        <w:jc w:val="left"/>
        <w:rPr>
          <w:rFonts w:ascii="Times New Roman" w:hAnsi="Times New Roman"/>
          <w:sz w:val="20"/>
        </w:rPr>
      </w:pPr>
      <w:r>
        <w:rPr>
          <w:rFonts w:ascii="Times New Roman" w:hAnsi="Times New Roman"/>
          <w:sz w:val="20"/>
        </w:rPr>
        <w:t xml:space="preserve">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(1) at least 90% of the property is leased to unrelated tenants and the rent paid by the taxable REIT subsidiary is substantially comparable to the rent paid by the unrelated tenants for comparable space, or (2)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 </w:t>
      </w:r>
    </w:p>
    <w:p>
      <w:pPr>
        <w:pStyle w:val="TextBody"/>
        <w:bidi w:val="0"/>
        <w:spacing w:before="240" w:after="0"/>
        <w:jc w:val="left"/>
        <w:rPr>
          <w:rFonts w:ascii="Times New Roman" w:hAnsi="Times New Roman"/>
          <w:sz w:val="20"/>
        </w:rPr>
      </w:pPr>
      <w:r>
        <w:rPr>
          <w:rFonts w:ascii="Times New Roman" w:hAnsi="Times New Roman"/>
          <w:sz w:val="20"/>
        </w:rPr>
        <w:t xml:space="preserve">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Any income we derive from providing “impermissible services” to tenants (except through an independent contractor from whom we derive no revenue and that meets other requirements or through a taxable REIT subsidiary) will be considered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and we attached a schedule of the sources of our income to our federal income tax return.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BXP as a REIT,” even if these relief provisions apply, a tax would be imposed based on the amount of nonqualifying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Asset Tests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At the close of each quarter of our taxable year, we must satisfy five tests relating to the nature of our assets: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75% of the value of our total assets must be represented by real estate assets, cash, cash items and government securities. Real estate assets include interests in real property (such as land, buildings, leasehold interests in real property and personal property leased with real property if the rents attributable to the personal property would be rents from real property under the income tests discussed above), interests in mortgages on real property or on interests in real property, shares in other qualifying REITs, stock or debt instruments held for less than one year purchased with the proceeds from an offering of shares of our stock or certain debt and debt instruments issued by publicly offered REITs;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other than those in the 75% asset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our total assets may be represented by securities of one or more taxable REIT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may be represented by debt instruments of publicly offered REITs that are not secured by mortgages on real property or interests in real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for purposes of the asset tests may include debt securities. However, the 10% value test does not apply to certain “straight debt” and other excluded securities, as described in the Code including, but not limited to, any loan to an individual or estate, or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 </w:t>
      </w:r>
    </w:p>
    <w:p>
      <w:pPr>
        <w:pStyle w:val="TextBody"/>
        <w:bidi w:val="0"/>
        <w:spacing w:before="240" w:after="0"/>
        <w:jc w:val="left"/>
        <w:rPr>
          <w:rFonts w:ascii="Times New Roman" w:hAnsi="Times New Roman"/>
          <w:sz w:val="20"/>
        </w:rPr>
      </w:pPr>
      <w:r>
        <w:rPr>
          <w:rFonts w:ascii="Times New Roman" w:hAnsi="Times New Roman"/>
          <w:sz w:val="20"/>
        </w:rPr>
        <w:t xml:space="preserve">After initially meeting the asset tests at the close of any quarter, we will not lose our status as a REIT if we fail to satisfy the 25% and 5% asset tests and the 10% value limitation at the end of a later quarter solely by reason of changes in the relative values of our assets (including changes in relative values as a result of fluctuations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currency exchange rates). If the failure to satisfy the 25% or 5% asset tests or the 10% value limitation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Distribution Requirements Applicable to REITs </w:t>
      </w:r>
    </w:p>
    <w:p>
      <w:pPr>
        <w:pStyle w:val="TextBody"/>
        <w:bidi w:val="0"/>
        <w:spacing w:before="120" w:after="0"/>
        <w:jc w:val="left"/>
        <w:rPr>
          <w:rFonts w:ascii="Times New Roman" w:hAnsi="Times New Roman"/>
          <w:sz w:val="20"/>
        </w:rPr>
      </w:pPr>
      <w:r>
        <w:rPr>
          <w:rFonts w:ascii="Times New Roman" w:hAnsi="Times New Roman"/>
          <w:sz w:val="20"/>
        </w:rPr>
        <w:t xml:space="preserve">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See “—Classification and Taxation of BXP as a REIT” for a discussion of the possible recognition of built-in gain. These distributions must be paid either in the taxable year to which they relate, or in the following taxable year if declared before we timely file our tax return for the prior year and if paid with or before the first regular dividend payment date after the declaration is made.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we, from time to time, may not have sufficient cash or other liquid assets to satisfy our distribution requirements and avoid income and excise taxation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do not distribute (and are not deemed to have distributed) all of our net capital gain or distribute at least 90%, but less than 100%, of our REIT taxable income, as adjusted, we are subject to tax on these retained amounts at regular corporate tax rates. </w:t>
      </w:r>
    </w:p>
    <w:p>
      <w:pPr>
        <w:pStyle w:val="TextBody"/>
        <w:bidi w:val="0"/>
        <w:spacing w:before="240" w:after="0"/>
        <w:jc w:val="left"/>
        <w:rPr>
          <w:rFonts w:ascii="Times New Roman" w:hAnsi="Times New Roman"/>
          <w:sz w:val="20"/>
        </w:rPr>
      </w:pPr>
      <w:r>
        <w:rPr>
          <w:rFonts w:ascii="Times New Roman" w:hAnsi="Times New Roman"/>
          <w:sz w:val="20"/>
        </w:rPr>
        <w:t xml:space="preserve">We will be subject to a 4% excise tax on the excess of the required distribution over the sum of amounts actually distributed and amounts retained for which federal income tax was paid, if we fail to distribute during each calendar year at least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 of our REIT ordinary income for the year;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95% of our REIT capital gain net income for the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undistributed taxable income from prior taxable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Foreclosure Property </w:t>
      </w:r>
    </w:p>
    <w:p>
      <w:pPr>
        <w:pStyle w:val="TextBody"/>
        <w:bidi w:val="0"/>
        <w:spacing w:before="120" w:after="0"/>
        <w:jc w:val="left"/>
        <w:rPr>
          <w:rFonts w:ascii="Times New Roman" w:hAnsi="Times New Roman"/>
          <w:sz w:val="20"/>
        </w:rPr>
      </w:pPr>
      <w:r>
        <w:rPr>
          <w:rFonts w:ascii="Times New Roman" w:hAnsi="Times New Roman"/>
          <w:sz w:val="20"/>
        </w:rPr>
        <w:t xml:space="preserve">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(1) made in the normal course of our business primarily to manage risk of interest rate or price changes or currency fluctuations with respect to borrowings made or to be made, or ordinary obligations incurred or to be incurred by us to acquire or own real estate assets, (2) primarily to manage the risk of currency fluctuations with respect to any item of income or gain that would be qualifying income under the 75% or 95% income tests (or any property which generates such income or gain), or (3) that hedges against transactions described in clause (1) or (2) and is entered into in connection with the extinguishment of debt or sale of property that is being hedged against by the transaction described in clause (1) or (2), in each case which is clearly identified as such before the close of the day on which it was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originated or entered into (after taking into account certain curative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Affiliated REITs </w:t>
      </w:r>
    </w:p>
    <w:p>
      <w:pPr>
        <w:pStyle w:val="TextBody"/>
        <w:bidi w:val="0"/>
        <w:spacing w:before="120" w:after="0"/>
        <w:jc w:val="left"/>
        <w:rPr>
          <w:rFonts w:ascii="Times New Roman" w:hAnsi="Times New Roman"/>
          <w:sz w:val="20"/>
        </w:rPr>
      </w:pPr>
      <w:r>
        <w:rPr>
          <w:rFonts w:ascii="Times New Roman" w:hAnsi="Times New Roman"/>
          <w:sz w:val="20"/>
        </w:rPr>
        <w:t xml:space="preserve">BPLP owns significant equity interests (directly and indirectly) in entities that have elected to be treated as REITs. These affiliated REITs must also meet the REIT tests discussed above. The failure of any of these affiliated REITs to qualify as a REIT could cause us to fail to qualify as a REIT, because we would then own (through BPLP) more than 10% of the securities of an issuer that was neither a REIT, a qualified REIT subsidiary nor a taxable REIT subsidiary. In such a case, the affiliated REITs may also be “personal holding companies” within the meaning of the Code, and may thereby be subject to the personal holding company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BXP to Qualify as a REIT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Stockholders and Potential Tax Consequences of Their Investment in Shares of Common Stock or 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Taxation of Taxable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stockholder” means a holder of shares of our common stock or preferred stock who,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stockholder” shall refer to any owners of our common or preferred stock that are not U.S. stockholders for purposes of this Registration and are not entities treated as partnerships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partnership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As long as we qualify as a REIT, a taxable U.S. stockholder must generally take into account as ordinary income distributions made out of current or accumulated earnings and profits that we do not 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In addition, non-corporate U.S. stockholders are permitted to take a 20% deduction for certain pass-through business income, including dividends received from REITs that are not designated as capital gain dividends or qualified dividend income, subject to certain limitations.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 </w:t>
      </w:r>
    </w:p>
    <w:p>
      <w:pPr>
        <w:pStyle w:val="TextBody"/>
        <w:bidi w:val="0"/>
        <w:spacing w:before="240" w:after="0"/>
        <w:jc w:val="left"/>
        <w:rPr>
          <w:rFonts w:ascii="Times New Roman" w:hAnsi="Times New Roman"/>
          <w:sz w:val="20"/>
        </w:rPr>
      </w:pPr>
      <w:r>
        <w:rPr>
          <w:rFonts w:ascii="Times New Roman" w:hAnsi="Times New Roman"/>
          <w:sz w:val="20"/>
        </w:rPr>
        <w:t xml:space="preserve">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 </w:t>
      </w:r>
    </w:p>
    <w:p>
      <w:pPr>
        <w:pStyle w:val="TextBody"/>
        <w:bidi w:val="0"/>
        <w:spacing w:before="240" w:after="0"/>
        <w:jc w:val="left"/>
        <w:rPr>
          <w:rFonts w:ascii="Times New Roman" w:hAnsi="Times New Roman"/>
          <w:sz w:val="20"/>
        </w:rPr>
      </w:pPr>
      <w:r>
        <w:rPr>
          <w:rFonts w:ascii="Times New Roman" w:hAnsi="Times New Roman"/>
          <w:sz w:val="20"/>
        </w:rPr>
        <w:t xml:space="preserve">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will not incur tax on a distribution in excess of our current and accumulated earnings and profits if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 </w:t>
      </w:r>
    </w:p>
    <w:p>
      <w:pPr>
        <w:pStyle w:val="TextBody"/>
        <w:bidi w:val="0"/>
        <w:spacing w:before="240" w:after="0"/>
        <w:jc w:val="left"/>
        <w:rPr>
          <w:rFonts w:ascii="Times New Roman" w:hAnsi="Times New Roman"/>
          <w:sz w:val="20"/>
        </w:rPr>
      </w:pPr>
      <w:r>
        <w:rPr>
          <w:rFonts w:ascii="Times New Roman" w:hAnsi="Times New Roman"/>
          <w:sz w:val="20"/>
        </w:rPr>
        <w:t xml:space="preserve">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In general, a U.S. stockholder who is not a dealer in securities must treat any gain or loss realized upon a taxable disposition of our stock as long-term capital gain or loss if the U.S. 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 </w:t>
      </w:r>
    </w:p>
    <w:p>
      <w:pPr>
        <w:pStyle w:val="TextBody"/>
        <w:bidi w:val="0"/>
        <w:spacing w:before="240" w:after="0"/>
        <w:jc w:val="left"/>
        <w:rPr>
          <w:rFonts w:ascii="Times New Roman" w:hAnsi="Times New Roman"/>
          <w:sz w:val="20"/>
        </w:rPr>
      </w:pPr>
      <w:r>
        <w:rPr>
          <w:rFonts w:ascii="Times New Roman" w:hAnsi="Times New Roman"/>
          <w:sz w:val="20"/>
        </w:rPr>
        <w:t xml:space="preserve">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 </w:t>
      </w:r>
    </w:p>
    <w:p>
      <w:pPr>
        <w:pStyle w:val="TextBody"/>
        <w:bidi w:val="0"/>
        <w:spacing w:before="240" w:after="0"/>
        <w:jc w:val="left"/>
        <w:rPr>
          <w:rFonts w:ascii="Times New Roman" w:hAnsi="Times New Roman"/>
          <w:sz w:val="20"/>
        </w:rPr>
      </w:pPr>
      <w:r>
        <w:rPr>
          <w:rFonts w:ascii="Times New Roman" w:hAnsi="Times New Roman"/>
          <w:i/>
          <w:sz w:val="20"/>
        </w:rPr>
        <w:t>Capital Gains and Losses</w:t>
      </w:r>
      <w:r>
        <w:rPr>
          <w:rFonts w:ascii="Times New Roman" w:hAnsi="Times New Roman"/>
          <w:sz w:val="20"/>
        </w:rPr>
        <w:t xml:space="preserve">. The tax rate differential between capital gain and ordinary income for non-corporate taxpayers may be significant. A taxpayer generally must hold a capital asset for more than one year 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 </w:t>
      </w:r>
    </w:p>
    <w:p>
      <w:pPr>
        <w:pStyle w:val="TextBody"/>
        <w:bidi w:val="0"/>
        <w:spacing w:before="240" w:after="0"/>
        <w:jc w:val="left"/>
        <w:rPr>
          <w:rFonts w:ascii="Times New Roman" w:hAnsi="Times New Roman"/>
          <w:sz w:val="20"/>
        </w:rPr>
      </w:pPr>
      <w:r>
        <w:rPr>
          <w:rFonts w:ascii="Times New Roman" w:hAnsi="Times New Roman"/>
          <w:sz w:val="20"/>
        </w:rPr>
        <w:t xml:space="preserve">If a U.S. stockholder recognizes a loss upon a subsequent disposition of BXP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BXP common stock, or transactions that might be undertaken directly or indirectly by us. Moreover, you should be aware that we and other participants in transactions involving us (including our advisors) might be subject to disclosure or other requirements pursuant to these regulations. </w:t>
      </w:r>
    </w:p>
    <w:p>
      <w:pPr>
        <w:pStyle w:val="TextBody"/>
        <w:bidi w:val="0"/>
        <w:spacing w:before="24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We will report to our stockholders and to the IRS the amount of distributions we pay during each calendar year, and the amount of tax we withhold, if any. Under the backup withholding rules, a stockholder may be subject to backup withholding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other exempt categories and, when required, demonstrates this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Stockholders </w:t>
      </w:r>
    </w:p>
    <w:p>
      <w:pPr>
        <w:pStyle w:val="TextBody"/>
        <w:bidi w:val="0"/>
        <w:spacing w:before="120" w:after="0"/>
        <w:jc w:val="left"/>
        <w:rPr>
          <w:rFonts w:ascii="Times New Roman" w:hAnsi="Times New Roman"/>
          <w:sz w:val="20"/>
        </w:rPr>
      </w:pPr>
      <w:r>
        <w:rPr>
          <w:rFonts w:ascii="Times New Roman" w:hAnsi="Times New Roman"/>
          <w:sz w:val="20"/>
        </w:rPr>
        <w:t xml:space="preserve">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are not expected to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our dividends that the tax-exempt trust must treat as unrelated business taxable income is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(a) one pension trust owns more than 25% of the value of our stock; or (b) a group of pension trusts individually holding more than 10% of the value of our stock collectively owns more than 50% of the value of our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United States federal income taxation of nonresident alien individuals, foreign corporations, foreign partnerships, and other foreign stockholders are complex. This section is only a summary of such rules. We urge non-U.S. stockholders to consult their own tax advisors to determine the impact of federal, state, and local income tax laws on ownership of our stock, including any reporting requirements.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A non-U.S. stockholder who receives a distribution that is not attributable to gain from our sale or exchange of United States real property interests (“USRPIs”), as defined below, is subject to a 30% tax to the extent that we pay the distribution out of our current or accumulated earnings and profits. A withholding tax equal to 30% of the gross amount of the dividend (including any portion of any dividend that is payable in our stock) ordinarily will apply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the non-U.S. stockholder generally will not be subject to the 30%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lower treaty rate applies and the non-U.S. stockholder files an IRS Form W-8BEN or W-8BEN-E evidencing eligibility for that reduced rate with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files an IRS Form W-8ECI with us claiming that the distribution is effectively connected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stockholder will not incur tax on a distribution in excess of our current and accumulated earnings and profits if the excess portion of the distribution does not exceed the adjusted basis of its stock. Instead, the excess portion of the distribution will reduce the adjusted basis of that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However, a non-U.S. stockholder may obtain a refund of amounts that we withhold if we later determine that a distribution in fact exceeded our current and accumulated earnings and profits.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or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rates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attributable to the gain from the sale or exchange of a USRPI.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one-year period ending on the date of distribution. Instead,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capital gain dividend will be treated as an ordinary distribution subject to the rules discussed above, which generally impose a 30% withholding tax (unless reduced by a treaty). Also, the branch profits tax will not apply to such a distribution. </w:t>
      </w:r>
    </w:p>
    <w:p>
      <w:pPr>
        <w:pStyle w:val="TextBody"/>
        <w:bidi w:val="0"/>
        <w:spacing w:before="240" w:after="0"/>
        <w:jc w:val="left"/>
        <w:rPr>
          <w:rFonts w:ascii="Times New Roman" w:hAnsi="Times New Roman"/>
          <w:sz w:val="20"/>
        </w:rPr>
      </w:pPr>
      <w:r>
        <w:rPr>
          <w:rFonts w:ascii="Times New Roman" w:hAnsi="Times New Roman"/>
          <w:i/>
          <w:sz w:val="20"/>
        </w:rPr>
        <w:t>Dispositions of Stock</w:t>
      </w:r>
      <w:r>
        <w:rPr>
          <w:rFonts w:ascii="Times New Roman" w:hAnsi="Times New Roman"/>
          <w:sz w:val="20"/>
        </w:rPr>
        <w:t xml:space="preserve">. A non-U.S. stockholder generally will not incur tax under FIRPTA with respect to gain on a sale of our common stock or preferred stock as long as at all times during the testing period non-U.S. persons hold, directly or indirectly, less than 50% in value of our stock. We cannot assure you that test will be met. Even if we meet this test, pursuant to “wash sale” rules under FIRPTA, a non-U.S. stockholder may incur tax under FIRPTA to the extent such stockholder disposes of BXP common stock within a certain period prior to a capital gain distribution and directly or indirectly (including through certain affiliates) reacquires BXP common stock within certain prescribed periods. For as long as our common stock is regularly traded on an established securities market, a non-U.S. stockholder should not incur tax under FIRPTA with respect to gain on a sale of our common stock unless it owns or has owned, actually or constructively, at any time during the specified testing period, more than 10% of our common stock. If the gain on the sale of our stock were taxed under FIRPTA, a non-U.S. stockholder would be taxed on that gain in the same manner as U.S. stockholders. Furthermore, a non-U.S. stockholder generally will incur tax on gain not subject to FIRPTA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stockholder’s United States trade or business, in which case the non-U.S. stockholder will be subject to the same treatment as U.S. stockholders with respect to such gain;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stockholder is a nonresident alien individual who was present in the United States for 183 days or more during the taxable year and has a “tax home” in the United States, in which case the non-U.S. stockholder will incur a 30% tax on his or her capital gains derived from sources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our stock is held directly (or indirectly through one or more partnerships) by a “qualified shareholder,” it will not be treated as a USRPI. Further, to the extent such treatment applies, any distribution to such shareholder will not be treated as gain recognized from the sale or exchange of a USRPI.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New York Stock Exchange or Nasdaq, (ii) is a “qualified collective investment vehicle” (within the meaning of Section 897(k)(3)(B) 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who generally holds an interest in the qualified shareholder and holds more than 10% of our stock applying certain constructive ownership rules. Subject to the exception described above for qualified shareholders having one or more applicable investors, distributions received by qualified shareholders will be taxed as described above at “—Dividends” as if the distribution is not attributable to the sale of a USRPI. Gain treated as gain from the sale or exchange of our stock (including capital gain dividends and distributions treated as gain from the sale or exchange of our stock under the rules described above at “—Dividends”) will not be subject to tax unless such gain is treated as effectively connected with the qualified shareholder’s conduct of a U.S. trade or business, in which case the qualified shareholder generally will be subject to a tax at the graduated rates applicable to ordinary income, in the same manner as U.S.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FIRPTA purposes neither a “qualified foreign pension fund” nor any “qualified controlled entity” is treated as a non-U.S. stockholder.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other qualified controlled entities. Gain of a qualified foreign pension fund or qualified controlled entity treated as gain from the sale or exchange of our stock, distributions treated as gain from the sale or exchange of our stock under the rules described above at “—Dividends”, and distributions attributable to gains from sales of USRPIs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also provide that a foreign partnership all of the interests of which are held by qualified holders, including through one or more partnerships, may certify its status as such and will not be treated as a foreign person for purposes of withholding under FIRPTA.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The Foreign Account Tax Compliance Act, or FATCA, imposes withholding taxes on “withholdable payments” (as defined below) made to “foreign financial institutions” and certain other non-U.S. 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jurisdictions that have entered into “intergovernmental agreements” may, in lieu of the foregoing requirements, be required to report such information to their home jurisdictions. Prospective investors should consult their tax advisors regarding this legislation.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Generally, we must report annually to the IRS the amount of dividends paid to a non-U.S. stockholder, such holder’s name and address, and the amount of tax withheld, if any. A similar report is sent to the non-U.S. stockholder. Pursuant to tax treaties or other agreements, the IRS may make its reports available to tax authorities in the non-U.S. stockholder’s country of residence.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State, Local and Foreign Taxes </w:t>
      </w:r>
    </w:p>
    <w:p>
      <w:pPr>
        <w:pStyle w:val="TextBody"/>
        <w:bidi w:val="0"/>
        <w:spacing w:before="120" w:after="0"/>
        <w:jc w:val="left"/>
        <w:rPr>
          <w:rFonts w:ascii="Times New Roman" w:hAnsi="Times New Roman"/>
          <w:sz w:val="20"/>
        </w:rPr>
      </w:pPr>
      <w:r>
        <w:rPr>
          <w:rFonts w:ascii="Times New Roman" w:hAnsi="Times New Roman"/>
          <w:sz w:val="20"/>
        </w:rPr>
        <w:t xml:space="preserve">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consequences discussed above. Consequently, prospective investors should consult their own tax advisors regarding the effect of state, local and foreign tax laws on an investment in our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Legislative or Other Actions Affecting REITs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Holders of Certain Fixed Rate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material United States federal income tax consequences of owning the fixed rate debt securities that BXP or BPLP may offer for general information only. It is not tax advice.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of owning any zero coupon debt securities, original issue discount debt securities, floating rate debt securities, convertible or exchangeable debt securities, or indexed debt securities that we offer will be discussed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Taxable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term “U.S. Holder” means any beneficial owner of a debt security that for United States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“Non-U.S. Holder” shall refer to a beneficial owner of a debt security, other than a partnership,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If the issue price of a debt security is less than its stated redemption price at maturity, then the debt security will be treated as being issued with original issue discount (“OID”) 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 </w:t>
      </w:r>
    </w:p>
    <w:p>
      <w:pPr>
        <w:pStyle w:val="TextBody"/>
        <w:bidi w:val="0"/>
        <w:spacing w:before="240" w:after="0"/>
        <w:jc w:val="left"/>
        <w:rPr>
          <w:rFonts w:ascii="Times New Roman" w:hAnsi="Times New Roman"/>
          <w:sz w:val="20"/>
        </w:rPr>
      </w:pPr>
      <w:r>
        <w:rPr>
          <w:rFonts w:ascii="Times New Roman" w:hAnsi="Times New Roman"/>
          <w:sz w:val="20"/>
        </w:rPr>
        <w:t xml:space="preserve">If the difference between the issue price and the stated redemption price at maturity of a debt security is more than the statutory </w:t>
      </w:r>
      <w:r>
        <w:rPr>
          <w:rFonts w:ascii="Times New Roman" w:hAnsi="Times New Roman"/>
          <w:i/>
          <w:sz w:val="20"/>
        </w:rPr>
        <w:t>de minimis</w:t>
      </w:r>
      <w:r>
        <w:rPr>
          <w:rFonts w:ascii="Times New Roman" w:hAnsi="Times New Roman"/>
          <w:sz w:val="20"/>
        </w:rPr>
        <w:t xml:space="preserve"> amount, the debt security will be treated as having been issued with OID. The amount of OID on a debt security, which is equal to the difference, must generally be included in income as ordinary interest as it accrues under a constant yield method in advance of receipt of the cash payments attributable to such income, regardless of such U.S.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Stated interest on a debt security generally will be included in the income of a U.S. Holder as ordinary income at the time such interest is received or accrued, in accordance with the U.S. Holder’s regular method of tax accounting.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Upon the sale, exchange, redemption, repurchase, retirement or other disposition of a debt security, a U.S. Holder generally will recognize capital gain or loss equal to the difference between (1) the amount of cash proceeds and the fair market value of any property received on the disposition (except to the extent such amount is attributable to accrued but unpaid stated interest, which is taxable as ordinary income if not previously included in such holder’s income) and (2)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Medicare Tax</w:t>
      </w:r>
      <w:r>
        <w:rPr>
          <w:rFonts w:ascii="Times New Roman" w:hAnsi="Times New Roman"/>
          <w:sz w:val="20"/>
        </w:rPr>
        <w:t xml:space="preserve">. 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person that is an individual, estate or trust, you are urged to consult your tax advisors regarding the applicability of this tax to your income and gains in respect of your investment in the notes. </w:t>
      </w:r>
    </w:p>
    <w:p>
      <w:pPr>
        <w:pStyle w:val="TextBody"/>
        <w:bidi w:val="0"/>
        <w:spacing w:before="240" w:after="0"/>
        <w:jc w:val="left"/>
        <w:rPr>
          <w:rFonts w:ascii="Times New Roman" w:hAnsi="Times New Roman"/>
          <w:sz w:val="20"/>
        </w:rPr>
      </w:pPr>
      <w:r>
        <w:rPr>
          <w:rFonts w:ascii="Times New Roman" w:hAnsi="Times New Roman"/>
          <w:i/>
          <w:sz w:val="20"/>
        </w:rPr>
        <w:t xml:space="preserve">Information Reporting and Backup Withholding. </w:t>
      </w:r>
      <w:r>
        <w:rPr>
          <w:rFonts w:ascii="Times New Roman" w:hAnsi="Times New Roman"/>
          <w:sz w:val="20"/>
        </w:rPr>
        <w:t xml:space="preserve">We will report to our U.S. Holders and to the IRS the amount of stated interest payments and payments of the proceeds from the sale, exchange, redemption, repurchase, retirement or other disposition of a debt security made to a U.S. Holder, and the amount we withhold, if any. Under the backup withholding rules, a U.S. Holder may be subject to backup withholding with respect to distributions unless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corporation or comes within certain exempt categories and, when required, demonstrates that fact,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a taxpayer identification number, certifies as to no loss of exemption from backup withholding, and otherwise complies with the applicable requirements of the backup withholding rules.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Tax-Exempt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Assuming the debt security is debt for tax purposes, interest income accrued on the debt security should not constitute unrelated business taxable income to a tax-exempt holder. As a result, a tax-exempt holder generally should not be subject to U.S. federal income tax on the interest income accruing on our debt securities. Similarly, any gain recognized by the tax-exempt holder in connection with a sale of the debt security generally should not be unrelated business taxable income. However, if a tax-exempt holder were to finance its acquisition of the debt security with debt, a portion of the interest income and gain attributable to the debt security would constitute unrelated business taxable income pursuant to the “debt-financed property” rules. Tax-exempt holders should consult their own counsel to determine the potential tax consequences of an investment in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Non-U.S. Holders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 </w:t>
      </w:r>
    </w:p>
    <w:p>
      <w:pPr>
        <w:pStyle w:val="TextBody"/>
        <w:bidi w:val="0"/>
        <w:spacing w:before="240" w:after="0"/>
        <w:jc w:val="left"/>
        <w:rPr>
          <w:rFonts w:ascii="Times New Roman" w:hAnsi="Times New Roman"/>
          <w:sz w:val="20"/>
        </w:rPr>
      </w:pPr>
      <w:r>
        <w:rPr>
          <w:rFonts w:ascii="Times New Roman" w:hAnsi="Times New Roman"/>
          <w:i/>
          <w:sz w:val="20"/>
        </w:rPr>
        <w:t>Interest and Original Issue Discount</w:t>
      </w:r>
      <w:r>
        <w:rPr>
          <w:rFonts w:ascii="Times New Roman" w:hAnsi="Times New Roman"/>
          <w:sz w:val="20"/>
        </w:rPr>
        <w:t xml:space="preserve">. A Non-U.S. Holder holding the debt securities on its own behalf generally will be exempt from U.S. federal income and withholding taxes on payments of noncontingent interest (including OID) on a debt security so long as such payments are not effectively connected with the conduct of a trade or business in the United States by the Non-U.S. Holder, unless such Non-U.S. Holder is (1) a direct or indirect 10% or greater partner (as defined in Section 871(h)(3) of the Code) in BPLP in the event that debt is issued by BPLP, (2) a direct or indirect 10% or greater stockholder (as defined in Section 871(h)(3) of the Code)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REIT in the event that debt is issued by the REIT, (3) a controlled foreign corporation related to BPLP or the REIT, as applicable, or (4) a bank extending credit pursuant to a loan agreement entered into in the ordinary course of its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(1) is signed under penalties of perjury by the beneficial owner of the debt security, (2) certifies that such owner is not a U.S. Holder and (3) 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holding the debt securities on its own behalf may have substantially increased reporting requirements and should consult its tax advisor.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interest income (including OID) with respect to a debt security is not exempt from U.S. withholding tax as described above, a Non-U.S. Holder may still be able to eliminate or reduce such taxes under an applicable income tax treaty. </w:t>
      </w:r>
    </w:p>
    <w:p>
      <w:pPr>
        <w:pStyle w:val="TextBody"/>
        <w:bidi w:val="0"/>
        <w:spacing w:before="240" w:after="0"/>
        <w:jc w:val="left"/>
        <w:rPr>
          <w:rFonts w:ascii="Times New Roman" w:hAnsi="Times New Roman"/>
          <w:sz w:val="20"/>
        </w:rPr>
      </w:pPr>
      <w:r>
        <w:rPr>
          <w:rFonts w:ascii="Times New Roman" w:hAnsi="Times New Roman"/>
          <w:i/>
          <w:sz w:val="20"/>
        </w:rPr>
        <w:t>Disposition of the Debt Securities</w:t>
      </w:r>
      <w:r>
        <w:rPr>
          <w:rFonts w:ascii="Times New Roman" w:hAnsi="Times New Roman"/>
          <w:sz w:val="20"/>
        </w:rPr>
        <w:t xml:space="preserve">. Any gain realized on the sale, redemption, exchange, retirement, repurchase or other taxable disposition of a debt security by a Non-U.S. Holder (except to the extent such amount is attributable to accrued but unpaid stated interest, which would be taxable as described above) will be exempt from U.S. federal income and withholding taxes so long as: (1) the gain is not effectively connected with the conduct of a trade or business in the United States by the Non-U.S. Holder, (2) in the case of a foreign individual, the Non-U.S. Holder is not present in the United States for 183 days or more in the taxable year, and (3) the debt securities do not constitute USRPIs, within the meaning of FIRPTA.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 </w:t>
      </w:r>
    </w:p>
    <w:p>
      <w:pPr>
        <w:pStyle w:val="TextBody"/>
        <w:bidi w:val="0"/>
        <w:spacing w:before="240" w:after="0"/>
        <w:jc w:val="left"/>
        <w:rPr>
          <w:rFonts w:ascii="Times New Roman" w:hAnsi="Times New Roman"/>
          <w:sz w:val="20"/>
        </w:rPr>
      </w:pPr>
      <w:r>
        <w:rPr>
          <w:rFonts w:ascii="Times New Roman" w:hAnsi="Times New Roman"/>
          <w:i/>
          <w:sz w:val="20"/>
        </w:rPr>
        <w:t>Withholding on Certain Foreign Accounts and Entities</w:t>
      </w:r>
      <w:r>
        <w:rPr>
          <w:rFonts w:ascii="Times New Roman" w:hAnsi="Times New Roman"/>
          <w:sz w:val="20"/>
        </w:rPr>
        <w:t xml:space="preserve">. FATCA imposes withholding taxes on “withholdable payments” (as defined below) made to “foreign financial institutions” and certain other non-U.S. 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 Investors in jurisdictions that have entered into “intergovernmental agreements” may, in lieu of the foregoing requirements, be required to report such information to their home jurisdictions. Prospective investors should consult their tax advisors regarding this legislation. </w:t>
      </w:r>
    </w:p>
    <w:p>
      <w:pPr>
        <w:pStyle w:val="TextBody"/>
        <w:bidi w:val="0"/>
        <w:spacing w:before="240" w:after="0"/>
        <w:jc w:val="left"/>
        <w:rPr>
          <w:rFonts w:ascii="Times New Roman" w:hAnsi="Times New Roman"/>
          <w:sz w:val="20"/>
        </w:rPr>
      </w:pPr>
      <w:r>
        <w:rPr>
          <w:rFonts w:ascii="Times New Roman" w:hAnsi="Times New Roman"/>
          <w:i/>
          <w:sz w:val="20"/>
        </w:rPr>
        <w:t>Information Reporting and Backup Withholding</w:t>
      </w:r>
      <w:r>
        <w:rPr>
          <w:rFonts w:ascii="Times New Roman" w:hAnsi="Times New Roman"/>
          <w:sz w:val="20"/>
        </w:rPr>
        <w:t xml:space="preserve">. Information reporting requirements and backup withholding generally will not apply to payments on a debt security to a Non-U.S. Holder if the statement described in “Non-U.S. Holders of the Debt Securities” is duly provided by such holder, provided that the withholding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(1) is a United States person, (2) derives 50% or more of its gross income for certain periods from the conduct of a trade or business in the United States, (3) is a controlled foreign corporation within the meaning of the Code or (iv) is a U.S. branch of a foreign bank or a foreign insurance company. Payment of the proceeds of any such sale effected outside the United States by a foreign office of any broker that is described in (1), (2) or (3)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 </w:t>
      </w:r>
    </w:p>
    <w:p>
      <w:pPr>
        <w:pStyle w:val="TextBody"/>
        <w:bidi w:val="0"/>
        <w:spacing w:before="480" w:after="0"/>
        <w:jc w:val="center"/>
        <w:rPr>
          <w:rFonts w:ascii="Times New Roman" w:hAnsi="Times New Roman"/>
          <w:b/>
          <w:sz w:val="20"/>
        </w:rPr>
      </w:pPr>
      <w:bookmarkStart w:id="29" w:name="toc150422_17"/>
      <w:bookmarkEnd w:id="29"/>
      <w:r>
        <w:rPr>
          <w:rFonts w:ascii="Times New Roman" w:hAnsi="Times New Roman"/>
          <w:b/>
          <w:sz w:val="20"/>
        </w:rPr>
        <w:t xml:space="preserve">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selling security holders of BXP, where applicable, will be set forth in a prospectus supplement, in a post-effective amendment, or in filings we make with the SEC which are incorporated into this prospectus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50422_18"/>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Sales by Us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in any one or more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investors, including through a specific bidding, auction or other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investors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public through underwriting syndicates led by one or more managing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one or more underwriters acting alone for resale to investors or to the public;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BXP common stock or preferred stock may be issued upon conversion of debt securities or preferred stock of BXP or in exchange for debt securities of BPLP. Securities may also be issued upon exercise of warrants of BXP. BXP and BPLP reserve the right to sell securities directly to investors on their own behalf in those jurisdictions where they are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Sales of the securities may be effected from time to time in one or more transactions, including negotiated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prices may represent a discount from the then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will,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any such underwriter, dealer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 any compensation in the form of discounts, concessions, commissions or otherwise received from us by each such underwriter or agent and in the aggregate by all underwriters and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 any discounts, concessions or commissions allowed by underwriters to participating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amounts underwritten;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nature of the underwriter’s or underwriters’ obligation to take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related prospectus supplement, each series of securities will be a new issue with no established trading market, other than shares of common stock of BXP, which are listed on the New York Stock Exchange. Any common stock sold pursuant to a prospectus supplement will be listed on the New York Stock Exchange, subject to official notice of issuance. We may elect to list any series of debt securities or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 </w:t>
      </w:r>
    </w:p>
    <w:p>
      <w:pPr>
        <w:pStyle w:val="TextBody"/>
        <w:bidi w:val="0"/>
        <w:spacing w:before="240" w:after="0"/>
        <w:jc w:val="left"/>
        <w:rPr>
          <w:rFonts w:ascii="Times New Roman" w:hAnsi="Times New Roman"/>
          <w:sz w:val="20"/>
        </w:rPr>
      </w:pPr>
      <w:r>
        <w:rPr>
          <w:rFonts w:ascii="Times New Roman" w:hAnsi="Times New Roman"/>
          <w:sz w:val="20"/>
        </w:rPr>
        <w:t xml:space="preserve">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 </w:t>
      </w:r>
    </w:p>
    <w:p>
      <w:pPr>
        <w:pStyle w:val="TextBody"/>
        <w:bidi w:val="0"/>
        <w:spacing w:before="240" w:after="0"/>
        <w:jc w:val="left"/>
        <w:rPr>
          <w:rFonts w:ascii="Times New Roman" w:hAnsi="Times New Roman"/>
          <w:sz w:val="20"/>
        </w:rPr>
      </w:pPr>
      <w:r>
        <w:rPr>
          <w:rFonts w:ascii="Times New Roman" w:hAnsi="Times New Roman"/>
          <w:sz w:val="20"/>
        </w:rPr>
        <w:t xml:space="preserve">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us, perform services for us or be our tenants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or agents that participate in the offer of securities, or their affiliates or associates, may have engaged or engage in transactions with and perform services for, BXP, BPLP or our affiliates in the ordinary course of business for which they may have received or receive customary fees and reimbursement of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Sales by Selling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(which may include cross trades) in which the broker or 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 or dealer as principal and resale by the broker or 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or secondary distribution in accordance with the rules of any stock exchange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offering at other than a fixed price on or through the facilities of any stock exchange on which the securities are listed or to or through a market maker other than on that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directly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on the securities, whether or the options are listed on an options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distribution of the securities by any security holders to its partners, members or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between a broker or dealer and any security holder to sell a specified number of the securities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any of these methods of sale or distribution, or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security holders may also transfer the securities by gift.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sales of any securities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security holders will sell all or any portion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securities to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names of any underwriter, agent or broker-dealer;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fees or other items constituting compensation to underwriters, agents or broker-dealers with respect to the particular transaction (which may exceed customary commissions or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50422_19"/>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will be passed upon for us by Goodwin Procter LLP, Boston, Massachusetts. </w:t>
      </w:r>
    </w:p>
    <w:p>
      <w:pPr>
        <w:pStyle w:val="TextBody"/>
        <w:bidi w:val="0"/>
        <w:spacing w:before="480" w:after="0"/>
        <w:jc w:val="center"/>
        <w:rPr>
          <w:rFonts w:ascii="Times New Roman" w:hAnsi="Times New Roman"/>
          <w:b/>
          <w:sz w:val="20"/>
        </w:rPr>
      </w:pPr>
      <w:bookmarkStart w:id="32" w:name="toc150422_20"/>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assessments of the effectiveness of internal control over financial reporting (which are included in Management’s Reports on Internal Control over Financial Reporting) incorporated in this prospectus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720" w:after="0"/>
        <w:jc w:val="center"/>
        <w:rPr>
          <w:rFonts w:ascii="Times New Roman" w:hAnsi="Times New Roman"/>
          <w:b/>
          <w:sz w:val="32"/>
        </w:rPr>
      </w:pPr>
      <w:r>
        <w:rPr>
          <w:rFonts w:ascii="Times New Roman" w:hAnsi="Times New Roman"/>
          <w:b/>
          <w:sz w:val="32"/>
        </w:rPr>
        <w:t xml:space="preserve">$700,000,000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343025"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343025" cy="8763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Boston Properties Limited Partnership </w:t>
      </w:r>
    </w:p>
    <w:p>
      <w:pPr>
        <w:pStyle w:val="TextBody"/>
        <w:bidi w:val="0"/>
        <w:spacing w:before="240" w:after="0"/>
        <w:jc w:val="center"/>
        <w:rPr>
          <w:rFonts w:ascii="Times New Roman" w:hAnsi="Times New Roman"/>
          <w:b/>
          <w:sz w:val="28"/>
        </w:rPr>
      </w:pPr>
      <w:r>
        <w:rPr>
          <w:rFonts w:ascii="Times New Roman" w:hAnsi="Times New Roman"/>
          <w:b/>
          <w:sz w:val="28"/>
        </w:rPr>
        <w:t xml:space="preserve">6.050% Senior Notes due 2036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17,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8"/>
        <w:gridCol w:w="189"/>
        <w:gridCol w:w="749"/>
        <w:gridCol w:w="189"/>
        <w:gridCol w:w="1399"/>
        <w:gridCol w:w="189"/>
        <w:gridCol w:w="1504"/>
        <w:gridCol w:w="189"/>
        <w:gridCol w:w="1407"/>
        <w:gridCol w:w="188"/>
        <w:gridCol w:w="60"/>
        <w:gridCol w:w="1296"/>
        <w:gridCol w:w="60"/>
        <w:gridCol w:w="189"/>
        <w:gridCol w:w="1299"/>
      </w:tblGrid>
      <w:tr>
        <w:trPr/>
        <w:tc>
          <w:tcPr>
            <w:tcW w:w="129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b/>
              </w:rPr>
            </w:pPr>
            <w:r>
              <w:rPr>
                <w:b/>
              </w:rPr>
              <w:t>J.P. Morgan</w:t>
            </w:r>
          </w:p>
        </w:tc>
        <w:tc>
          <w:tcPr>
            <w:tcW w:w="189" w:type="dxa"/>
            <w:tcBorders/>
            <w:vAlign w:val="bottom"/>
          </w:tcPr>
          <w:p>
            <w:pPr>
              <w:pStyle w:val="TableContents"/>
              <w:bidi w:val="0"/>
              <w:spacing w:before="0" w:after="283"/>
              <w:jc w:val="left"/>
              <w:rPr/>
            </w:pPr>
            <w:r>
              <w:rPr/>
              <w:t> </w:t>
            </w:r>
          </w:p>
        </w:tc>
        <w:tc>
          <w:tcPr>
            <w:tcW w:w="749" w:type="dxa"/>
            <w:tcBorders/>
          </w:tcPr>
          <w:p>
            <w:pPr>
              <w:pStyle w:val="TableContents"/>
              <w:bidi w:val="0"/>
              <w:spacing w:before="0" w:after="283"/>
              <w:jc w:val="center"/>
              <w:rPr>
                <w:b/>
              </w:rPr>
            </w:pPr>
            <w:r>
              <w:rPr>
                <w:b/>
              </w:rPr>
              <w:t>BBVA</w:t>
            </w:r>
          </w:p>
        </w:tc>
        <w:tc>
          <w:tcPr>
            <w:tcW w:w="189" w:type="dxa"/>
            <w:tcBorders/>
            <w:vAlign w:val="bottom"/>
          </w:tcPr>
          <w:p>
            <w:pPr>
              <w:pStyle w:val="TableContents"/>
              <w:bidi w:val="0"/>
              <w:spacing w:before="0" w:after="283"/>
              <w:jc w:val="left"/>
              <w:rPr/>
            </w:pPr>
            <w:r>
              <w:rPr/>
              <w:t> </w:t>
            </w:r>
          </w:p>
        </w:tc>
        <w:tc>
          <w:tcPr>
            <w:tcW w:w="1399" w:type="dxa"/>
            <w:tcBorders/>
          </w:tcPr>
          <w:p>
            <w:pPr>
              <w:pStyle w:val="TableContents"/>
              <w:bidi w:val="0"/>
              <w:spacing w:before="0" w:after="283"/>
              <w:jc w:val="center"/>
              <w:rPr>
                <w:b/>
              </w:rPr>
            </w:pPr>
            <w:r>
              <w:rPr>
                <w:b/>
              </w:rPr>
              <w:t>BNY Capital</w:t>
              <w:br/>
              <w:t>Markets</w:t>
            </w:r>
          </w:p>
        </w:tc>
        <w:tc>
          <w:tcPr>
            <w:tcW w:w="189"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b/>
              </w:rPr>
            </w:pPr>
            <w:r>
              <w:rPr>
                <w:b/>
              </w:rPr>
              <w:t>PNC Capital</w:t>
              <w:br/>
              <w:t>Markets LLC</w:t>
            </w:r>
          </w:p>
        </w:tc>
        <w:tc>
          <w:tcPr>
            <w:tcW w:w="189" w:type="dxa"/>
            <w:tcBorders/>
            <w:vAlign w:val="bottom"/>
          </w:tcPr>
          <w:p>
            <w:pPr>
              <w:pStyle w:val="TableContents"/>
              <w:bidi w:val="0"/>
              <w:spacing w:before="0" w:after="283"/>
              <w:jc w:val="left"/>
              <w:rPr/>
            </w:pPr>
            <w:r>
              <w:rPr/>
              <w:t> </w:t>
            </w:r>
          </w:p>
        </w:tc>
        <w:tc>
          <w:tcPr>
            <w:tcW w:w="1407" w:type="dxa"/>
            <w:tcBorders/>
          </w:tcPr>
          <w:p>
            <w:pPr>
              <w:pStyle w:val="TableContents"/>
              <w:bidi w:val="0"/>
              <w:spacing w:before="0" w:after="283"/>
              <w:jc w:val="center"/>
              <w:rPr>
                <w:b/>
              </w:rPr>
            </w:pPr>
            <w:r>
              <w:rPr>
                <w:b/>
              </w:rPr>
              <w:t>TD Securities</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96" w:type="dxa"/>
            <w:tcBorders/>
          </w:tcPr>
          <w:p>
            <w:pPr>
              <w:pStyle w:val="TableContents"/>
              <w:bidi w:val="0"/>
              <w:spacing w:before="0" w:after="283"/>
              <w:jc w:val="right"/>
              <w:rPr>
                <w:b/>
              </w:rPr>
            </w:pPr>
            <w:r>
              <w:rPr>
                <w:b/>
              </w:rPr>
              <w:t>US Bancorp</w:t>
            </w:r>
          </w:p>
        </w:tc>
        <w:tc>
          <w:tcPr>
            <w:tcW w:w="60" w:type="dxa"/>
            <w:tcBorders/>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99" w:type="dxa"/>
            <w:tcBorders/>
            <w:vAlign w:val="bottom"/>
          </w:tcPr>
          <w:p>
            <w:pPr>
              <w:pStyle w:val="TableContents"/>
              <w:bidi w:val="0"/>
              <w:spacing w:before="0" w:after="283"/>
              <w:jc w:val="center"/>
              <w:rPr>
                <w:b/>
              </w:rPr>
            </w:pPr>
            <w:r>
              <w:rPr>
                <w:b/>
              </w:rPr>
              <w:t>Wells Fargo</w:t>
              <w:br/>
              <w:t>Securities</w:t>
            </w:r>
          </w:p>
        </w:tc>
      </w:tr>
    </w:tbl>
    <w:tbl>
      <w:tblPr>
        <w:tblW w:w="5000" w:type="pct"/>
        <w:jc w:val="center"/>
        <w:tblInd w:w="0" w:type="dxa"/>
        <w:tblLayout w:type="fixed"/>
        <w:tblCellMar>
          <w:top w:w="0" w:type="dxa"/>
          <w:left w:w="0" w:type="dxa"/>
          <w:bottom w:w="0" w:type="dxa"/>
          <w:right w:w="0" w:type="dxa"/>
        </w:tblCellMar>
      </w:tblPr>
      <w:tblGrid>
        <w:gridCol w:w="1654"/>
        <w:gridCol w:w="1435"/>
        <w:gridCol w:w="1655"/>
        <w:gridCol w:w="1435"/>
        <w:gridCol w:w="827"/>
        <w:gridCol w:w="1435"/>
        <w:gridCol w:w="1764"/>
      </w:tblGrid>
      <w:tr>
        <w:trPr/>
        <w:tc>
          <w:tcPr>
            <w:tcW w:w="1654"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35" w:type="dxa"/>
            <w:tcBorders/>
            <w:vAlign w:val="bottom"/>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654" w:type="dxa"/>
            <w:tcBorders/>
            <w:vAlign w:val="center"/>
          </w:tcPr>
          <w:p>
            <w:pPr>
              <w:pStyle w:val="TableContents"/>
              <w:bidi w:val="0"/>
              <w:spacing w:before="0" w:after="283"/>
              <w:jc w:val="left"/>
              <w:rPr>
                <w:sz w:val="4"/>
                <w:szCs w:val="4"/>
              </w:rPr>
            </w:pPr>
            <w:r>
              <w:rPr>
                <w:sz w:val="4"/>
                <w:szCs w:val="4"/>
              </w:rPr>
            </w:r>
          </w:p>
        </w:tc>
        <w:tc>
          <w:tcPr>
            <w:tcW w:w="3090" w:type="dxa"/>
            <w:gridSpan w:val="2"/>
            <w:tcBorders/>
            <w:vAlign w:val="center"/>
          </w:tcPr>
          <w:p>
            <w:pPr>
              <w:pStyle w:val="TableContents"/>
              <w:bidi w:val="0"/>
              <w:spacing w:before="0" w:after="283"/>
              <w:jc w:val="left"/>
              <w:rPr>
                <w:sz w:val="4"/>
                <w:szCs w:val="4"/>
              </w:rPr>
            </w:pPr>
            <w:r>
              <w:rPr>
                <w:sz w:val="4"/>
                <w:szCs w:val="4"/>
              </w:rPr>
            </w:r>
          </w:p>
        </w:tc>
        <w:tc>
          <w:tcPr>
            <w:tcW w:w="2262" w:type="dxa"/>
            <w:gridSpan w:val="2"/>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shd w:fill="CCEEFF" w:val="clear"/>
          </w:tcPr>
          <w:p>
            <w:pPr>
              <w:pStyle w:val="TableContents"/>
              <w:bidi w:val="0"/>
              <w:spacing w:before="0" w:after="283"/>
              <w:jc w:val="center"/>
              <w:rPr>
                <w:b/>
              </w:rPr>
            </w:pPr>
            <w:r>
              <w:rPr>
                <w:b/>
              </w:rPr>
              <w:t>BofA Securities</w:t>
            </w:r>
          </w:p>
        </w:tc>
        <w:tc>
          <w:tcPr>
            <w:tcW w:w="1435" w:type="dxa"/>
            <w:tcBorders/>
            <w:shd w:fill="CCEEFF" w:val="clear"/>
            <w:vAlign w:val="bottom"/>
          </w:tcPr>
          <w:p>
            <w:pPr>
              <w:pStyle w:val="TableContents"/>
              <w:bidi w:val="0"/>
              <w:spacing w:before="0" w:after="283"/>
              <w:jc w:val="left"/>
              <w:rPr/>
            </w:pPr>
            <w:r>
              <w:rPr/>
              <w:t> </w:t>
            </w:r>
          </w:p>
        </w:tc>
        <w:tc>
          <w:tcPr>
            <w:tcW w:w="1655" w:type="dxa"/>
            <w:tcBorders/>
            <w:shd w:fill="CCEEFF" w:val="clear"/>
            <w:vAlign w:val="bottom"/>
          </w:tcPr>
          <w:p>
            <w:pPr>
              <w:pStyle w:val="TableContents"/>
              <w:bidi w:val="0"/>
              <w:spacing w:before="0" w:after="283"/>
              <w:jc w:val="center"/>
              <w:rPr>
                <w:b/>
              </w:rPr>
            </w:pPr>
            <w:r>
              <w:rPr>
                <w:b/>
              </w:rPr>
              <w:t>M&amp;T Securities</w:t>
            </w:r>
          </w:p>
        </w:tc>
        <w:tc>
          <w:tcPr>
            <w:tcW w:w="1435"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center"/>
              <w:rPr>
                <w:b/>
              </w:rPr>
            </w:pPr>
            <w:r>
              <w:rPr>
                <w:b/>
              </w:rPr>
              <w:t>Mizuho</w:t>
            </w:r>
          </w:p>
        </w:tc>
        <w:tc>
          <w:tcPr>
            <w:tcW w:w="1435"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center"/>
              <w:rPr>
                <w:b/>
              </w:rPr>
            </w:pPr>
            <w:r>
              <w:rPr>
                <w:b/>
              </w:rPr>
              <w:t>Morgan Stanley</w:t>
            </w:r>
          </w:p>
        </w:tc>
      </w:tr>
      <w:tr>
        <w:trPr>
          <w:trHeight w:val="120" w:hRule="atLeast"/>
        </w:trPr>
        <w:tc>
          <w:tcPr>
            <w:tcW w:w="1654" w:type="dxa"/>
            <w:tcBorders/>
            <w:vAlign w:val="center"/>
          </w:tcPr>
          <w:p>
            <w:pPr>
              <w:pStyle w:val="TableContents"/>
              <w:bidi w:val="0"/>
              <w:spacing w:before="0" w:after="283"/>
              <w:jc w:val="left"/>
              <w:rPr>
                <w:sz w:val="4"/>
                <w:szCs w:val="4"/>
              </w:rPr>
            </w:pPr>
            <w:r>
              <w:rPr>
                <w:sz w:val="4"/>
                <w:szCs w:val="4"/>
              </w:rPr>
            </w:r>
          </w:p>
        </w:tc>
        <w:tc>
          <w:tcPr>
            <w:tcW w:w="5352" w:type="dxa"/>
            <w:gridSpan w:val="4"/>
            <w:tcBorders/>
            <w:vAlign w:val="center"/>
          </w:tcPr>
          <w:p>
            <w:pPr>
              <w:pStyle w:val="TableContents"/>
              <w:bidi w:val="0"/>
              <w:spacing w:before="0" w:after="283"/>
              <w:jc w:val="left"/>
              <w:rPr>
                <w:sz w:val="4"/>
                <w:szCs w:val="4"/>
              </w:rPr>
            </w:pPr>
            <w:r>
              <w:rPr>
                <w:sz w:val="4"/>
                <w:szCs w:val="4"/>
              </w:rPr>
            </w:r>
          </w:p>
        </w:tc>
        <w:tc>
          <w:tcPr>
            <w:tcW w:w="3199" w:type="dxa"/>
            <w:gridSpan w:val="2"/>
            <w:tcBorders/>
            <w:vAlign w:val="center"/>
          </w:tcPr>
          <w:p>
            <w:pPr>
              <w:pStyle w:val="TableContents"/>
              <w:bidi w:val="0"/>
              <w:spacing w:before="0" w:after="283"/>
              <w:jc w:val="left"/>
              <w:rPr>
                <w:sz w:val="4"/>
                <w:szCs w:val="4"/>
              </w:rPr>
            </w:pPr>
            <w:r>
              <w:rPr>
                <w:sz w:val="4"/>
                <w:szCs w:val="4"/>
              </w:rPr>
            </w:r>
          </w:p>
        </w:tc>
      </w:tr>
      <w:tr>
        <w:trPr/>
        <w:tc>
          <w:tcPr>
            <w:tcW w:w="1654" w:type="dxa"/>
            <w:tcBorders/>
          </w:tcPr>
          <w:p>
            <w:pPr>
              <w:pStyle w:val="TableContents"/>
              <w:bidi w:val="0"/>
              <w:spacing w:before="0" w:after="283"/>
              <w:jc w:val="center"/>
              <w:rPr>
                <w:b/>
              </w:rPr>
            </w:pPr>
            <w:r>
              <w:rPr>
                <w:b/>
              </w:rPr>
              <w:t>Scotiabank</w:t>
            </w:r>
          </w:p>
        </w:tc>
        <w:tc>
          <w:tcPr>
            <w:tcW w:w="1435" w:type="dxa"/>
            <w:tcBorders/>
            <w:vAlign w:val="bottom"/>
          </w:tcPr>
          <w:p>
            <w:pPr>
              <w:pStyle w:val="TableContents"/>
              <w:bidi w:val="0"/>
              <w:spacing w:before="0" w:after="283"/>
              <w:jc w:val="left"/>
              <w:rPr/>
            </w:pPr>
            <w:r>
              <w:rPr/>
              <w:t> </w:t>
            </w:r>
          </w:p>
        </w:tc>
        <w:tc>
          <w:tcPr>
            <w:tcW w:w="3917" w:type="dxa"/>
            <w:gridSpan w:val="3"/>
            <w:tcBorders/>
            <w:vAlign w:val="bottom"/>
          </w:tcPr>
          <w:p>
            <w:pPr>
              <w:pStyle w:val="TableContents"/>
              <w:bidi w:val="0"/>
              <w:spacing w:before="0" w:after="283"/>
              <w:jc w:val="center"/>
              <w:rPr>
                <w:b/>
              </w:rPr>
            </w:pPr>
            <w:r>
              <w:rPr>
                <w:b/>
              </w:rPr>
              <w:t>SMBC Nikko</w:t>
            </w:r>
          </w:p>
        </w:tc>
        <w:tc>
          <w:tcPr>
            <w:tcW w:w="1435"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center"/>
              <w:rPr>
                <w:b/>
              </w:rPr>
            </w:pPr>
            <w:r>
              <w:rPr>
                <w:b/>
              </w:rPr>
              <w:t>Truist Securities</w:t>
            </w:r>
          </w:p>
        </w:tc>
      </w:tr>
    </w:tbl>
    <w:p>
      <w:pPr>
        <w:pStyle w:val="TextBody"/>
        <w:bidi w:val="0"/>
        <w:spacing w:before="120" w:after="0"/>
        <w:jc w:val="center"/>
        <w:rPr>
          <w:rFonts w:ascii="Times New Roman" w:hAnsi="Times New Roman"/>
          <w:b/>
          <w:i/>
          <w:sz w:val="20"/>
        </w:rPr>
      </w:pPr>
      <w:r>
        <w:rPr>
          <w:rFonts w:ascii="Times New Roman" w:hAnsi="Times New Roman"/>
          <w:b/>
          <w:i/>
          <w:sz w:val="20"/>
        </w:rPr>
        <w:t xml:space="preserve">Co-Manager </w:t>
      </w:r>
    </w:p>
    <w:p>
      <w:pPr>
        <w:pStyle w:val="TextBody"/>
        <w:bidi w:val="0"/>
        <w:spacing w:before="120" w:after="0"/>
        <w:jc w:val="center"/>
        <w:rPr>
          <w:rFonts w:ascii="Times New Roman" w:hAnsi="Times New Roman"/>
          <w:b/>
          <w:sz w:val="16"/>
        </w:rPr>
      </w:pPr>
      <w:r>
        <w:rPr>
          <w:rFonts w:ascii="Times New Roman" w:hAnsi="Times New Roman"/>
          <w:b/>
          <w:sz w:val="16"/>
        </w:rPr>
        <w:t xml:space="preserve">R. Seelaus &amp; Co., LLC </w:t>
      </w:r>
    </w:p>
    <w:p>
      <w:pPr>
        <w:pStyle w:val="TextBody"/>
        <w:bidi w:val="0"/>
        <w:spacing w:before="1200" w:after="0"/>
        <w:jc w:val="center"/>
        <w:rPr>
          <w:rFonts w:ascii="Times New Roman" w:hAnsi="Times New Roman"/>
          <w:b/>
          <w:sz w:val="20"/>
        </w:rPr>
      </w:pPr>
      <w:r>
        <w:rPr>
          <w:rFonts w:ascii="Times New Roman" w:hAnsi="Times New Roman"/>
          <w:b/>
          <w:sz w:val="20"/>
        </w:rPr>
        <w:t xml:space="preserve">The date of this prospectus supplement is August 17,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3" w:name="d150422dexfilingfees.htm"/>
      <w:bookmarkStart w:id="34" w:name="ksd150422dexfilingfees"/>
      <w:bookmarkStart w:id="35" w:name="d150422dexfilingfees.htm"/>
      <w:bookmarkStart w:id="36" w:name="ksd150422dexfilingfees"/>
      <w:bookmarkEnd w:id="35"/>
      <w:bookmarkEnd w:id="36"/>
      <w:r>
        <w:br w:type="page"/>
      </w:r>
    </w:p>
    <w:tbl>
      <w:tblPr>
        <w:tblW w:w="5345" w:type="dxa"/>
        <w:jc w:val="left"/>
        <w:tblInd w:w="0" w:type="dxa"/>
        <w:tblLayout w:type="fixed"/>
        <w:tblCellMar>
          <w:top w:w="28" w:type="dxa"/>
          <w:left w:w="28" w:type="dxa"/>
          <w:bottom w:w="28" w:type="dxa"/>
          <w:right w:w="28" w:type="dxa"/>
        </w:tblCellMar>
      </w:tblPr>
      <w:tblGrid>
        <w:gridCol w:w="5191"/>
        <w:gridCol w:w="154"/>
      </w:tblGrid>
      <w:tr>
        <w:trPr/>
        <w:tc>
          <w:tcPr>
            <w:tcW w:w="53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51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b/>
              </w:rPr>
            </w:pPr>
            <w:r>
              <w:rPr>
                <w:b/>
              </w:rPr>
              <w:t xml:space="preserve">BOSTON PROPERTIES LTD PARTNERSHIP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0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6.050% Senior Notes due 2036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$ 698,859,000.00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$ 96,512.43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$ 698,859,000.00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$ 96,512.43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$ 96,512.43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8"/>
        <w:gridCol w:w="8705"/>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The prospectus supplement to which this Exhibit 107 relates registers the offering of $700,000,000 aggregate principal amount of 6.050% senior notes due 2036 by Boston Properties Limited Partnership, with a maximum aggregate offering price of $698,859,000. The registration fee is calculated in accordance with Rule 457(o) under the Securities Act of 1933, as amended (the "Securities Act"), based on the proposed maximum aggregate offering price. In accordance with Rules 456(b) and 457(r) under the Securities Act, Boston Properties Limited Partnership initially deferred payment of the registration fee for the registration statement on Form S-3 filed March 6, 2026 (File No. 333-294080-01) (the "Registration Statement") and this "Calculation of Registration Fee" table shall be deemed to update the "Calculation of Filing Fee" table filed as Exhibit 107 to the Registration Statement.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$698,859,000.00.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1037540/000103754026000006/bxp-20251231.htm" TargetMode="External"/><Relationship Id="rId5" Type="http://schemas.openxmlformats.org/officeDocument/2006/relationships/hyperlink" Target="http://www.sec.gov/Archives/edgar/data/1037540/0000927016-97-001687.txt" TargetMode="External"/><Relationship Id="rId6" Type="http://schemas.openxmlformats.org/officeDocument/2006/relationships/hyperlink" Target="http://www.sec.gov/Archives/edgar/data/1037540/000165642325000009/bxpbplp20241231ex42.htm" TargetMode="External"/><Relationship Id="rId7" Type="http://schemas.openxmlformats.org/officeDocument/2006/relationships/hyperlink" Target="http://www.sec.gov/Archives/edgar/data/../../../ix?doc=/Archives/edgar/data/1037540/000165642325000009/bxp-20241231.htm"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145</Pages>
  <Words>66112</Words>
  <Characters>343224</Characters>
  <CharactersWithSpaces>410222</CharactersWithSpaces>
  <Paragraphs>3533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