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Einiger Carol B.</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369.82</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31,598.17</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12/31/2024</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369.82</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74.36</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375.32 Phantom Stock Units received pursuant to dividend equivalent rights which were credited to the Reporting Person on October 31, 2024.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01/02/2025</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9668"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2025-01-02T11:34:06Z</dcterms:created>
  <dcterms:modified xsi:type="dcterms:W3CDTF">2025-01-02T11:34:06Z</dcterms:modified>
</cp:coreProperties>
</file>