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70820.xml.htm"/>
      <w:bookmarkStart w:id="1" w:name="kswkform4_17908708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KIPP MARY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BOYLSTON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BXP, Inc.</w:t>
              </w:r>
            </w:hyperlink>
            <w:r>
              <w:rPr/>
              <w:t xml:space="preserve"> [ </w:t>
            </w:r>
            <w:r>
              <w:rPr>
                <w:rFonts w:ascii="Times;serif" w:hAnsi="Times;serif"/>
                <w:color w:val="0000FF"/>
                <w:sz w:val="24"/>
                <w:shd w:fill="FFFFFF" w:val="clear"/>
              </w:rPr>
              <w:t>BXP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8,982.63</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convert to BXP, Inc. ("BXP") common stock on a 1-for-1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Phantom Stock Units are awarded under BXP's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all or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84.34 Phantom Stock Units received pursuant to dividend equivalent rights which were credited to the Reporting Person on July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A. DiLuglio,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8538" TargetMode="External"/><Relationship Id="rId5" Type="http://schemas.openxmlformats.org/officeDocument/2006/relationships/hyperlink" Target="http://www.sec.gov/cgi-bin/browse-edgar?action=getcompany&amp;CIK=00010375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4112</Characters>
  <CharactersWithSpaces>4809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