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200660</wp:posOffset>
            </wp:positionV>
            <wp:extent cx="2597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43"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194945</wp:posOffset>
            </wp:positionV>
            <wp:extent cx="2597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27, 2026</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BXP, INC.</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BOSTON PROPERTIES LIMITED PARTNERSHIP</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280" w:type="dxa"/>
        <w:tblCellMar>
          <w:top w:w="0" w:type="dxa"/>
          <w:left w:w="0" w:type="dxa"/>
          <w:bottom w:w="0" w:type="dxa"/>
          <w:right w:w="0" w:type="dxa"/>
        </w:tblCellMar>
      </w:tblPr>
      <w:tr>
        <w:trPr>
          <w:trHeight w:val="288"/>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BXP, Inc.</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tcPr>
          <w:p>
            <w:pPr>
              <w:jc w:val="center"/>
              <w:ind w:right="75"/>
              <w:spacing w:after="0"/>
              <w:rPr>
                <w:sz w:val="20"/>
                <w:szCs w:val="20"/>
                <w:color w:val="auto"/>
              </w:rPr>
            </w:pPr>
            <w:r>
              <w:rPr>
                <w:rFonts w:ascii="Arial" w:cs="Arial" w:eastAsia="Arial" w:hAnsi="Arial"/>
                <w:sz w:val="18"/>
                <w:szCs w:val="18"/>
                <w:b w:val="1"/>
                <w:bCs w:val="1"/>
                <w:color w:val="auto"/>
                <w:w w:val="99"/>
              </w:rPr>
              <w:t>1-13087</w:t>
            </w:r>
          </w:p>
        </w:tc>
        <w:tc>
          <w:tcPr>
            <w:tcW w:w="1860" w:type="dxa"/>
            <w:vAlign w:val="bottom"/>
          </w:tcPr>
          <w:p>
            <w:pPr>
              <w:jc w:val="center"/>
              <w:ind w:left="536"/>
              <w:spacing w:after="0"/>
              <w:rPr>
                <w:sz w:val="20"/>
                <w:szCs w:val="20"/>
                <w:color w:val="auto"/>
              </w:rPr>
            </w:pPr>
            <w:r>
              <w:rPr>
                <w:rFonts w:ascii="Arial" w:cs="Arial" w:eastAsia="Arial" w:hAnsi="Arial"/>
                <w:sz w:val="18"/>
                <w:szCs w:val="18"/>
                <w:b w:val="1"/>
                <w:bCs w:val="1"/>
                <w:color w:val="auto"/>
                <w:w w:val="99"/>
              </w:rPr>
              <w:t>04-2473675</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3"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3"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3"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rPr>
              <w:t>Boston Properties Limited</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177"/>
        </w:trPr>
        <w:tc>
          <w:tcPr>
            <w:tcW w:w="2620" w:type="dxa"/>
            <w:vAlign w:val="bottom"/>
            <w:vMerge w:val="continue"/>
          </w:tcPr>
          <w:p>
            <w:pPr>
              <w:spacing w:after="0"/>
              <w:rPr>
                <w:sz w:val="15"/>
                <w:szCs w:val="15"/>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vMerge w:val="restart"/>
          </w:tcPr>
          <w:p>
            <w:pPr>
              <w:jc w:val="center"/>
              <w:ind w:right="75"/>
              <w:spacing w:after="0"/>
              <w:rPr>
                <w:sz w:val="20"/>
                <w:szCs w:val="20"/>
                <w:color w:val="auto"/>
              </w:rPr>
            </w:pPr>
            <w:r>
              <w:rPr>
                <w:rFonts w:ascii="Arial" w:cs="Arial" w:eastAsia="Arial" w:hAnsi="Arial"/>
                <w:sz w:val="18"/>
                <w:szCs w:val="18"/>
                <w:b w:val="1"/>
                <w:bCs w:val="1"/>
                <w:color w:val="auto"/>
                <w:w w:val="99"/>
              </w:rPr>
              <w:t>0-50209</w:t>
            </w:r>
          </w:p>
        </w:tc>
        <w:tc>
          <w:tcPr>
            <w:tcW w:w="1860" w:type="dxa"/>
            <w:vAlign w:val="bottom"/>
            <w:vMerge w:val="restart"/>
          </w:tcPr>
          <w:p>
            <w:pPr>
              <w:jc w:val="center"/>
              <w:ind w:left="536"/>
              <w:spacing w:after="0"/>
              <w:rPr>
                <w:sz w:val="20"/>
                <w:szCs w:val="20"/>
                <w:color w:val="auto"/>
              </w:rPr>
            </w:pPr>
            <w:r>
              <w:rPr>
                <w:rFonts w:ascii="Arial" w:cs="Arial" w:eastAsia="Arial" w:hAnsi="Arial"/>
                <w:sz w:val="18"/>
                <w:szCs w:val="18"/>
                <w:b w:val="1"/>
                <w:bCs w:val="1"/>
                <w:color w:val="auto"/>
                <w:w w:val="99"/>
              </w:rPr>
              <w:t>04-3372948</w:t>
            </w:r>
          </w:p>
        </w:tc>
        <w:tc>
          <w:tcPr>
            <w:tcW w:w="0" w:type="dxa"/>
            <w:vAlign w:val="bottom"/>
          </w:tcPr>
          <w:p>
            <w:pPr>
              <w:spacing w:after="0"/>
              <w:rPr>
                <w:sz w:val="1"/>
                <w:szCs w:val="1"/>
                <w:color w:val="auto"/>
              </w:rPr>
            </w:pPr>
          </w:p>
        </w:tc>
      </w:tr>
      <w:tr>
        <w:trPr>
          <w:trHeight w:val="242"/>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Partnership</w:t>
            </w:r>
          </w:p>
        </w:tc>
        <w:tc>
          <w:tcPr>
            <w:tcW w:w="2720" w:type="dxa"/>
            <w:vAlign w:val="bottom"/>
            <w:vMerge w:val="continue"/>
          </w:tcPr>
          <w:p>
            <w:pPr>
              <w:spacing w:after="0"/>
              <w:rPr>
                <w:sz w:val="21"/>
                <w:szCs w:val="21"/>
                <w:color w:val="auto"/>
              </w:rPr>
            </w:pPr>
          </w:p>
        </w:tc>
        <w:tc>
          <w:tcPr>
            <w:tcW w:w="298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3"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3"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3"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bl>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800 Boylston Street, Suite 1900, Boston, Massachusetts 02199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(617) 236-3300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391" w:lineRule="exact"/>
        <w:rPr>
          <w:sz w:val="24"/>
          <w:szCs w:val="24"/>
          <w:color w:val="auto"/>
        </w:rPr>
      </w:pPr>
    </w:p>
    <w:p>
      <w:pPr>
        <w:spacing w:after="0" w:line="278"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4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21"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21"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gridSpan w:val="2"/>
            <w:vMerge w:val="restart"/>
          </w:tcPr>
          <w:p>
            <w:pPr>
              <w:ind w:left="860"/>
              <w:spacing w:after="0"/>
              <w:rPr>
                <w:sz w:val="20"/>
                <w:szCs w:val="20"/>
                <w:color w:val="auto"/>
              </w:rPr>
            </w:pPr>
            <w:r>
              <w:rPr>
                <w:rFonts w:ascii="Arial" w:cs="Arial" w:eastAsia="Arial" w:hAnsi="Arial"/>
                <w:sz w:val="16"/>
                <w:szCs w:val="16"/>
                <w:b w:val="1"/>
                <w:bCs w:val="1"/>
                <w:color w:val="auto"/>
              </w:rPr>
              <w:t>Registrant</w:t>
            </w: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7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9"/>
              </w:rPr>
              <w:t>Name of each</w:t>
            </w: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2760" w:type="dxa"/>
            <w:vAlign w:val="bottom"/>
            <w:gridSpan w:val="2"/>
            <w:vMerge w:val="continue"/>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88"/>
        </w:trPr>
        <w:tc>
          <w:tcPr>
            <w:tcW w:w="2500" w:type="dxa"/>
            <w:vAlign w:val="bottom"/>
            <w:tcBorders>
              <w:top w:val="single" w:sz="8" w:color="auto"/>
            </w:tcBorders>
          </w:tcPr>
          <w:p>
            <w:pPr>
              <w:ind w:left="860"/>
              <w:spacing w:after="0" w:line="188" w:lineRule="exact"/>
              <w:rPr>
                <w:sz w:val="20"/>
                <w:szCs w:val="20"/>
                <w:color w:val="auto"/>
              </w:rPr>
            </w:pPr>
            <w:r>
              <w:rPr>
                <w:rFonts w:ascii="Arial" w:cs="Arial" w:eastAsia="Arial" w:hAnsi="Arial"/>
                <w:sz w:val="20"/>
                <w:szCs w:val="20"/>
                <w:color w:val="auto"/>
              </w:rPr>
              <w:t>BXP, Inc.</w:t>
            </w:r>
          </w:p>
        </w:tc>
        <w:tc>
          <w:tcPr>
            <w:tcW w:w="240" w:type="dxa"/>
            <w:vAlign w:val="bottom"/>
          </w:tcPr>
          <w:p>
            <w:pPr>
              <w:spacing w:after="0"/>
              <w:rPr>
                <w:sz w:val="16"/>
                <w:szCs w:val="16"/>
                <w:color w:val="auto"/>
              </w:rPr>
            </w:pPr>
          </w:p>
        </w:tc>
        <w:tc>
          <w:tcPr>
            <w:tcW w:w="25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20"/>
                <w:szCs w:val="20"/>
                <w:color w:val="auto"/>
                <w:w w:val="99"/>
              </w:rPr>
              <w:t>Common Stock, par value</w:t>
            </w:r>
          </w:p>
        </w:tc>
        <w:tc>
          <w:tcPr>
            <w:tcW w:w="220" w:type="dxa"/>
            <w:vAlign w:val="bottom"/>
          </w:tcPr>
          <w:p>
            <w:pPr>
              <w:spacing w:after="0"/>
              <w:rPr>
                <w:sz w:val="16"/>
                <w:szCs w:val="16"/>
                <w:color w:val="auto"/>
              </w:rPr>
            </w:pPr>
          </w:p>
        </w:tc>
        <w:tc>
          <w:tcPr>
            <w:tcW w:w="25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20"/>
                <w:szCs w:val="20"/>
                <w:color w:val="auto"/>
                <w:w w:val="94"/>
              </w:rPr>
              <w:t>BXP</w:t>
            </w:r>
          </w:p>
        </w:tc>
        <w:tc>
          <w:tcPr>
            <w:tcW w:w="220" w:type="dxa"/>
            <w:vAlign w:val="bottom"/>
          </w:tcPr>
          <w:p>
            <w:pPr>
              <w:spacing w:after="0"/>
              <w:rPr>
                <w:sz w:val="16"/>
                <w:szCs w:val="16"/>
                <w:color w:val="auto"/>
              </w:rPr>
            </w:pPr>
          </w:p>
        </w:tc>
        <w:tc>
          <w:tcPr>
            <w:tcW w:w="30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20"/>
                <w:szCs w:val="20"/>
                <w:color w:val="auto"/>
                <w:w w:val="97"/>
              </w:rPr>
              <w:t>New York Stock Exchange</w:t>
            </w:r>
          </w:p>
        </w:tc>
        <w:tc>
          <w:tcPr>
            <w:tcW w:w="0" w:type="dxa"/>
            <w:vAlign w:val="bottom"/>
          </w:tcPr>
          <w:p>
            <w:pPr>
              <w:spacing w:after="0"/>
              <w:rPr>
                <w:sz w:val="1"/>
                <w:szCs w:val="1"/>
                <w:color w:val="auto"/>
              </w:rPr>
            </w:pPr>
          </w:p>
        </w:tc>
      </w:tr>
      <w:tr>
        <w:trPr>
          <w:trHeight w:val="261"/>
        </w:trPr>
        <w:tc>
          <w:tcPr>
            <w:tcW w:w="2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20"/>
                <w:szCs w:val="20"/>
                <w:color w:val="auto"/>
                <w:w w:val="99"/>
              </w:rPr>
              <w:t>$0.01 per share</w:t>
            </w:r>
          </w:p>
        </w:tc>
        <w:tc>
          <w:tcPr>
            <w:tcW w:w="2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05"/>
        <w:spacing w:after="0" w:line="255"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BXP, Inc.:</w:t>
      </w:r>
    </w:p>
    <w:p>
      <w:pPr>
        <w:spacing w:after="0" w:line="8"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Boston Properties Limited Partnership:</w:t>
      </w:r>
    </w:p>
    <w:p>
      <w:pPr>
        <w:spacing w:after="0" w:line="26"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right="40" w:firstLine="405"/>
        <w:spacing w:after="0" w:line="269"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9" w:lineRule="exact"/>
        <w:rPr>
          <w:sz w:val="20"/>
          <w:szCs w:val="20"/>
          <w:color w:val="auto"/>
        </w:rPr>
      </w:pPr>
    </w:p>
    <w:p>
      <w:pPr>
        <w:ind w:left="420"/>
        <w:spacing w:after="0" w:line="230" w:lineRule="exact"/>
        <w:tabs>
          <w:tab w:leader="none" w:pos="1920" w:val="left"/>
        </w:tabs>
        <w:rPr>
          <w:sz w:val="20"/>
          <w:szCs w:val="20"/>
          <w:color w:val="auto"/>
        </w:rPr>
      </w:pPr>
      <w:r>
        <w:rPr>
          <w:rFonts w:ascii="Arial" w:cs="Arial" w:eastAsia="Arial" w:hAnsi="Arial"/>
          <w:sz w:val="20"/>
          <w:szCs w:val="20"/>
          <w:color w:val="auto"/>
        </w:rPr>
        <w:t xml:space="preserve">BXP, Inc.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Boston Properties Limited Partnership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 w:name="page3"/>
    <w:bookmarkEnd w:id="2"/>
    <w:p>
      <w:pPr>
        <w:spacing w:after="0"/>
        <w:tabs>
          <w:tab w:leader="none" w:pos="1100" w:val="left"/>
        </w:tabs>
        <w:rPr>
          <w:sz w:val="20"/>
          <w:szCs w:val="20"/>
          <w:color w:val="auto"/>
        </w:rPr>
      </w:pPr>
      <w:r>
        <w:rPr>
          <w:rFonts w:ascii="Arial" w:cs="Arial" w:eastAsia="Arial" w:hAnsi="Arial"/>
          <w:sz w:val="20"/>
          <w:szCs w:val="20"/>
          <w:b w:val="1"/>
          <w:bCs w:val="1"/>
          <w:color w:val="auto"/>
        </w:rPr>
        <w:t>Item 2.06.</w:t>
      </w:r>
      <w:r>
        <w:rPr>
          <w:sz w:val="20"/>
          <w:szCs w:val="20"/>
          <w:color w:val="auto"/>
        </w:rPr>
        <w:tab/>
      </w:r>
      <w:r>
        <w:rPr>
          <w:rFonts w:ascii="Arial" w:cs="Arial" w:eastAsia="Arial" w:hAnsi="Arial"/>
          <w:sz w:val="19"/>
          <w:szCs w:val="19"/>
          <w:b w:val="1"/>
          <w:bCs w:val="1"/>
          <w:color w:val="auto"/>
        </w:rPr>
        <w:t>Material Impairments</w:t>
      </w:r>
    </w:p>
    <w:p>
      <w:pPr>
        <w:spacing w:after="0" w:line="6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Consistent with the strategic asset sales plan outlined at BXP, Inc.’s September 2025 Investor Day, on May 27, 2026, a subsidiary of Boston Properties Limited Partnership (“BPLP”) entered into an agreement to sell certain property (the "Property") comprised of (1) the leasehold interest in the real property commonly known as Sumner Square, located at the corner of 17th and M Street, NW in Washington, DC, and (2) the improvements located thereon, consisting of three buildings ((a) 1615 M Street, NW, Washington, DC, (b) the Magruder Building, 1625 M Street, NW, Washington, DC and (c) the Sumner Annex, 1215 17th Street, NW, Washington, DC), for a gross purchase price of $63 million. BPLP is the entity through which BXP, Inc. (the “Company”) conducts substantially all of its business and owns, either directly or through subsidiaries, substantially all of its assets. BXP is the sole general partner of BPLP. Under the agreement, the buyer paid a non-refundable cash deposit of approximately $6 million that will be credited against the purchase price at closing.</w:t>
      </w:r>
    </w:p>
    <w:p>
      <w:pPr>
        <w:spacing w:after="0" w:line="220" w:lineRule="exact"/>
        <w:rPr>
          <w:sz w:val="20"/>
          <w:szCs w:val="20"/>
          <w:color w:val="auto"/>
        </w:rPr>
      </w:pPr>
    </w:p>
    <w:p>
      <w:pPr>
        <w:ind w:right="100" w:firstLine="648"/>
        <w:spacing w:after="0" w:line="254" w:lineRule="auto"/>
        <w:rPr>
          <w:sz w:val="20"/>
          <w:szCs w:val="20"/>
          <w:color w:val="auto"/>
        </w:rPr>
      </w:pPr>
      <w:r>
        <w:rPr>
          <w:rFonts w:ascii="Arial" w:cs="Arial" w:eastAsia="Arial" w:hAnsi="Arial"/>
          <w:sz w:val="20"/>
          <w:szCs w:val="20"/>
          <w:color w:val="auto"/>
        </w:rPr>
        <w:t>Because the carrying value of the Property exceeds the expected net proceeds from the contemplated sale, the Company and BPLP will recognize a non-cash impairment loss of approximately $18 million and $17 million, respectively, in the second quarter of 2026 in accordance with GAAP. The Company expects this impairment loss to reduce net income attributable to BXP, Inc. and net income attributable to BPLP per diluted share/unit for the second quarter and full year of 2026 by approximately $0.10 per diluted share/unit, but it will have no impact on Funds from Operations.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can be no assurance that the sale will be consummated on the terms currently contemplated or at all.</w:t>
      </w:r>
    </w:p>
    <w:p>
      <w:pPr>
        <w:spacing w:after="0" w:line="33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00" w:type="dxa"/>
            <w:vAlign w:val="bottom"/>
            <w:gridSpan w:val="3"/>
          </w:tcPr>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i w:val="1"/>
                <w:iCs w:val="1"/>
                <w:color w:val="auto"/>
              </w:rPr>
              <w:t>Exhibits.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33"/>
        </w:trPr>
        <w:tc>
          <w:tcPr>
            <w:tcW w:w="34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20"/>
                <w:szCs w:val="20"/>
                <w:color w:val="auto"/>
              </w:rPr>
              <w:t>Exhibit No.</w:t>
            </w:r>
          </w:p>
        </w:tc>
        <w:tc>
          <w:tcPr>
            <w:tcW w:w="9740" w:type="dxa"/>
            <w:vAlign w:val="bottom"/>
            <w:gridSpan w:val="3"/>
          </w:tcPr>
          <w:p>
            <w:pPr>
              <w:ind w:left="140"/>
              <w:spacing w:after="0"/>
              <w:rPr>
                <w:sz w:val="20"/>
                <w:szCs w:val="20"/>
                <w:color w:val="auto"/>
              </w:rPr>
            </w:pPr>
            <w:r>
              <w:rPr>
                <w:rFonts w:ascii="Arial" w:cs="Arial" w:eastAsia="Arial" w:hAnsi="Arial"/>
                <w:sz w:val="20"/>
                <w:szCs w:val="20"/>
                <w:color w:val="auto"/>
              </w:rPr>
              <w:t>Description</w:t>
            </w: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301"/>
        </w:trPr>
        <w:tc>
          <w:tcPr>
            <w:tcW w:w="34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20"/>
                <w:szCs w:val="20"/>
                <w:color w:val="auto"/>
              </w:rPr>
              <w:t>*101.SCH</w:t>
            </w:r>
          </w:p>
        </w:tc>
        <w:tc>
          <w:tcPr>
            <w:tcW w:w="200" w:type="dxa"/>
            <w:vAlign w:val="bottom"/>
          </w:tcPr>
          <w:p>
            <w:pPr>
              <w:spacing w:after="0"/>
              <w:rPr>
                <w:sz w:val="24"/>
                <w:szCs w:val="24"/>
                <w:color w:val="auto"/>
              </w:rPr>
            </w:pPr>
          </w:p>
        </w:tc>
        <w:tc>
          <w:tcPr>
            <w:tcW w:w="9740" w:type="dxa"/>
            <w:vAlign w:val="bottom"/>
            <w:gridSpan w:val="3"/>
          </w:tcPr>
          <w:p>
            <w:pPr>
              <w:ind w:left="140"/>
              <w:spacing w:after="0"/>
              <w:rPr>
                <w:sz w:val="20"/>
                <w:szCs w:val="20"/>
                <w:color w:val="auto"/>
              </w:rPr>
            </w:pPr>
            <w:r>
              <w:rPr>
                <w:rFonts w:ascii="Arial" w:cs="Arial" w:eastAsia="Arial" w:hAnsi="Arial"/>
                <w:sz w:val="20"/>
                <w:szCs w:val="20"/>
                <w:color w:val="auto"/>
              </w:rPr>
              <w:t>Inline XBRL Taxonomy Extension Schema Document.</w:t>
            </w:r>
          </w:p>
        </w:tc>
      </w:tr>
      <w:tr>
        <w:trPr>
          <w:trHeight w:val="270"/>
        </w:trPr>
        <w:tc>
          <w:tcPr>
            <w:tcW w:w="34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Arial" w:cs="Arial" w:eastAsia="Arial" w:hAnsi="Arial"/>
                <w:sz w:val="20"/>
                <w:szCs w:val="20"/>
                <w:color w:val="auto"/>
              </w:rPr>
              <w:t>*101.LAB</w:t>
            </w:r>
          </w:p>
        </w:tc>
        <w:tc>
          <w:tcPr>
            <w:tcW w:w="9740" w:type="dxa"/>
            <w:vAlign w:val="bottom"/>
            <w:gridSpan w:val="3"/>
          </w:tcPr>
          <w:p>
            <w:pPr>
              <w:ind w:left="14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270"/>
        </w:trPr>
        <w:tc>
          <w:tcPr>
            <w:tcW w:w="34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Arial" w:cs="Arial" w:eastAsia="Arial" w:hAnsi="Arial"/>
                <w:sz w:val="20"/>
                <w:szCs w:val="20"/>
                <w:color w:val="auto"/>
              </w:rPr>
              <w:t>*101.PRE</w:t>
            </w:r>
          </w:p>
        </w:tc>
        <w:tc>
          <w:tcPr>
            <w:tcW w:w="9740" w:type="dxa"/>
            <w:vAlign w:val="bottom"/>
            <w:gridSpan w:val="3"/>
          </w:tcPr>
          <w:p>
            <w:pPr>
              <w:ind w:left="14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270"/>
        </w:trPr>
        <w:tc>
          <w:tcPr>
            <w:tcW w:w="340" w:type="dxa"/>
            <w:vAlign w:val="bottom"/>
          </w:tcPr>
          <w:p>
            <w:pPr>
              <w:spacing w:after="0"/>
              <w:rPr>
                <w:sz w:val="23"/>
                <w:szCs w:val="23"/>
                <w:color w:val="auto"/>
              </w:rPr>
            </w:pPr>
          </w:p>
        </w:tc>
        <w:tc>
          <w:tcPr>
            <w:tcW w:w="1160" w:type="dxa"/>
            <w:vAlign w:val="bottom"/>
            <w:gridSpan w:val="2"/>
          </w:tcPr>
          <w:p>
            <w:pPr>
              <w:ind w:left="20"/>
              <w:spacing w:after="0"/>
              <w:rPr>
                <w:sz w:val="20"/>
                <w:szCs w:val="20"/>
                <w:color w:val="auto"/>
              </w:rPr>
            </w:pPr>
            <w:r>
              <w:rPr>
                <w:rFonts w:ascii="Arial" w:cs="Arial" w:eastAsia="Arial" w:hAnsi="Arial"/>
                <w:sz w:val="20"/>
                <w:szCs w:val="20"/>
                <w:color w:val="auto"/>
              </w:rPr>
              <w:t>*101.DEF</w:t>
            </w:r>
          </w:p>
        </w:tc>
        <w:tc>
          <w:tcPr>
            <w:tcW w:w="9740" w:type="dxa"/>
            <w:vAlign w:val="bottom"/>
            <w:gridSpan w:val="3"/>
          </w:tcPr>
          <w:p>
            <w:pPr>
              <w:ind w:left="140"/>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25"/>
        </w:trPr>
        <w:tc>
          <w:tcPr>
            <w:tcW w:w="1300" w:type="dxa"/>
            <w:vAlign w:val="bottom"/>
            <w:gridSpan w:val="2"/>
          </w:tcPr>
          <w:p>
            <w:pPr>
              <w:ind w:left="360"/>
              <w:spacing w:after="0" w:line="225" w:lineRule="exact"/>
              <w:rPr>
                <w:sz w:val="20"/>
                <w:szCs w:val="20"/>
                <w:color w:val="auto"/>
              </w:rPr>
            </w:pPr>
            <w:r>
              <w:rPr>
                <w:rFonts w:ascii="Arial" w:cs="Arial" w:eastAsia="Arial" w:hAnsi="Arial"/>
                <w:sz w:val="20"/>
                <w:szCs w:val="20"/>
                <w:color w:val="auto"/>
              </w:rPr>
              <w:t>*104</w:t>
            </w:r>
          </w:p>
        </w:tc>
        <w:tc>
          <w:tcPr>
            <w:tcW w:w="200" w:type="dxa"/>
            <w:vAlign w:val="bottom"/>
          </w:tcPr>
          <w:p>
            <w:pPr>
              <w:spacing w:after="0"/>
              <w:rPr>
                <w:sz w:val="19"/>
                <w:szCs w:val="19"/>
                <w:color w:val="auto"/>
              </w:rPr>
            </w:pPr>
          </w:p>
        </w:tc>
        <w:tc>
          <w:tcPr>
            <w:tcW w:w="9740" w:type="dxa"/>
            <w:vAlign w:val="bottom"/>
            <w:gridSpan w:val="3"/>
          </w:tcPr>
          <w:p>
            <w:pPr>
              <w:ind w:left="140"/>
              <w:spacing w:after="0" w:line="225" w:lineRule="exact"/>
              <w:rPr>
                <w:sz w:val="20"/>
                <w:szCs w:val="20"/>
                <w:color w:val="auto"/>
              </w:rPr>
            </w:pPr>
            <w:r>
              <w:rPr>
                <w:rFonts w:ascii="Arial" w:cs="Arial" w:eastAsia="Arial" w:hAnsi="Arial"/>
                <w:sz w:val="20"/>
                <w:szCs w:val="20"/>
                <w:color w:val="auto"/>
              </w:rPr>
              <w:t>Cover Page Interactive Data File (formatted as Inline XBRL with applicable taxonomy</w:t>
            </w:r>
          </w:p>
        </w:tc>
      </w:tr>
      <w:tr>
        <w:trPr>
          <w:trHeight w:val="261"/>
        </w:trPr>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740" w:type="dxa"/>
            <w:vAlign w:val="bottom"/>
            <w:gridSpan w:val="3"/>
          </w:tcPr>
          <w:p>
            <w:pPr>
              <w:ind w:left="140"/>
              <w:spacing w:after="0"/>
              <w:rPr>
                <w:sz w:val="20"/>
                <w:szCs w:val="20"/>
                <w:color w:val="auto"/>
              </w:rPr>
            </w:pPr>
            <w:r>
              <w:rPr>
                <w:rFonts w:ascii="Arial" w:cs="Arial" w:eastAsia="Arial" w:hAnsi="Arial"/>
                <w:sz w:val="20"/>
                <w:szCs w:val="20"/>
                <w:color w:val="auto"/>
              </w:rPr>
              <w:t>extension information contained in Exhibits 101.*).</w:t>
            </w:r>
          </w:p>
        </w:tc>
      </w:tr>
      <w:tr>
        <w:trPr>
          <w:trHeight w:val="594"/>
        </w:trPr>
        <w:tc>
          <w:tcPr>
            <w:tcW w:w="1500" w:type="dxa"/>
            <w:vAlign w:val="bottom"/>
            <w:gridSpan w:val="3"/>
          </w:tcPr>
          <w:p>
            <w:pPr>
              <w:spacing w:after="0"/>
              <w:rPr>
                <w:sz w:val="20"/>
                <w:szCs w:val="20"/>
                <w:color w:val="auto"/>
              </w:rPr>
            </w:pPr>
            <w:r>
              <w:rPr>
                <w:rFonts w:ascii="Arial" w:cs="Arial" w:eastAsia="Arial" w:hAnsi="Arial"/>
                <w:sz w:val="20"/>
                <w:szCs w:val="20"/>
                <w:color w:val="auto"/>
              </w:rPr>
              <w:t>*Filed herewith.</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915"/>
        </w:trPr>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ind w:right="180" w:firstLine="648"/>
        <w:spacing w:after="0" w:line="271"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318" w:lineRule="exact"/>
        <w:rPr>
          <w:sz w:val="20"/>
          <w:szCs w:val="20"/>
          <w:color w:val="auto"/>
        </w:rPr>
      </w:pPr>
    </w:p>
    <w:tbl>
      <w:tblPr>
        <w:tblLayout w:type="fixed"/>
        <w:tblInd w:w="2060" w:type="dxa"/>
        <w:tblCellMar>
          <w:top w:w="0" w:type="dxa"/>
          <w:left w:w="0" w:type="dxa"/>
          <w:bottom w:w="0" w:type="dxa"/>
          <w:right w:w="0" w:type="dxa"/>
        </w:tblCellMar>
      </w:tblPr>
      <w:tr>
        <w:trPr>
          <w:trHeight w:val="261"/>
        </w:trPr>
        <w:tc>
          <w:tcPr>
            <w:tcW w:w="3880" w:type="dxa"/>
            <w:vAlign w:val="bottom"/>
          </w:tcPr>
          <w:p>
            <w:pPr>
              <w:ind w:left="40"/>
              <w:spacing w:after="0"/>
              <w:rPr>
                <w:sz w:val="20"/>
                <w:szCs w:val="20"/>
                <w:color w:val="auto"/>
              </w:rPr>
            </w:pPr>
            <w:r>
              <w:rPr>
                <w:rFonts w:ascii="Arial" w:cs="Arial" w:eastAsia="Arial" w:hAnsi="Arial"/>
                <w:sz w:val="20"/>
                <w:szCs w:val="20"/>
                <w:color w:val="auto"/>
              </w:rPr>
              <w:t>BXP, INC.</w:t>
            </w:r>
          </w:p>
        </w:tc>
        <w:tc>
          <w:tcPr>
            <w:tcW w:w="5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4"/>
        </w:trPr>
        <w:tc>
          <w:tcPr>
            <w:tcW w:w="388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vMerge w:val="restart"/>
          </w:tcPr>
          <w:p>
            <w:pPr>
              <w:ind w:left="20"/>
              <w:spacing w:after="0"/>
              <w:rPr>
                <w:sz w:val="20"/>
                <w:szCs w:val="20"/>
                <w:color w:val="auto"/>
              </w:rPr>
            </w:pPr>
            <w:r>
              <w:rPr>
                <w:rFonts w:ascii="Arial" w:cs="Arial" w:eastAsia="Arial" w:hAnsi="Arial"/>
                <w:sz w:val="20"/>
                <w:szCs w:val="20"/>
                <w:color w:val="auto"/>
              </w:rPr>
              <w:t>/s/  MICHAEL E. LABELLE</w:t>
            </w:r>
          </w:p>
        </w:tc>
        <w:tc>
          <w:tcPr>
            <w:tcW w:w="0" w:type="dxa"/>
            <w:vAlign w:val="bottom"/>
          </w:tcPr>
          <w:p>
            <w:pPr>
              <w:spacing w:after="0"/>
              <w:rPr>
                <w:sz w:val="1"/>
                <w:szCs w:val="1"/>
                <w:color w:val="auto"/>
              </w:rPr>
            </w:pPr>
          </w:p>
        </w:tc>
      </w:tr>
      <w:tr>
        <w:trPr>
          <w:trHeight w:val="88"/>
        </w:trPr>
        <w:tc>
          <w:tcPr>
            <w:tcW w:w="3880" w:type="dxa"/>
            <w:vAlign w:val="bottom"/>
          </w:tcPr>
          <w:p>
            <w:pPr>
              <w:spacing w:after="0"/>
              <w:rPr>
                <w:sz w:val="7"/>
                <w:szCs w:val="7"/>
                <w:color w:val="auto"/>
              </w:rPr>
            </w:pPr>
          </w:p>
        </w:tc>
        <w:tc>
          <w:tcPr>
            <w:tcW w:w="5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auto"/>
              </w:rPr>
              <w:t>Michael E. LaBelle</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5300" w:type="dxa"/>
            <w:vAlign w:val="bottom"/>
          </w:tcPr>
          <w:p>
            <w:pPr>
              <w:ind w:left="20"/>
              <w:spacing w:after="0" w:line="203" w:lineRule="exact"/>
              <w:rPr>
                <w:sz w:val="20"/>
                <w:szCs w:val="20"/>
                <w:color w:val="auto"/>
              </w:rPr>
            </w:pPr>
            <w:r>
              <w:rPr>
                <w:rFonts w:ascii="Arial" w:cs="Arial" w:eastAsia="Arial" w:hAnsi="Arial"/>
                <w:sz w:val="20"/>
                <w:szCs w:val="20"/>
                <w:color w:val="auto"/>
              </w:rPr>
              <w:t>Executive Vice President, Chief Financial Officer and</w:t>
            </w:r>
          </w:p>
        </w:tc>
        <w:tc>
          <w:tcPr>
            <w:tcW w:w="0" w:type="dxa"/>
            <w:vAlign w:val="bottom"/>
          </w:tcPr>
          <w:p>
            <w:pPr>
              <w:spacing w:after="0"/>
              <w:rPr>
                <w:sz w:val="1"/>
                <w:szCs w:val="1"/>
                <w:color w:val="auto"/>
              </w:rPr>
            </w:pPr>
          </w:p>
        </w:tc>
      </w:tr>
      <w:tr>
        <w:trPr>
          <w:trHeight w:val="261"/>
        </w:trPr>
        <w:tc>
          <w:tcPr>
            <w:tcW w:w="3880" w:type="dxa"/>
            <w:vAlign w:val="bottom"/>
          </w:tcPr>
          <w:p>
            <w:pPr>
              <w:spacing w:after="0"/>
              <w:rPr>
                <w:sz w:val="22"/>
                <w:szCs w:val="22"/>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BOSTON PROPERTIES LIMITED PARTNERSHIP</w:t>
      </w:r>
    </w:p>
    <w:p>
      <w:pPr>
        <w:spacing w:after="0" w:line="31"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By: BXP, Inc., its General Partner</w:t>
      </w:r>
    </w:p>
    <w:p>
      <w:pPr>
        <w:spacing w:after="0" w:line="359" w:lineRule="exact"/>
        <w:rPr>
          <w:sz w:val="20"/>
          <w:szCs w:val="20"/>
          <w:color w:val="auto"/>
        </w:rPr>
      </w:pPr>
    </w:p>
    <w:tbl>
      <w:tblPr>
        <w:tblLayout w:type="fixed"/>
        <w:tblInd w:w="2060" w:type="dxa"/>
        <w:tblCellMar>
          <w:top w:w="0" w:type="dxa"/>
          <w:left w:w="0" w:type="dxa"/>
          <w:bottom w:w="0" w:type="dxa"/>
          <w:right w:w="0" w:type="dxa"/>
        </w:tblCellMar>
      </w:tblPr>
      <w:tr>
        <w:trPr>
          <w:trHeight w:val="261"/>
        </w:trPr>
        <w:tc>
          <w:tcPr>
            <w:tcW w:w="388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vMerge w:val="restart"/>
          </w:tcPr>
          <w:p>
            <w:pPr>
              <w:ind w:left="20"/>
              <w:spacing w:after="0"/>
              <w:rPr>
                <w:sz w:val="20"/>
                <w:szCs w:val="20"/>
                <w:color w:val="auto"/>
              </w:rPr>
            </w:pPr>
            <w:r>
              <w:rPr>
                <w:rFonts w:ascii="Arial" w:cs="Arial" w:eastAsia="Arial" w:hAnsi="Arial"/>
                <w:sz w:val="20"/>
                <w:szCs w:val="20"/>
                <w:color w:val="auto"/>
              </w:rPr>
              <w:t>/s/  MICHAEL E. LABELLE</w:t>
            </w:r>
          </w:p>
        </w:tc>
        <w:tc>
          <w:tcPr>
            <w:tcW w:w="0" w:type="dxa"/>
            <w:vAlign w:val="bottom"/>
          </w:tcPr>
          <w:p>
            <w:pPr>
              <w:spacing w:after="0"/>
              <w:rPr>
                <w:sz w:val="1"/>
                <w:szCs w:val="1"/>
                <w:color w:val="auto"/>
              </w:rPr>
            </w:pPr>
          </w:p>
        </w:tc>
      </w:tr>
      <w:tr>
        <w:trPr>
          <w:trHeight w:val="88"/>
        </w:trPr>
        <w:tc>
          <w:tcPr>
            <w:tcW w:w="3880" w:type="dxa"/>
            <w:vAlign w:val="bottom"/>
          </w:tcPr>
          <w:p>
            <w:pPr>
              <w:spacing w:after="0"/>
              <w:rPr>
                <w:sz w:val="7"/>
                <w:szCs w:val="7"/>
                <w:color w:val="auto"/>
              </w:rPr>
            </w:pPr>
          </w:p>
        </w:tc>
        <w:tc>
          <w:tcPr>
            <w:tcW w:w="5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auto"/>
              </w:rPr>
              <w:t>Michael E. LaBelle</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5300" w:type="dxa"/>
            <w:vAlign w:val="bottom"/>
          </w:tcPr>
          <w:p>
            <w:pPr>
              <w:ind w:left="20"/>
              <w:spacing w:after="0" w:line="203" w:lineRule="exact"/>
              <w:rPr>
                <w:sz w:val="20"/>
                <w:szCs w:val="20"/>
                <w:color w:val="auto"/>
              </w:rPr>
            </w:pPr>
            <w:r>
              <w:rPr>
                <w:rFonts w:ascii="Arial" w:cs="Arial" w:eastAsia="Arial" w:hAnsi="Arial"/>
                <w:sz w:val="20"/>
                <w:szCs w:val="20"/>
                <w:color w:val="auto"/>
              </w:rPr>
              <w:t>Executive Vice President, Chief Financial Officer and</w:t>
            </w:r>
          </w:p>
        </w:tc>
        <w:tc>
          <w:tcPr>
            <w:tcW w:w="0" w:type="dxa"/>
            <w:vAlign w:val="bottom"/>
          </w:tcPr>
          <w:p>
            <w:pPr>
              <w:spacing w:after="0"/>
              <w:rPr>
                <w:sz w:val="1"/>
                <w:szCs w:val="1"/>
                <w:color w:val="auto"/>
              </w:rPr>
            </w:pPr>
          </w:p>
        </w:tc>
      </w:tr>
      <w:tr>
        <w:trPr>
          <w:trHeight w:val="261"/>
        </w:trPr>
        <w:tc>
          <w:tcPr>
            <w:tcW w:w="3880" w:type="dxa"/>
            <w:vAlign w:val="bottom"/>
          </w:tcPr>
          <w:p>
            <w:pPr>
              <w:spacing w:after="0"/>
              <w:rPr>
                <w:sz w:val="22"/>
                <w:szCs w:val="22"/>
                <w:color w:val="auto"/>
              </w:rPr>
            </w:pPr>
          </w:p>
        </w:tc>
        <w:tc>
          <w:tcPr>
            <w:tcW w:w="5300" w:type="dxa"/>
            <w:vAlign w:val="bottom"/>
          </w:tcPr>
          <w:p>
            <w:pPr>
              <w:ind w:left="20"/>
              <w:spacing w:after="0"/>
              <w:rPr>
                <w:sz w:val="20"/>
                <w:szCs w:val="20"/>
                <w:color w:val="auto"/>
              </w:rPr>
            </w:pPr>
            <w:r>
              <w:rPr>
                <w:rFonts w:ascii="Arial" w:cs="Arial" w:eastAsia="Arial" w:hAnsi="Arial"/>
                <w:sz w:val="20"/>
                <w:szCs w:val="20"/>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May 29, 2026</w:t>
      </w:r>
    </w:p>
    <w:sectPr>
      <w:pgSz w:w="11900" w:h="16838" w:orient="portrait"/>
      <w:cols w:equalWidth="0" w:num="1">
        <w:col w:w="11240"/>
      </w:cols>
      <w:pgMar w:left="320" w:top="12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2026-05-29T16:37:08Z</dcterms:created>
  <dcterms:modified xsi:type="dcterms:W3CDTF">2026-05-29T16:37:08Z</dcterms:modified>
</cp:coreProperties>
</file>