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766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76631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ZUCKERMAN MORTIMER B</w:t>
              </w:r>
            </w:hyperlink>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40" w:type="dxa"/>
            <w:vAlign w:val="bottom"/>
            <w:gridSpan w:val="10"/>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BOSTON PROPERTIES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BXP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2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80" w:type="dxa"/>
            <w:vAlign w:val="bottom"/>
            <w:gridSpan w:val="6"/>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gridSpan w:val="6"/>
            <w:vMerge w:val="continu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80" w:type="dxa"/>
            <w:vAlign w:val="bottom"/>
            <w:gridSpan w:val="6"/>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12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2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9"/>
            <w:vMerge w:val="continue"/>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BOSTON PROPERTIES, INC.</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gridSpan w:val="5"/>
          </w:tcPr>
          <w:p>
            <w:pPr>
              <w:ind w:left="260"/>
              <w:spacing w:after="0"/>
              <w:rPr>
                <w:sz w:val="20"/>
                <w:szCs w:val="20"/>
                <w:color w:val="auto"/>
              </w:rPr>
            </w:pPr>
            <w:r>
              <w:rPr>
                <w:rFonts w:ascii="Arial" w:cs="Arial" w:eastAsia="Arial" w:hAnsi="Arial"/>
                <w:sz w:val="17"/>
                <w:szCs w:val="17"/>
                <w:color w:val="0000FF"/>
              </w:rPr>
              <w:t>02/18/2015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599 LEXINGTON AVENUE</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4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20" w:type="dxa"/>
            <w:vAlign w:val="bottom"/>
          </w:tcPr>
          <w:p>
            <w:pPr>
              <w:spacing w:after="0"/>
              <w:rPr>
                <w:sz w:val="8"/>
                <w:szCs w:val="8"/>
                <w:color w:val="auto"/>
              </w:rPr>
            </w:pPr>
          </w:p>
        </w:tc>
        <w:tc>
          <w:tcPr>
            <w:tcW w:w="35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6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2"/>
          </w:tcPr>
          <w:p>
            <w:pPr>
              <w:spacing w:after="0"/>
              <w:rPr>
                <w:sz w:val="20"/>
                <w:szCs w:val="20"/>
                <w:color w:val="auto"/>
              </w:rPr>
            </w:pPr>
            <w:r>
              <w:rPr>
                <w:rFonts w:ascii="Arial" w:cs="Arial" w:eastAsia="Arial" w:hAnsi="Arial"/>
                <w:sz w:val="17"/>
                <w:szCs w:val="17"/>
                <w:color w:val="0000FF"/>
              </w:rPr>
              <w:t>NY</w:t>
            </w:r>
          </w:p>
        </w:tc>
        <w:tc>
          <w:tcPr>
            <w:tcW w:w="1140" w:type="dxa"/>
            <w:vAlign w:val="bottom"/>
            <w:gridSpan w:val="2"/>
          </w:tcPr>
          <w:p>
            <w:pPr>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gridSpan w:val="2"/>
          </w:tcPr>
          <w:p>
            <w:pPr>
              <w:spacing w:after="0"/>
              <w:rPr>
                <w:sz w:val="11"/>
                <w:szCs w:val="11"/>
                <w:color w:val="auto"/>
              </w:rPr>
            </w:pPr>
          </w:p>
        </w:tc>
        <w:tc>
          <w:tcPr>
            <w:tcW w:w="102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1000" w:type="dxa"/>
            <w:vAlign w:val="bottom"/>
            <w:tcBorders>
              <w:bottom w:val="single" w:sz="8" w:color="2C2C2C"/>
            </w:tcBorders>
            <w:gridSpan w:val="3"/>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20"/>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5"/>
                <w:szCs w:val="15"/>
                <w:color w:val="auto"/>
              </w:rPr>
            </w:pPr>
          </w:p>
        </w:tc>
        <w:tc>
          <w:tcPr>
            <w:tcW w:w="1680" w:type="dxa"/>
            <w:vAlign w:val="bottom"/>
            <w:gridSpan w:val="5"/>
          </w:tcPr>
          <w:p>
            <w:pPr>
              <w:ind w:left="5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ind w:left="56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6"/>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gridSpan w:val="5"/>
          </w:tcPr>
          <w:p>
            <w:pPr>
              <w:ind w:left="56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1000" w:type="dxa"/>
            <w:vAlign w:val="bottom"/>
            <w:tcBorders>
              <w:bottom w:val="single" w:sz="8" w:color="2C2C2C"/>
            </w:tcBorders>
            <w:gridSpan w:val="3"/>
          </w:tcPr>
          <w:p>
            <w:pPr>
              <w:spacing w:after="0"/>
              <w:rPr>
                <w:sz w:val="7"/>
                <w:szCs w:val="7"/>
                <w:color w:val="auto"/>
              </w:rPr>
            </w:pPr>
          </w:p>
        </w:tc>
        <w:tc>
          <w:tcPr>
            <w:tcW w:w="166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20"/>
          </w:tcPr>
          <w:p>
            <w:pPr>
              <w:ind w:left="10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60" w:type="dxa"/>
            <w:vAlign w:val="bottom"/>
            <w:gridSpan w:val="16"/>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LTIP</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20" w:type="dxa"/>
            <w:vAlign w:val="bottom"/>
            <w:vMerge w:val="restart"/>
          </w:tcPr>
          <w:p>
            <w:pPr>
              <w:ind w:left="260"/>
              <w:spacing w:after="0"/>
              <w:rPr>
                <w:sz w:val="20"/>
                <w:szCs w:val="20"/>
                <w:color w:val="auto"/>
              </w:rPr>
            </w:pPr>
            <w:r>
              <w:rPr>
                <w:rFonts w:ascii="Arial" w:cs="Arial" w:eastAsia="Arial" w:hAnsi="Arial"/>
                <w:sz w:val="13"/>
                <w:szCs w:val="13"/>
                <w:color w:val="0000FF"/>
              </w:rPr>
              <w:t>02/18/2015</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3"/>
            <w:vMerge w:val="restart"/>
          </w:tcPr>
          <w:p>
            <w:pPr>
              <w:ind w:left="80"/>
              <w:spacing w:after="0"/>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41,464</w:t>
            </w:r>
          </w:p>
        </w:tc>
        <w:tc>
          <w:tcPr>
            <w:tcW w:w="340" w:type="dxa"/>
            <w:vAlign w:val="bottom"/>
          </w:tcPr>
          <w:p>
            <w:pPr>
              <w:spacing w:after="0"/>
              <w:rPr>
                <w:sz w:val="16"/>
                <w:szCs w:val="16"/>
                <w:color w:val="auto"/>
              </w:rPr>
            </w:pPr>
          </w:p>
        </w:tc>
        <w:tc>
          <w:tcPr>
            <w:tcW w:w="800" w:type="dxa"/>
            <w:vAlign w:val="bottom"/>
            <w:gridSpan w:val="2"/>
            <w:vMerge w:val="restart"/>
          </w:tcPr>
          <w:p>
            <w:pPr>
              <w:ind w:left="260"/>
              <w:spacing w:after="0"/>
              <w:rPr>
                <w:sz w:val="20"/>
                <w:szCs w:val="20"/>
                <w:color w:val="auto"/>
              </w:rPr>
            </w:pPr>
            <w:r>
              <w:rPr>
                <w:rFonts w:ascii="Arial" w:cs="Arial" w:eastAsia="Arial" w:hAnsi="Arial"/>
                <w:sz w:val="11"/>
                <w:szCs w:val="11"/>
                <w:color w:val="008000"/>
              </w:rPr>
              <w:t>(2)(3)</w:t>
            </w:r>
          </w:p>
        </w:tc>
        <w:tc>
          <w:tcPr>
            <w:tcW w:w="160" w:type="dxa"/>
            <w:vAlign w:val="bottom"/>
          </w:tcPr>
          <w:p>
            <w:pPr>
              <w:spacing w:after="0"/>
              <w:rPr>
                <w:sz w:val="16"/>
                <w:szCs w:val="16"/>
                <w:color w:val="auto"/>
              </w:rPr>
            </w:pPr>
          </w:p>
        </w:tc>
        <w:tc>
          <w:tcPr>
            <w:tcW w:w="560" w:type="dxa"/>
            <w:vAlign w:val="bottom"/>
            <w:gridSpan w:val="2"/>
            <w:vMerge w:val="restart"/>
          </w:tcPr>
          <w:p>
            <w:pPr>
              <w:ind w:left="140"/>
              <w:spacing w:after="0"/>
              <w:rPr>
                <w:sz w:val="20"/>
                <w:szCs w:val="20"/>
                <w:color w:val="auto"/>
              </w:rPr>
            </w:pPr>
            <w:r>
              <w:rPr>
                <w:rFonts w:ascii="Arial" w:cs="Arial" w:eastAsia="Arial" w:hAnsi="Arial"/>
                <w:sz w:val="11"/>
                <w:szCs w:val="11"/>
                <w:color w:val="008000"/>
              </w:rPr>
              <w:t>(2)</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spacing w:after="0"/>
              <w:rPr>
                <w:sz w:val="20"/>
                <w:szCs w:val="20"/>
                <w:color w:val="auto"/>
              </w:rPr>
            </w:pPr>
            <w:r>
              <w:rPr>
                <w:rFonts w:ascii="Arial" w:cs="Arial" w:eastAsia="Arial" w:hAnsi="Arial"/>
                <w:sz w:val="17"/>
                <w:szCs w:val="17"/>
                <w:color w:val="0000FF"/>
              </w:rPr>
              <w:t>41,464</w:t>
            </w:r>
          </w:p>
        </w:tc>
        <w:tc>
          <w:tcPr>
            <w:tcW w:w="40" w:type="dxa"/>
            <w:vAlign w:val="bottom"/>
          </w:tcPr>
          <w:p>
            <w:pPr>
              <w:spacing w:after="0"/>
              <w:rPr>
                <w:sz w:val="16"/>
                <w:szCs w:val="16"/>
                <w:color w:val="auto"/>
              </w:rPr>
            </w:pPr>
          </w:p>
        </w:tc>
        <w:tc>
          <w:tcPr>
            <w:tcW w:w="74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0.25</w:t>
            </w: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633,627</w:t>
            </w: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tcPr>
          <w:p>
            <w:pPr>
              <w:ind w:left="60"/>
              <w:spacing w:after="0" w:line="68"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720" w:type="dxa"/>
            <w:vAlign w:val="bottom"/>
          </w:tcPr>
          <w:p>
            <w:pPr>
              <w:ind w:left="180"/>
              <w:spacing w:after="0" w:line="68" w:lineRule="exact"/>
              <w:rPr>
                <w:sz w:val="20"/>
                <w:szCs w:val="20"/>
                <w:color w:val="auto"/>
              </w:rPr>
            </w:pPr>
            <w:r>
              <w:rPr>
                <w:rFonts w:ascii="Arial" w:cs="Arial" w:eastAsia="Arial" w:hAnsi="Arial"/>
                <w:sz w:val="7"/>
                <w:szCs w:val="7"/>
                <w:color w:val="0000FF"/>
              </w:rPr>
              <w:t>Stock</w:t>
            </w:r>
          </w:p>
        </w:tc>
        <w:tc>
          <w:tcPr>
            <w:tcW w:w="5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units of limited partnership interest in Boston Properties Limited Partnership (BPLP), of which the Issuer is the general partner, earned (i.e., for which the performance-based hurdles have been met) pursuant to the Issuer's 2012 Outperformance Plan (the "Plan").</w:t>
      </w:r>
    </w:p>
    <w:p>
      <w:pPr>
        <w:spacing w:after="0" w:line="10" w:lineRule="exact"/>
        <w:rPr>
          <w:rFonts w:ascii="Arial" w:cs="Arial" w:eastAsia="Arial" w:hAnsi="Arial"/>
          <w:sz w:val="13"/>
          <w:szCs w:val="13"/>
          <w:color w:val="008000"/>
        </w:rPr>
      </w:pPr>
    </w:p>
    <w:p>
      <w:pPr>
        <w:jc w:val="both"/>
        <w:ind w:left="40" w:right="180" w:firstLine="8"/>
        <w:spacing w:after="0" w:line="248"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Conditioned upon minimum allocations to the capital accounts of the LTIP Units for federal income tax purposes, each LTIP Unit may be converted, at the election of the holder, into a common unit of limited partnership interest in BPLP (Common OP Unit). Each Common OP Unit acquired upon conversion of an LTIP Unit may be presented for redemption, at the election of the holder, for cash equal to the then fair market value of a share of the Issuer's Common Stock, except that the Issuer may, at its election, acquire each Common OP Unit so presented for one share of Common Stock. LTIP Units have no expiration date.</w:t>
      </w:r>
    </w:p>
    <w:p>
      <w:pPr>
        <w:spacing w:after="0" w:line="26" w:lineRule="exact"/>
        <w:rPr>
          <w:rFonts w:ascii="Arial" w:cs="Arial" w:eastAsia="Arial" w:hAnsi="Arial"/>
          <w:sz w:val="13"/>
          <w:szCs w:val="13"/>
          <w:color w:val="008000"/>
        </w:rPr>
      </w:pPr>
    </w:p>
    <w:p>
      <w:pPr>
        <w:ind w:left="40" w:right="260" w:firstLine="8"/>
        <w:spacing w:after="0" w:line="296"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With respect to the 41,464 LTIP Units earned pursuant to the Plan, 25% of such LTIP Units may not be transferred (nor may any Common OP Units issued upon conversion of such LTIP Units be redeemed) until February 7, 2016 and 50% of such LTIP Units may not be transferred (nor may any Common OP Units issued upon conversion of such LTIP Units be redeemed) until February 7, 2017.</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2" w:lineRule="auto"/>
        <w:rPr>
          <w:sz w:val="20"/>
          <w:szCs w:val="20"/>
          <w:color w:val="auto"/>
        </w:rPr>
      </w:pPr>
      <w:r>
        <w:rPr>
          <w:rFonts w:ascii="Arial" w:cs="Arial" w:eastAsia="Arial" w:hAnsi="Arial"/>
          <w:sz w:val="17"/>
          <w:szCs w:val="17"/>
          <w:color w:val="0000FF"/>
        </w:rPr>
        <w:t xml:space="preserve">Kelli A. DiLuglio, as Attorney- </w:t>
      </w:r>
      <w:r>
        <w:rPr>
          <w:rFonts w:ascii="Arial" w:cs="Arial" w:eastAsia="Arial" w:hAnsi="Arial"/>
          <w:sz w:val="34"/>
          <w:szCs w:val="34"/>
          <w:color w:val="0000FF"/>
          <w:vertAlign w:val="subscript"/>
        </w:rPr>
        <w:t>02/18/2015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-27305</wp:posOffset>
            </wp:positionV>
            <wp:extent cx="13976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763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313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3690"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-84455</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4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06186" TargetMode="External"/><Relationship Id="rId13"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2019-12-06T21:43:15Z</dcterms:created>
  <dcterms:modified xsi:type="dcterms:W3CDTF">2019-12-06T21:43:15Z</dcterms:modified>
</cp:coreProperties>
</file>