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4846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4632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FLASHMAN ARTHUR</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BOSTON PROPERTIES, INC.</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800 BOYLSTON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BOSTON PROPERTIES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BXP</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08/14/2011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7"/>
        <w:spacing w:after="0"/>
        <w:rPr>
          <w:sz w:val="20"/>
          <w:szCs w:val="20"/>
          <w:color w:val="auto"/>
        </w:rPr>
      </w:pPr>
      <w:r>
        <w:rPr>
          <w:rFonts w:ascii="Arial" w:cs="Arial" w:eastAsia="Arial" w:hAnsi="Arial"/>
          <w:sz w:val="17"/>
          <w:szCs w:val="17"/>
          <w:color w:val="0000FF"/>
        </w:rPr>
        <w:t>Vice President - Controller</w:t>
      </w:r>
    </w:p>
    <w:p>
      <w:pPr>
        <w:spacing w:after="0" w:line="404"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7"/>
          </w:tcPr>
          <w:p>
            <w:pPr>
              <w:jc w:val="center"/>
              <w:ind w:right="16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2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02199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14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5"/>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4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4"/>
          </w:tcPr>
          <w:p>
            <w:pPr>
              <w:ind w:left="8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88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4"/>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7"/>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11"/>
          </w:tcPr>
          <w:p>
            <w:pPr>
              <w:jc w:val="center"/>
              <w:ind w:left="5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LTIP</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080" w:type="dxa"/>
            <w:vAlign w:val="bottom"/>
            <w:vMerge w:val="restart"/>
          </w:tcPr>
          <w:p>
            <w:pPr>
              <w:jc w:val="right"/>
              <w:ind w:right="153"/>
              <w:spacing w:after="0"/>
              <w:rPr>
                <w:sz w:val="20"/>
                <w:szCs w:val="20"/>
                <w:color w:val="auto"/>
              </w:rPr>
            </w:pPr>
            <w:r>
              <w:rPr>
                <w:rFonts w:ascii="Arial" w:cs="Arial" w:eastAsia="Arial" w:hAnsi="Arial"/>
                <w:sz w:val="13"/>
                <w:szCs w:val="13"/>
                <w:color w:val="0000FF"/>
              </w:rPr>
              <w:t>08/14/2011</w:t>
            </w:r>
          </w:p>
        </w:tc>
        <w:tc>
          <w:tcPr>
            <w:tcW w:w="1160" w:type="dxa"/>
            <w:vAlign w:val="bottom"/>
          </w:tcPr>
          <w:p>
            <w:pPr>
              <w:spacing w:after="0"/>
              <w:rPr>
                <w:sz w:val="16"/>
                <w:szCs w:val="16"/>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3"/>
                <w:szCs w:val="13"/>
                <w:color w:val="0000FF"/>
                <w:w w:val="91"/>
              </w:rPr>
              <w:t>M</w:t>
            </w:r>
          </w:p>
        </w:tc>
        <w:tc>
          <w:tcPr>
            <w:tcW w:w="560" w:type="dxa"/>
            <w:vAlign w:val="bottom"/>
            <w:vMerge w:val="restart"/>
          </w:tcPr>
          <w:p>
            <w:pPr>
              <w:jc w:val="right"/>
              <w:ind w:right="359"/>
              <w:spacing w:after="0"/>
              <w:rPr>
                <w:sz w:val="20"/>
                <w:szCs w:val="20"/>
                <w:color w:val="auto"/>
              </w:rPr>
            </w:pPr>
            <w:r>
              <w:rPr>
                <w:rFonts w:ascii="Arial" w:cs="Arial" w:eastAsia="Arial" w:hAnsi="Arial"/>
                <w:sz w:val="11"/>
                <w:szCs w:val="11"/>
                <w:color w:val="008000"/>
                <w:w w:val="88"/>
              </w:rPr>
              <w:t>(2)</w:t>
            </w:r>
          </w:p>
        </w:tc>
        <w:tc>
          <w:tcPr>
            <w:tcW w:w="520" w:type="dxa"/>
            <w:vAlign w:val="bottom"/>
          </w:tcPr>
          <w:p>
            <w:pPr>
              <w:spacing w:after="0"/>
              <w:rPr>
                <w:sz w:val="16"/>
                <w:szCs w:val="16"/>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3,266</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(1)</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00" w:type="dxa"/>
            <w:vAlign w:val="bottom"/>
            <w:vMerge w:val="restart"/>
          </w:tcPr>
          <w:p>
            <w:pPr>
              <w:ind w:left="60"/>
              <w:spacing w:after="0"/>
              <w:rPr>
                <w:sz w:val="20"/>
                <w:szCs w:val="20"/>
                <w:color w:val="auto"/>
              </w:rPr>
            </w:pPr>
            <w:r>
              <w:rPr>
                <w:rFonts w:ascii="Arial" w:cs="Arial" w:eastAsia="Arial" w:hAnsi="Arial"/>
                <w:sz w:val="17"/>
                <w:szCs w:val="17"/>
                <w:color w:val="0000FF"/>
                <w:w w:val="98"/>
              </w:rPr>
              <w:t>3,266</w:t>
            </w:r>
          </w:p>
        </w:tc>
        <w:tc>
          <w:tcPr>
            <w:tcW w:w="820" w:type="dxa"/>
            <w:vAlign w:val="bottom"/>
            <w:gridSpan w:val="3"/>
            <w:vMerge w:val="restart"/>
          </w:tcPr>
          <w:p>
            <w:pPr>
              <w:jc w:val="center"/>
              <w:ind w:right="178"/>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0.25</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3,806</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tcPr>
          <w:p>
            <w:pPr>
              <w:ind w:left="60"/>
              <w:spacing w:after="0" w:line="67"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ind w:left="180"/>
              <w:spacing w:after="0" w:line="67" w:lineRule="exact"/>
              <w:rPr>
                <w:sz w:val="20"/>
                <w:szCs w:val="20"/>
                <w:color w:val="auto"/>
              </w:rPr>
            </w:pPr>
            <w:r>
              <w:rPr>
                <w:rFonts w:ascii="Arial" w:cs="Arial" w:eastAsia="Arial" w:hAnsi="Arial"/>
                <w:sz w:val="7"/>
                <w:szCs w:val="7"/>
                <w:color w:val="0000FF"/>
              </w:rPr>
              <w:t>Stock</w:t>
            </w:r>
          </w:p>
        </w:tc>
        <w:tc>
          <w:tcPr>
            <w:tcW w:w="500" w:type="dxa"/>
            <w:vAlign w:val="bottom"/>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080" w:type="dxa"/>
            <w:vAlign w:val="bottom"/>
            <w:vMerge w:val="restart"/>
          </w:tcPr>
          <w:p>
            <w:pPr>
              <w:jc w:val="right"/>
              <w:ind w:right="153"/>
              <w:spacing w:after="0"/>
              <w:rPr>
                <w:sz w:val="20"/>
                <w:szCs w:val="20"/>
                <w:color w:val="auto"/>
              </w:rPr>
            </w:pPr>
            <w:r>
              <w:rPr>
                <w:rFonts w:ascii="Arial" w:cs="Arial" w:eastAsia="Arial" w:hAnsi="Arial"/>
                <w:sz w:val="13"/>
                <w:szCs w:val="13"/>
                <w:color w:val="0000FF"/>
              </w:rPr>
              <w:t>08/14/2011</w:t>
            </w:r>
          </w:p>
        </w:tc>
        <w:tc>
          <w:tcPr>
            <w:tcW w:w="1160" w:type="dxa"/>
            <w:vAlign w:val="bottom"/>
          </w:tcPr>
          <w:p>
            <w:pPr>
              <w:spacing w:after="0"/>
              <w:rPr>
                <w:sz w:val="16"/>
                <w:szCs w:val="16"/>
                <w:color w:val="auto"/>
              </w:rPr>
            </w:pPr>
          </w:p>
        </w:tc>
        <w:tc>
          <w:tcPr>
            <w:tcW w:w="780" w:type="dxa"/>
            <w:vAlign w:val="bottom"/>
            <w:gridSpan w:val="3"/>
            <w:vMerge w:val="restart"/>
          </w:tcPr>
          <w:p>
            <w:pPr>
              <w:jc w:val="right"/>
              <w:ind w:right="359"/>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(2)</w:t>
            </w:r>
          </w:p>
        </w:tc>
        <w:tc>
          <w:tcPr>
            <w:tcW w:w="520" w:type="dxa"/>
            <w:vAlign w:val="bottom"/>
            <w:vMerge w:val="restart"/>
          </w:tcPr>
          <w:p>
            <w:pPr>
              <w:ind w:left="140"/>
              <w:spacing w:after="0"/>
              <w:rPr>
                <w:sz w:val="20"/>
                <w:szCs w:val="20"/>
                <w:color w:val="auto"/>
              </w:rPr>
            </w:pPr>
            <w:r>
              <w:rPr>
                <w:rFonts w:ascii="Arial" w:cs="Arial" w:eastAsia="Arial" w:hAnsi="Arial"/>
                <w:sz w:val="13"/>
                <w:szCs w:val="13"/>
                <w:color w:val="0000FF"/>
              </w:rPr>
              <w:t>3,266</w:t>
            </w:r>
          </w:p>
        </w:tc>
        <w:tc>
          <w:tcPr>
            <w:tcW w:w="50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(1)</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00" w:type="dxa"/>
            <w:vAlign w:val="bottom"/>
            <w:vMerge w:val="restart"/>
          </w:tcPr>
          <w:p>
            <w:pPr>
              <w:ind w:left="60"/>
              <w:spacing w:after="0"/>
              <w:rPr>
                <w:sz w:val="20"/>
                <w:szCs w:val="20"/>
                <w:color w:val="auto"/>
              </w:rPr>
            </w:pPr>
            <w:r>
              <w:rPr>
                <w:rFonts w:ascii="Arial" w:cs="Arial" w:eastAsia="Arial" w:hAnsi="Arial"/>
                <w:sz w:val="17"/>
                <w:szCs w:val="17"/>
                <w:color w:val="0000FF"/>
                <w:w w:val="98"/>
              </w:rPr>
              <w:t>3,266</w:t>
            </w:r>
          </w:p>
        </w:tc>
        <w:tc>
          <w:tcPr>
            <w:tcW w:w="820" w:type="dxa"/>
            <w:vAlign w:val="bottom"/>
            <w:gridSpan w:val="3"/>
            <w:vMerge w:val="restart"/>
          </w:tcPr>
          <w:p>
            <w:pPr>
              <w:jc w:val="right"/>
              <w:ind w:right="278"/>
              <w:spacing w:after="0"/>
              <w:rPr>
                <w:sz w:val="20"/>
                <w:szCs w:val="20"/>
                <w:color w:val="auto"/>
              </w:rPr>
            </w:pPr>
            <w:r>
              <w:rPr>
                <w:rFonts w:ascii="Arial" w:cs="Arial" w:eastAsia="Arial" w:hAnsi="Arial"/>
                <w:sz w:val="11"/>
                <w:szCs w:val="11"/>
                <w:color w:val="008000"/>
              </w:rPr>
              <w:t>(1)</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3,266</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 Units</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00" w:type="dxa"/>
            <w:vAlign w:val="bottom"/>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60" w:firstLine="7"/>
        <w:spacing w:after="0" w:line="274"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units of limited partnership interest in Boston Properties Limited Partnership (BPLP), of which the Issuer is the sole general partner, issued as long term incentive compensation pursuant to the Issuer's equity based compensatory programs. Conditioned upon minimum allocations to the capital accounts of the LTIP Units for federal income tax purposes, each LTIP Unit may be converted, at the election of the holder, into a common unit of limited partnership interest in BPLP (Common OP Unit). Each Common OP Unit may be redeemed, at the election of the holder, for cash equal to the fair market value of a share of the Issuer's Common Stock except that the Issuer may, at its election as directed by BPLP, acquire each Common OP Unit so presented for redemption for one share of Common Stock.</w:t>
      </w:r>
    </w:p>
    <w:p>
      <w:pPr>
        <w:spacing w:after="0" w:line="11"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3,266 of the Reporting Person's LTIP Units were converted into Common OP Units by the Reporting Person.</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1" w:lineRule="auto"/>
        <w:rPr>
          <w:sz w:val="20"/>
          <w:szCs w:val="20"/>
          <w:color w:val="auto"/>
        </w:rPr>
      </w:pPr>
      <w:r>
        <w:rPr>
          <w:rFonts w:ascii="Arial" w:cs="Arial" w:eastAsia="Arial" w:hAnsi="Arial"/>
          <w:sz w:val="17"/>
          <w:szCs w:val="17"/>
          <w:color w:val="0000FF"/>
        </w:rPr>
        <w:t xml:space="preserve">/s/ Kelli A. DiLuglio, Attorney- </w:t>
      </w:r>
      <w:r>
        <w:rPr>
          <w:rFonts w:ascii="Arial" w:cs="Arial" w:eastAsia="Arial" w:hAnsi="Arial"/>
          <w:sz w:val="34"/>
          <w:szCs w:val="34"/>
          <w:color w:val="0000FF"/>
          <w:vertAlign w:val="subscript"/>
        </w:rPr>
        <w:t>08/15/2011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4358005</wp:posOffset>
            </wp:positionH>
            <wp:positionV relativeFrom="paragraph">
              <wp:posOffset>-27940</wp:posOffset>
            </wp:positionV>
            <wp:extent cx="1403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335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4358005</wp:posOffset>
            </wp:positionH>
            <wp:positionV relativeFrom="paragraph">
              <wp:posOffset>-16510</wp:posOffset>
            </wp:positionV>
            <wp:extent cx="312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2420" cy="8255"/>
                    </a:xfrm>
                    <a:prstGeom prst="rect">
                      <a:avLst/>
                    </a:prstGeom>
                    <a:noFill/>
                  </pic:spPr>
                </pic:pic>
              </a:graphicData>
            </a:graphic>
          </wp:anchor>
        </w:drawing>
        <w:drawing>
          <wp:anchor simplePos="0" relativeHeight="251657728" behindDoc="1" locked="0" layoutInCell="0" allowOverlap="1">
            <wp:simplePos x="0" y="0"/>
            <wp:positionH relativeFrom="column">
              <wp:posOffset>5809615</wp:posOffset>
            </wp:positionH>
            <wp:positionV relativeFrom="paragraph">
              <wp:posOffset>-84455</wp:posOffset>
            </wp:positionV>
            <wp:extent cx="4984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8475"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7095" TargetMode="External"/><Relationship Id="rId13"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2019-12-18T11:57:42Z</dcterms:created>
  <dcterms:modified xsi:type="dcterms:W3CDTF">2019-12-18T11:57:42Z</dcterms:modified>
</cp:coreProperties>
</file>