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BXP,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Norges Bank</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NORWAY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6,481,326.00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6,481,326.00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6,481,326.00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4.0641 %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BXP,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Prudential Center, 800 Boylston Street, Suite 1900, Boston, MA, 02199</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Norges Bank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Bankplassen 2, PO Box 1179 Sentrum, Oslo, NO-0107, Oslo, Norway</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Norway</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0"/>
              <w:jc w:val="left"/>
              <w:rPr/>
            </w:pPr>
            <w:r>
              <w:rPr/>
              <w:t>Investment Adviser</w:t>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6481326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4.0641  %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6481326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6481326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Item 10.</w:t>
            </w:r>
          </w:p>
        </w:tc>
        <w:tc>
          <w:tcPr>
            <w:tcW w:w="9038" w:type="dxa"/>
            <w:tcBorders/>
            <w:vAlign w:val="center"/>
          </w:tcPr>
          <w:p>
            <w:pPr>
              <w:pStyle w:val="TableContents"/>
              <w:bidi w:val="0"/>
              <w:spacing w:before="0" w:after="283"/>
              <w:jc w:val="left"/>
              <w:rPr/>
            </w:pPr>
            <w:r>
              <w:rPr/>
              <w:t>Certifications:</w:t>
            </w:r>
          </w:p>
        </w:tc>
      </w:tr>
      <w:tr>
        <w:trPr/>
        <w:tc>
          <w:tcPr>
            <w:tcW w:w="1167"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I also certify that, to the best of my knowledge and belief, the foreign regulatory scheme applicable to the investment management division of Norges Bank, the central bank of Norway, is substantially comparable to the regulatory scheme applicable to the functionally equivalent U.S. institution(s). I undertake to furnish to the Commission staff, upon request, information that would otherwise be disclosed in a Schedule 13D.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056" w:type="dxa"/>
        <w:jc w:val="left"/>
        <w:tblInd w:w="0" w:type="dxa"/>
        <w:tblLayout w:type="fixed"/>
        <w:tblCellMar>
          <w:top w:w="28" w:type="dxa"/>
          <w:left w:w="28" w:type="dxa"/>
          <w:bottom w:w="28" w:type="dxa"/>
          <w:right w:w="28" w:type="dxa"/>
        </w:tblCellMar>
      </w:tblPr>
      <w:tblGrid>
        <w:gridCol w:w="1528"/>
        <w:gridCol w:w="1528"/>
      </w:tblGrid>
      <w:tr>
        <w:trPr/>
        <w:tc>
          <w:tcPr>
            <w:tcW w:w="1528" w:type="dxa"/>
            <w:tcBorders/>
            <w:vAlign w:val="center"/>
          </w:tcPr>
          <w:p>
            <w:pPr>
              <w:pStyle w:val="TableContents"/>
              <w:bidi w:val="0"/>
              <w:spacing w:before="0" w:after="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0"/>
                    <w:jc w:val="left"/>
                    <w:rPr/>
                  </w:pPr>
                  <w:r>
                    <w:rPr/>
                    <w:t>Norges Bank</w:t>
                  </w:r>
                </w:p>
              </w:tc>
            </w:tr>
          </w:tbl>
          <w:p>
            <w:pPr>
              <w:pStyle w:val="TableContents"/>
              <w:bidi w:val="0"/>
              <w:spacing w:before="0" w:after="283"/>
              <w:jc w:val="left"/>
              <w:rPr/>
            </w:pPr>
            <w:r>
              <w:rPr/>
            </w:r>
          </w:p>
        </w:tc>
        <w:tc>
          <w:tcPr>
            <w:tcW w:w="15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Stanislav Boiadjiev</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Business and Regulatory Compliance</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794</Words>
  <Characters>4122</Characters>
  <CharactersWithSpaces>4910</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