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Kevorkian Eric G</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6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C/O BXP</w:t>
            </w: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800 BOYLSTON STREET</w:t>
            </w:r>
          </w:p>
        </w:tc>
        <w:tc>
          <w:tcPr>
            <w:tcW w:w="14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4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02199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60"/>
              <w:spacing w:after="0"/>
              <w:rPr>
                <w:sz w:val="20"/>
                <w:szCs w:val="20"/>
                <w:color w:val="auto"/>
              </w:rPr>
            </w:pPr>
            <w:r>
              <w:rPr>
                <w:rFonts w:ascii="Arial" w:cs="Arial" w:eastAsia="Arial" w:hAnsi="Arial"/>
                <w:sz w:val="13"/>
                <w:szCs w:val="13"/>
                <w:color w:val="auto"/>
              </w:rPr>
              <w:t>(State)</w:t>
            </w:r>
          </w:p>
        </w:tc>
        <w:tc>
          <w:tcPr>
            <w:tcW w:w="146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BOSTON PROPERTIES LTD</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PARTNERSHIP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4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60"/>
              <w:spacing w:after="0" w:line="185" w:lineRule="exact"/>
              <w:rPr>
                <w:sz w:val="20"/>
                <w:szCs w:val="20"/>
                <w:color w:val="auto"/>
              </w:rPr>
            </w:pPr>
            <w:r>
              <w:rPr>
                <w:rFonts w:ascii="Times New Roman" w:cs="Times New Roman" w:eastAsia="Times New Roman" w:hAnsi="Times New Roman"/>
                <w:sz w:val="17"/>
                <w:szCs w:val="17"/>
                <w:color w:val="0000FF"/>
              </w:rPr>
              <w:t>SVP, CLO of GP</w:t>
            </w:r>
          </w:p>
        </w:tc>
        <w:tc>
          <w:tcPr>
            <w:tcW w:w="0" w:type="dxa"/>
            <w:vAlign w:val="bottom"/>
          </w:tcPr>
          <w:p>
            <w:pPr>
              <w:spacing w:after="0"/>
              <w:rPr>
                <w:sz w:val="1"/>
                <w:szCs w:val="1"/>
                <w:color w:val="auto"/>
              </w:rPr>
            </w:pPr>
          </w:p>
        </w:tc>
      </w:tr>
      <w:tr>
        <w:trPr>
          <w:trHeight w:val="226"/>
        </w:trPr>
        <w:tc>
          <w:tcPr>
            <w:tcW w:w="1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4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OP Units</w:t>
            </w:r>
            <w:r>
              <w:rPr>
                <w:rFonts w:ascii="Times New Roman" w:cs="Times New Roman" w:eastAsia="Times New Roman" w:hAnsi="Times New Roman"/>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C</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2,000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1,757.43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units of limited partnership interest in the Issuer ("Common OP Units"). Each Common OP Unit may be presented for redemption, at the election of the holder, for cash equal to the then fair market value of a share of common stock of BXP, Inc. ("BXP"), the Issuer's sole general partner, except that BXP may, at its election, acquire each Common OP Unit so presented for redemption for one share of BXP's common stock.</w:t>
      </w:r>
    </w:p>
    <w:p>
      <w:pPr>
        <w:spacing w:after="0" w:line="20" w:lineRule="exact"/>
        <w:rPr>
          <w:rFonts w:ascii="Times New Roman" w:cs="Times New Roman" w:eastAsia="Times New Roman" w:hAnsi="Times New Roman"/>
          <w:sz w:val="13"/>
          <w:szCs w:val="13"/>
          <w:color w:val="008000"/>
        </w:rPr>
      </w:pPr>
    </w:p>
    <w:p>
      <w:pPr>
        <w:ind w:left="40" w:right="7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2,000 of the reporting person's Common OP Units were redeemed by the Reporting Person for an equal number of shares of BXP's common stock, in accordance with the terms of the Issuer's Partnership Agreement.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1048" TargetMode="External"/><Relationship Id="rId14" Type="http://schemas.openxmlformats.org/officeDocument/2006/relationships/hyperlink" Target="http://www.sec.gov/cgi-bin/browse-edgar?action=getcompany&amp;CIK=0001043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2026-05-26T10:15:16Z</dcterms:created>
  <dcterms:modified xsi:type="dcterms:W3CDTF">2026-05-26T10:15:16Z</dcterms:modified>
</cp:coreProperties>
</file>