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8"/>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80" w:type="dxa"/>
            <w:vAlign w:val="bottom"/>
            <w:gridSpan w:val="19"/>
            <w:vMerge w:val="restart"/>
          </w:tcPr>
          <w:p>
            <w:pPr>
              <w:jc w:val="center"/>
              <w:ind w:left="48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580" w:type="dxa"/>
            <w:vAlign w:val="bottom"/>
            <w:gridSpan w:val="19"/>
            <w:vMerge w:val="continue"/>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80" w:type="dxa"/>
            <w:vAlign w:val="bottom"/>
            <w:gridSpan w:val="19"/>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43"/>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9"/>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5"/>
            <w:vMerge w:val="restart"/>
          </w:tcPr>
          <w:p>
            <w:pPr>
              <w:ind w:left="20"/>
              <w:spacing w:after="0"/>
              <w:rPr>
                <w:rFonts w:ascii="Arial" w:cs="Arial" w:eastAsia="Arial" w:hAnsi="Arial"/>
                <w:sz w:val="21"/>
                <w:szCs w:val="21"/>
                <w:color w:val="0000EE"/>
                <w:w w:val="93"/>
              </w:rPr>
            </w:pPr>
            <w:hyperlink r:id="rId8">
              <w:r>
                <w:rPr>
                  <w:rFonts w:ascii="Arial" w:cs="Arial" w:eastAsia="Arial" w:hAnsi="Arial"/>
                  <w:sz w:val="21"/>
                  <w:szCs w:val="21"/>
                  <w:color w:val="0000EE"/>
                  <w:w w:val="93"/>
                </w:rPr>
                <w:t>Einiger Carol B.</w:t>
              </w:r>
            </w:hyperlink>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5"/>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20" w:type="dxa"/>
            <w:vAlign w:val="bottom"/>
          </w:tcPr>
          <w:p>
            <w:pPr>
              <w:spacing w:after="0" w:line="20" w:lineRule="exact"/>
              <w:rPr>
                <w:sz w:val="1"/>
                <w:szCs w:val="1"/>
                <w:color w:val="auto"/>
              </w:rPr>
            </w:pPr>
          </w:p>
        </w:tc>
        <w:tc>
          <w:tcPr>
            <w:tcW w:w="1200" w:type="dxa"/>
            <w:vAlign w:val="bottom"/>
            <w:gridSpan w:val="4"/>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06/30/2023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BOSTON PROPERTIES,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800 BOYLSTON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gridSpan w:val="11"/>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BOSTON</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02199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2"/>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3"/>
            <w:vMerge w:val="restart"/>
          </w:tcPr>
          <w:p>
            <w:pPr>
              <w:jc w:val="right"/>
              <w:ind w:right="161"/>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480" w:type="dxa"/>
            <w:vAlign w:val="bottom"/>
            <w:tcBorders>
              <w:bottom w:val="single" w:sz="8" w:color="2C2C2C"/>
            </w:tcBorders>
            <w:gridSpan w:val="7"/>
          </w:tcPr>
          <w:p>
            <w:pPr>
              <w:spacing w:after="0"/>
              <w:rPr>
                <w:sz w:val="7"/>
                <w:szCs w:val="7"/>
                <w:color w:val="auto"/>
              </w:rPr>
            </w:pPr>
          </w:p>
        </w:tc>
        <w:tc>
          <w:tcPr>
            <w:tcW w:w="104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22"/>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9"/>
          </w:tcPr>
          <w:p>
            <w:pPr>
              <w:jc w:val="right"/>
              <w:ind w:right="16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w w:val="90"/>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Stock,</w:t>
            </w:r>
          </w:p>
        </w:tc>
        <w:tc>
          <w:tcPr>
            <w:tcW w:w="540" w:type="dxa"/>
            <w:vAlign w:val="bottom"/>
            <w:gridSpan w:val="2"/>
            <w:vMerge w:val="restart"/>
          </w:tcPr>
          <w:p>
            <w:pPr>
              <w:spacing w:after="0" w:line="188" w:lineRule="exact"/>
              <w:rPr>
                <w:sz w:val="20"/>
                <w:szCs w:val="20"/>
                <w:color w:val="auto"/>
              </w:rPr>
            </w:pPr>
            <w:r>
              <w:rPr>
                <w:rFonts w:ascii="Arial" w:cs="Arial" w:eastAsia="Arial" w:hAnsi="Arial"/>
                <w:sz w:val="17"/>
                <w:szCs w:val="17"/>
                <w:color w:val="0000FF"/>
                <w:w w:val="99"/>
              </w:rPr>
              <w:t>450.87</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vMerge w:val="restart"/>
          </w:tcPr>
          <w:p>
            <w:pPr>
              <w:jc w:val="right"/>
              <w:ind w:right="112"/>
              <w:spacing w:after="0" w:line="109" w:lineRule="exact"/>
              <w:rPr>
                <w:sz w:val="20"/>
                <w:szCs w:val="20"/>
                <w:color w:val="auto"/>
              </w:rPr>
            </w:pPr>
            <w:r>
              <w:rPr>
                <w:rFonts w:ascii="Arial" w:cs="Arial" w:eastAsia="Arial" w:hAnsi="Arial"/>
                <w:sz w:val="12"/>
                <w:szCs w:val="12"/>
                <w:color w:val="0000FF"/>
              </w:rPr>
              <w:t>06/30/2023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4"/>
            <w:vMerge w:val="restart"/>
          </w:tcPr>
          <w:p>
            <w:pPr>
              <w:ind w:left="40"/>
              <w:spacing w:after="0" w:line="109" w:lineRule="exact"/>
              <w:rPr>
                <w:sz w:val="20"/>
                <w:szCs w:val="20"/>
                <w:color w:val="auto"/>
              </w:rPr>
            </w:pPr>
            <w:r>
              <w:rPr>
                <w:rFonts w:ascii="Arial" w:cs="Arial" w:eastAsia="Arial" w:hAnsi="Arial"/>
                <w:sz w:val="12"/>
                <w:szCs w:val="12"/>
                <w:color w:val="0000FF"/>
              </w:rPr>
              <w:t>A</w:t>
            </w:r>
          </w:p>
        </w:tc>
        <w:tc>
          <w:tcPr>
            <w:tcW w:w="120" w:type="dxa"/>
            <w:vAlign w:val="bottom"/>
          </w:tcPr>
          <w:p>
            <w:pPr>
              <w:spacing w:after="0"/>
              <w:rPr>
                <w:sz w:val="5"/>
                <w:szCs w:val="5"/>
                <w:color w:val="auto"/>
              </w:rPr>
            </w:pPr>
          </w:p>
        </w:tc>
        <w:tc>
          <w:tcPr>
            <w:tcW w:w="820" w:type="dxa"/>
            <w:vAlign w:val="bottom"/>
            <w:gridSpan w:val="2"/>
            <w:vMerge w:val="restart"/>
          </w:tcPr>
          <w:p>
            <w:pPr>
              <w:ind w:left="80"/>
              <w:spacing w:after="0" w:line="109" w:lineRule="exact"/>
              <w:rPr>
                <w:sz w:val="20"/>
                <w:szCs w:val="20"/>
                <w:color w:val="auto"/>
              </w:rPr>
            </w:pPr>
            <w:r>
              <w:rPr>
                <w:rFonts w:ascii="Arial" w:cs="Arial" w:eastAsia="Arial" w:hAnsi="Arial"/>
                <w:sz w:val="12"/>
                <w:szCs w:val="12"/>
                <w:color w:val="0000FF"/>
              </w:rPr>
              <w:t>450.87</w:t>
            </w:r>
          </w:p>
        </w:tc>
        <w:tc>
          <w:tcPr>
            <w:tcW w:w="7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5"/>
                <w:szCs w:val="5"/>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color w:val="008000"/>
              </w:rPr>
              <w:t>(2)</w:t>
            </w:r>
          </w:p>
        </w:tc>
        <w:tc>
          <w:tcPr>
            <w:tcW w:w="6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restart"/>
          </w:tcPr>
          <w:p>
            <w:pPr>
              <w:jc w:val="right"/>
              <w:ind w:right="178"/>
              <w:spacing w:after="0" w:line="109" w:lineRule="exact"/>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57.59</w:t>
            </w:r>
          </w:p>
        </w:tc>
        <w:tc>
          <w:tcPr>
            <w:tcW w:w="600" w:type="dxa"/>
            <w:vAlign w:val="bottom"/>
            <w:gridSpan w:val="3"/>
            <w:vMerge w:val="restart"/>
          </w:tcPr>
          <w:p>
            <w:pPr>
              <w:ind w:left="80"/>
              <w:spacing w:after="0" w:line="109" w:lineRule="exact"/>
              <w:rPr>
                <w:sz w:val="20"/>
                <w:szCs w:val="20"/>
                <w:color w:val="auto"/>
              </w:rPr>
            </w:pPr>
            <w:r>
              <w:rPr>
                <w:rFonts w:ascii="Arial" w:cs="Arial" w:eastAsia="Arial" w:hAnsi="Arial"/>
                <w:sz w:val="12"/>
                <w:szCs w:val="12"/>
                <w:color w:val="0000FF"/>
                <w:w w:val="93"/>
              </w:rPr>
              <w:t>26,632.82</w:t>
            </w:r>
          </w:p>
        </w:tc>
        <w:tc>
          <w:tcPr>
            <w:tcW w:w="260" w:type="dxa"/>
            <w:vAlign w:val="bottom"/>
            <w:vMerge w:val="continue"/>
          </w:tcPr>
          <w:p>
            <w:pPr>
              <w:spacing w:after="0"/>
              <w:rPr>
                <w:sz w:val="5"/>
                <w:szCs w:val="5"/>
                <w:color w:val="auto"/>
              </w:rPr>
            </w:pPr>
          </w:p>
        </w:tc>
        <w:tc>
          <w:tcPr>
            <w:tcW w:w="680" w:type="dxa"/>
            <w:vAlign w:val="bottom"/>
            <w:vMerge w:val="restart"/>
          </w:tcPr>
          <w:p>
            <w:pPr>
              <w:ind w:left="320"/>
              <w:spacing w:after="0" w:line="109" w:lineRule="exact"/>
              <w:rPr>
                <w:sz w:val="20"/>
                <w:szCs w:val="20"/>
                <w:color w:val="auto"/>
              </w:rPr>
            </w:pPr>
            <w:r>
              <w:rPr>
                <w:rFonts w:ascii="Arial" w:cs="Arial" w:eastAsia="Arial" w:hAnsi="Arial"/>
                <w:sz w:val="12"/>
                <w:szCs w:val="12"/>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640" w:type="dxa"/>
            <w:vAlign w:val="bottom"/>
          </w:tcPr>
          <w:p>
            <w:pPr>
              <w:ind w:left="20"/>
              <w:spacing w:after="0" w:line="44" w:lineRule="exact"/>
              <w:rPr>
                <w:sz w:val="20"/>
                <w:szCs w:val="20"/>
                <w:color w:val="auto"/>
              </w:rPr>
            </w:pPr>
            <w:r>
              <w:rPr>
                <w:rFonts w:ascii="Arial" w:cs="Arial" w:eastAsia="Arial" w:hAnsi="Arial"/>
                <w:sz w:val="5"/>
                <w:szCs w:val="5"/>
                <w:color w:val="0000FF"/>
              </w:rPr>
              <w:t>par value</w:t>
            </w:r>
          </w:p>
        </w:tc>
        <w:tc>
          <w:tcPr>
            <w:tcW w:w="5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-5626100</wp:posOffset>
            </wp:positionV>
            <wp:extent cx="7045325" cy="5829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582930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65"/>
        </w:trPr>
        <w:tc>
          <w:tcPr>
            <w:tcW w:w="3560" w:type="dxa"/>
            <w:vAlign w:val="bottom"/>
          </w:tcPr>
          <w:p>
            <w:pPr>
              <w:spacing w:after="0"/>
              <w:rPr>
                <w:sz w:val="20"/>
                <w:szCs w:val="20"/>
                <w:color w:val="auto"/>
              </w:rPr>
            </w:pPr>
            <w:r>
              <w:rPr>
                <w:rFonts w:ascii="Arial" w:cs="Arial" w:eastAsia="Arial" w:hAnsi="Arial"/>
                <w:sz w:val="13"/>
                <w:szCs w:val="13"/>
                <w:color w:val="0000FF"/>
              </w:rPr>
              <w:t>Units</w:t>
            </w:r>
          </w:p>
        </w:tc>
        <w:tc>
          <w:tcPr>
            <w:tcW w:w="3560" w:type="dxa"/>
            <w:vAlign w:val="bottom"/>
            <w:vMerge w:val="restart"/>
          </w:tcPr>
          <w:p>
            <w:pPr>
              <w:jc w:val="right"/>
              <w:spacing w:after="0"/>
              <w:rPr>
                <w:sz w:val="20"/>
                <w:szCs w:val="20"/>
                <w:color w:val="auto"/>
              </w:rPr>
            </w:pPr>
            <w:r>
              <w:rPr>
                <w:rFonts w:ascii="Arial" w:cs="Arial" w:eastAsia="Arial" w:hAnsi="Arial"/>
                <w:sz w:val="13"/>
                <w:szCs w:val="13"/>
                <w:color w:val="0000FF"/>
              </w:rPr>
              <w:t>$0.01</w:t>
            </w:r>
          </w:p>
        </w:tc>
        <w:tc>
          <w:tcPr>
            <w:tcW w:w="0" w:type="dxa"/>
            <w:vAlign w:val="bottom"/>
          </w:tcPr>
          <w:p>
            <w:pPr>
              <w:spacing w:after="0"/>
              <w:rPr>
                <w:sz w:val="1"/>
                <w:szCs w:val="1"/>
                <w:color w:val="auto"/>
              </w:rPr>
            </w:pPr>
          </w:p>
        </w:tc>
      </w:tr>
      <w:tr>
        <w:trPr>
          <w:trHeight w:val="65"/>
        </w:trPr>
        <w:tc>
          <w:tcPr>
            <w:tcW w:w="356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Stock Units convert to Boston Properties, Inc. common stock on a 1-for-1 basis.</w:t>
      </w:r>
    </w:p>
    <w:p>
      <w:pPr>
        <w:spacing w:after="0" w:line="46" w:lineRule="exact"/>
        <w:rPr>
          <w:rFonts w:ascii="Arial" w:cs="Arial" w:eastAsia="Arial" w:hAnsi="Arial"/>
          <w:sz w:val="13"/>
          <w:szCs w:val="13"/>
          <w:color w:val="008000"/>
        </w:rPr>
      </w:pPr>
    </w:p>
    <w:p>
      <w:pPr>
        <w:ind w:left="40" w:right="180" w:firstLine="4"/>
        <w:spacing w:after="0" w:line="26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are awarded under the Boston Properties, Inc. ("BXP")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1"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472.18 Phantom Stock Units received pursuant to dividend equivalent rights which were credited to the reporting person on April 28, 2023.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rPr>
              <w:t>/s/ Kelli A. DiLuglio, as</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07/05/2023</w:t>
            </w:r>
          </w:p>
        </w:tc>
        <w:tc>
          <w:tcPr>
            <w:tcW w:w="0" w:type="dxa"/>
            <w:vAlign w:val="bottom"/>
          </w:tcPr>
          <w:p>
            <w:pPr>
              <w:spacing w:after="0"/>
              <w:rPr>
                <w:sz w:val="1"/>
                <w:szCs w:val="1"/>
                <w:color w:val="auto"/>
              </w:rPr>
            </w:pPr>
          </w:p>
        </w:tc>
      </w:tr>
      <w:tr>
        <w:trPr>
          <w:trHeight w:val="85"/>
        </w:trPr>
        <w:tc>
          <w:tcPr>
            <w:tcW w:w="116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4"/>
              </w:rPr>
              <w:t>Attorney-in-Fact</w:t>
            </w:r>
          </w:p>
        </w:tc>
        <w:tc>
          <w:tcPr>
            <w:tcW w:w="48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89668" TargetMode="External"/><Relationship Id="rId9"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2023-07-05T09:56:24Z</dcterms:created>
  <dcterms:modified xsi:type="dcterms:W3CDTF">2023-07-05T09:56:24Z</dcterms:modified>
</cp:coreProperties>
</file>