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30"/>
        </w:rPr>
      </w:pPr>
      <w:r>
        <w:rPr>
          <w:rFonts w:ascii="Arial;sans-serif" w:hAnsi="Arial;sans-serif"/>
          <w:b/>
          <w:color w:val="000000"/>
          <w:sz w:val="3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48"/>
        </w:rPr>
      </w:pPr>
      <w:r>
        <w:rPr>
          <w:rFonts w:ascii="Arial;sans-serif" w:hAnsi="Arial;sans-serif"/>
          <w:b/>
          <w:color w:val="000000"/>
          <w:sz w:val="4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June 30, 2026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88" w:before="360" w:after="283"/>
        <w:jc w:val="center"/>
        <w:rPr>
          <w:rFonts w:ascii="Arial;sans-serif" w:hAnsi="Arial;sans-serif"/>
          <w:b/>
          <w:color w:val="000000"/>
          <w:sz w:val="18"/>
        </w:rPr>
      </w:pPr>
      <w:r>
        <w:rPr>
          <w:rFonts w:ascii="Arial;sans-serif" w:hAnsi="Arial;sans-serif"/>
          <w:b/>
          <w:color w:val="000000"/>
          <w:sz w:val="18"/>
        </w:rPr>
        <w:t>Commission File Number: 1-13087 (BXP,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0-50209 (Boston Properties Limited Partnership)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BXP, INC.</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 xml:space="preserve">BOSTON PROPERTIES LIMITED PARTNERSHIP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92"/>
        <w:gridCol w:w="957"/>
        <w:gridCol w:w="971"/>
        <w:gridCol w:w="1404"/>
        <w:gridCol w:w="1404"/>
        <w:gridCol w:w="1419"/>
        <w:gridCol w:w="862"/>
        <w:gridCol w:w="862"/>
        <w:gridCol w:w="1234"/>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BXP, Inc.</w:t>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04-2473675</w:t>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Boston Properties Limited Partnership</w:t>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04-3372948</w:t>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bidi w:val="0"/>
        <w:spacing w:lineRule="auto" w:line="288" w:before="200" w:after="283"/>
        <w:jc w:val="center"/>
        <w:rPr>
          <w:rFonts w:ascii="Arial;sans-serif" w:hAnsi="Arial;sans-serif"/>
          <w:b/>
          <w:color w:val="000000"/>
          <w:sz w:val="18"/>
        </w:rPr>
      </w:pPr>
      <w:r>
        <w:rPr>
          <w:rFonts w:ascii="Arial;sans-serif" w:hAnsi="Arial;sans-serif"/>
          <w:b/>
          <w:color w:val="000000"/>
          <w:sz w:val="18"/>
        </w:rPr>
        <w:t xml:space="preserve">Prudential Center, 800 Boylston Street, Suite 1900, Boston, Massachusetts 02199-8103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(617) 236-3300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1038"/>
        <w:gridCol w:w="981"/>
        <w:gridCol w:w="986"/>
        <w:gridCol w:w="109"/>
        <w:gridCol w:w="109"/>
        <w:gridCol w:w="109"/>
        <w:gridCol w:w="497"/>
        <w:gridCol w:w="497"/>
        <w:gridCol w:w="499"/>
        <w:gridCol w:w="109"/>
        <w:gridCol w:w="109"/>
        <w:gridCol w:w="109"/>
        <w:gridCol w:w="1083"/>
        <w:gridCol w:w="1083"/>
        <w:gridCol w:w="1539"/>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BXP,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20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120" w:after="283"/>
        <w:ind w:left="0" w:right="0" w:firstLine="450"/>
        <w:jc w:val="left"/>
        <w:rPr/>
      </w:pPr>
      <w:r>
        <w:rPr>
          <w:rFonts w:ascii="Arial;sans-serif" w:hAnsi="Arial;sans-serif"/>
          <w:b w:val="false"/>
          <w:color w:val="000000"/>
          <w:sz w:val="18"/>
        </w:rPr>
        <w:t>BXP, Inc.: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r>
        <w:rPr>
          <w:rFonts w:ascii="Arial;sans-serif" w:hAnsi="Arial;sans-serif"/>
          <w:b w:val="false"/>
          <w:color w:val="000000"/>
          <w:sz w:val="18"/>
        </w:rPr>
        <w:t>Boston Properties Limited Partnership: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120" w:after="283"/>
        <w:ind w:left="0" w:right="0" w:firstLine="450"/>
        <w:jc w:val="left"/>
        <w:rPr/>
      </w:pPr>
      <w:r>
        <w:rPr>
          <w:rFonts w:ascii="Arial;sans-serif" w:hAnsi="Arial;sans-serif"/>
          <w:b w:val="false"/>
          <w:color w:val="000000"/>
          <w:sz w:val="18"/>
        </w:rPr>
        <w:t>BXP, Inc.: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r>
        <w:rPr>
          <w:rFonts w:ascii="Arial;sans-serif" w:hAnsi="Arial;sans-serif"/>
          <w:b w:val="false"/>
          <w:color w:val="000000"/>
          <w:sz w:val="18"/>
        </w:rPr>
        <w:t>Boston Properties Limited Partnership: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p>
    <w:p>
      <w:pPr>
        <w:pStyle w:val="TextBody"/>
        <w:bidi w:val="0"/>
        <w:spacing w:lineRule="auto" w:line="288" w:before="18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450"/>
        <w:jc w:val="left"/>
        <w:rPr>
          <w:rFonts w:ascii="Arial;sans-serif" w:hAnsi="Arial;sans-serif"/>
          <w:b w:val="false"/>
          <w:color w:val="000000"/>
          <w:sz w:val="18"/>
        </w:rPr>
      </w:pPr>
      <w:r>
        <w:rPr>
          <w:rFonts w:ascii="Arial;sans-serif" w:hAnsi="Arial;sans-serif"/>
          <w:b w:val="false"/>
          <w:color w:val="000000"/>
          <w:sz w:val="18"/>
        </w:rPr>
        <w:t xml:space="preserve">BXP, Inc.:     </w:t>
      </w:r>
    </w:p>
    <w:p>
      <w:pPr>
        <w:pStyle w:val="TextBody"/>
        <w:bidi w:val="0"/>
        <w:spacing w:lineRule="auto" w:line="288" w:before="0" w:after="0"/>
        <w:jc w:val="left"/>
        <w:rPr/>
      </w:pPr>
      <w:r>
        <w:rPr>
          <w:rFonts w:ascii="Arial;sans-serif" w:hAnsi="Arial;sans-serif"/>
          <w:b w:val="false"/>
          <w:color w:val="000000"/>
          <w:sz w:val="18"/>
        </w:rPr>
        <w:t>Large accelerated filer  </w:t>
      </w:r>
      <w:r>
        <w:rPr>
          <w:rFonts w:ascii="Wingdings;sans-serif" w:hAnsi="Wingdings;sans-serif"/>
          <w:b w:val="false"/>
          <w:color w:val="000000"/>
          <w:sz w:val="18"/>
        </w:rPr>
        <w:t>x</w:t>
      </w:r>
      <w:r>
        <w:rPr>
          <w:color w:val="000000"/>
        </w:rPr>
        <w:t>         </w:t>
      </w:r>
      <w:r>
        <w:rPr>
          <w:rFonts w:ascii="Arial;sans-serif" w:hAnsi="Arial;sans-serif"/>
          <w:b w:val="false"/>
          <w:color w:val="000000"/>
          <w:sz w:val="18"/>
        </w:rPr>
        <w:t>Accelerated filer  </w:t>
      </w:r>
      <w:r>
        <w:rPr>
          <w:color w:val="000000"/>
        </w:rPr>
        <w:t>☐         </w:t>
      </w:r>
      <w:r>
        <w:rPr>
          <w:rFonts w:ascii="Arial;sans-serif" w:hAnsi="Arial;sans-serif"/>
          <w:b w:val="false"/>
          <w:color w:val="000000"/>
          <w:sz w:val="18"/>
        </w:rPr>
        <w:t>Non-accelerated filer  </w:t>
      </w:r>
      <w:r>
        <w:rPr>
          <w:color w:val="000000"/>
        </w:rPr>
        <w:t>☐         </w:t>
      </w:r>
      <w:r>
        <w:rPr>
          <w:rFonts w:ascii="Arial;sans-serif" w:hAnsi="Arial;sans-serif"/>
          <w:b w:val="false"/>
          <w:color w:val="000000"/>
          <w:sz w:val="18"/>
        </w:rPr>
        <w:t>Smaller reporting company  </w:t>
      </w:r>
      <w:r>
        <w:rPr>
          <w:color w:val="000000"/>
        </w:rPr>
        <w:t>☐         </w:t>
      </w:r>
      <w:r>
        <w:rPr>
          <w:rFonts w:ascii="Arial;sans-serif" w:hAnsi="Arial;sans-serif"/>
          <w:b w:val="false"/>
          <w:color w:val="000000"/>
          <w:sz w:val="18"/>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120" w:after="283"/>
        <w:ind w:left="0" w:right="0" w:firstLine="450"/>
        <w:jc w:val="left"/>
        <w:rPr>
          <w:rFonts w:ascii="Arial;sans-serif" w:hAnsi="Arial;sans-serif"/>
          <w:b w:val="false"/>
          <w:color w:val="000000"/>
          <w:sz w:val="18"/>
        </w:rPr>
      </w:pPr>
      <w:r>
        <w:rPr>
          <w:rFonts w:ascii="Arial;sans-serif" w:hAnsi="Arial;sans-serif"/>
          <w:b w:val="false"/>
          <w:color w:val="000000"/>
          <w:sz w:val="18"/>
        </w:rPr>
        <w:t xml:space="preserve">Boston Properties Limited Partnership: </w:t>
      </w:r>
    </w:p>
    <w:p>
      <w:pPr>
        <w:pStyle w:val="TextBody"/>
        <w:bidi w:val="0"/>
        <w:spacing w:lineRule="auto" w:line="288" w:before="0" w:after="0"/>
        <w:jc w:val="left"/>
        <w:rPr/>
      </w:pPr>
      <w:r>
        <w:rPr>
          <w:rFonts w:ascii="Arial;sans-serif" w:hAnsi="Arial;sans-serif"/>
          <w:b w:val="false"/>
          <w:color w:val="000000"/>
          <w:sz w:val="18"/>
        </w:rPr>
        <w:t xml:space="preserve">Large accelerated filer  ☐         Accelerated filer  ☐         Non-accelerated filer  </w:t>
      </w:r>
      <w:r>
        <w:rPr>
          <w:rFonts w:ascii="Wingdings;sans-serif" w:hAnsi="Wingdings;sans-serif"/>
          <w:b w:val="false"/>
          <w:color w:val="000000"/>
          <w:sz w:val="18"/>
        </w:rPr>
        <w:t>x</w:t>
      </w:r>
      <w:r>
        <w:rPr>
          <w:color w:val="000000"/>
        </w:rPr>
        <w:t>           </w:t>
      </w:r>
      <w:r>
        <w:rPr>
          <w:rFonts w:ascii="Arial;sans-serif" w:hAnsi="Arial;sans-serif"/>
          <w:b w:val="false"/>
          <w:color w:val="000000"/>
          <w:sz w:val="18"/>
        </w:rPr>
        <w:t>Smaller reporting company  </w:t>
      </w:r>
      <w:r>
        <w:rPr>
          <w:color w:val="000000"/>
        </w:rPr>
        <w:t>☐           </w:t>
      </w:r>
      <w:r>
        <w:rPr>
          <w:rFonts w:ascii="Arial;sans-serif" w:hAnsi="Arial;sans-serif"/>
          <w:b w:val="false"/>
          <w:color w:val="000000"/>
          <w:sz w:val="18"/>
        </w:rPr>
        <w:t>Emerging growth company  </w:t>
      </w:r>
      <w:r>
        <w:rPr>
          <w:color w:val="000000"/>
        </w:rPr>
        <w:t xml:space="preserve">☐ </w:t>
      </w:r>
    </w:p>
    <w:p>
      <w:pPr>
        <w:pStyle w:val="TextBody"/>
        <w:bidi w:val="0"/>
        <w:spacing w:lineRule="auto" w:line="288" w:before="180" w:after="283"/>
        <w:ind w:left="0" w:right="0" w:firstLine="450"/>
        <w:jc w:val="left"/>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ind w:left="0" w:right="0" w:firstLine="495"/>
        <w:jc w:val="left"/>
        <w:rPr>
          <w:rFonts w:ascii="Arial;sans-serif" w:hAnsi="Arial;sans-serif"/>
          <w:b w:val="false"/>
          <w:color w:val="000000"/>
          <w:sz w:val="18"/>
        </w:rPr>
      </w:pPr>
      <w:r>
        <w:rPr>
          <w:rFonts w:ascii="Arial;sans-serif" w:hAnsi="Arial;sans-serif"/>
          <w:b w:val="false"/>
          <w:color w:val="000000"/>
          <w:sz w:val="18"/>
        </w:rPr>
        <w:t xml:space="preserve">BXP, Inc. ☐                 Boston Properties Limited Partnership ☐ </w:t>
      </w:r>
    </w:p>
    <w:p>
      <w:pPr>
        <w:pStyle w:val="TextBody"/>
        <w:bidi w:val="0"/>
        <w:spacing w:lineRule="auto" w:line="288" w:before="240" w:after="283"/>
        <w:ind w:left="0" w:right="0" w:firstLine="45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w:t>
      </w:r>
    </w:p>
    <w:p>
      <w:pPr>
        <w:pStyle w:val="TextBody"/>
        <w:bidi w:val="0"/>
        <w:spacing w:lineRule="auto" w:line="288" w:before="120" w:after="283"/>
        <w:ind w:left="0" w:right="0" w:firstLine="450"/>
        <w:jc w:val="left"/>
        <w:rPr/>
      </w:pPr>
      <w:r>
        <w:rPr>
          <w:rFonts w:ascii="Arial;sans-serif" w:hAnsi="Arial;sans-serif"/>
          <w:b w:val="false"/>
          <w:color w:val="000000"/>
          <w:sz w:val="18"/>
        </w:rPr>
        <w:t>BXP, Inc.:    Yes  ☐    No  </w:t>
      </w:r>
      <w:r>
        <w:rPr>
          <w:rFonts w:ascii="Wingdings;sans-serif" w:hAnsi="Wingdings;sans-serif"/>
          <w:b w:val="false"/>
          <w:color w:val="000000"/>
          <w:sz w:val="18"/>
        </w:rPr>
        <w:t>x</w:t>
      </w:r>
      <w:r>
        <w:rPr>
          <w:color w:val="000000"/>
        </w:rPr>
        <w:t>        </w:t>
      </w:r>
      <w:r>
        <w:rPr>
          <w:rFonts w:ascii="Arial;sans-serif" w:hAnsi="Arial;sans-serif"/>
          <w:b w:val="false"/>
          <w:color w:val="000000"/>
          <w:sz w:val="18"/>
        </w:rPr>
        <w:t>Boston Properties Limited Partnership:    Yes  ☐    No  </w:t>
      </w:r>
      <w:r>
        <w:rPr>
          <w:rFonts w:ascii="Wingdings;sans-serif" w:hAnsi="Wingdings;sans-serif"/>
          <w:b w:val="false"/>
          <w:color w:val="000000"/>
          <w:sz w:val="18"/>
        </w:rPr>
        <w:t>x</w:t>
      </w:r>
    </w:p>
    <w:p>
      <w:pPr>
        <w:pStyle w:val="TextBody"/>
        <w:bidi w:val="0"/>
        <w:spacing w:lineRule="auto" w:line="288" w:before="240" w:after="283"/>
        <w:ind w:left="0" w:right="0" w:firstLine="450"/>
        <w:jc w:val="left"/>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tbl>
      <w:tblPr>
        <w:tblW w:w="7558" w:type="dxa"/>
        <w:jc w:val="center"/>
        <w:tblInd w:w="0" w:type="dxa"/>
        <w:tblLayout w:type="fixed"/>
        <w:tblCellMar>
          <w:top w:w="28" w:type="dxa"/>
          <w:left w:w="28" w:type="dxa"/>
          <w:bottom w:w="28" w:type="dxa"/>
          <w:right w:w="28" w:type="dxa"/>
        </w:tblCellMar>
      </w:tblPr>
      <w:tblGrid>
        <w:gridCol w:w="412"/>
        <w:gridCol w:w="362"/>
        <w:gridCol w:w="366"/>
        <w:gridCol w:w="1228"/>
        <w:gridCol w:w="1228"/>
        <w:gridCol w:w="1233"/>
        <w:gridCol w:w="797"/>
        <w:gridCol w:w="797"/>
        <w:gridCol w:w="1135"/>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BXP, Inc.</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par value $0.01 per share</w:t>
            </w:r>
          </w:p>
        </w:tc>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159,661,556</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(Registrant)</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(Class)</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(Outstanding on July 31, 2026)</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300"/>
        <w:jc w:val="center"/>
        <w:rPr>
          <w:rFonts w:ascii="Arial;sans-serif" w:hAnsi="Arial;sans-serif"/>
          <w:b/>
          <w:color w:val="000000"/>
          <w:sz w:val="20"/>
          <w:u w:val="single"/>
        </w:rPr>
      </w:pPr>
      <w:r>
        <w:rPr>
          <w:rFonts w:ascii="Arial;sans-serif" w:hAnsi="Arial;sans-serif"/>
          <w:b/>
          <w:color w:val="000000"/>
          <w:sz w:val="20"/>
          <w:u w:val="single"/>
        </w:rPr>
        <w:t>EXPLANATORY NOTE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This report combines the Quarterly Reports on Form 10-Q for the period ended June 30, 2026 of BXP, Inc. and Boston Properties Limited Partnership. Unless stated otherwise or the context otherwise requires, references to “BXP” mean BXP, Inc. (formerly known as Boston Properties, Inc.), a Delaware corporation that has elected to be taxed as a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refer collectively to BXP, BPLP and those subsidiaries consolidated by BXP.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BXP owned an approximate 89.9% ownership interest in BPLP. The remaining approximate 10.1% interest was owned by limited partners. The other limited partners of BPLP (1) contributed their direct or indirect interests in properties to BPLP in exchange for common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covenants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 number of common units of BPLP that equals the number of shares of BXP common stock so issued. This structure is commonly referred to as an umbrella partnership REIT, or UPREIT.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believes that combining the Quarterly Reports on Form 10-Q of BXP and BPLP into this single report:</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enhances investors’ understanding of BXP and BPLP by enabling them to view the business as a whole in the same manner as management views and operates the business;</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eliminates duplicative disclosure and provides a more concise and readable presentation because a substantial portion of the disclosure applies to both BXP and BPLP; and</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creates time and cost efficiencies through the preparation of one combined report instead of two separate reports.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subsidiaries and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noncontrolling interests in BPLP and limited partners of BPLP. The differences between shareholders’ equity and partners’ capital result from differences in the equity issued by each of BXP and BPLP.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$219.2 million, or 1.1% at June 30, 2026,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To help investors better understand the key differences between BXP and BPLP, the following items in this report present information separately for BXP and BPLP:</w:t>
      </w:r>
    </w:p>
    <w:p>
      <w:pPr>
        <w:pStyle w:val="TextBody"/>
        <w:bidi w:val="0"/>
        <w:spacing w:lineRule="auto" w:line="288" w:before="180" w:after="283"/>
        <w:ind w:left="0" w:right="0" w:hanging="360"/>
        <w:jc w:val="left"/>
        <w:rPr/>
      </w:pPr>
      <w:r>
        <w:rPr>
          <w:color w:val="000000"/>
        </w:rPr>
        <w:t xml:space="preserve">• </w:t>
      </w:r>
      <w:r>
        <w:rPr>
          <w:rFonts w:ascii="Arial;sans-serif" w:hAnsi="Arial;sans-serif"/>
          <w:b w:val="false"/>
          <w:color w:val="000000"/>
          <w:sz w:val="20"/>
        </w:rPr>
        <w:t>Item 1. Financial Statements (unaudited), which includes the following specific disclosures for BXP and BPLP:</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Note 3. Real Estate;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Note 10. Stockholders’ Equity / Partners’ Capital;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Note 11. Segment Information;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Note 12. Earnings Per Share / Common Unit; and</w:t>
      </w:r>
    </w:p>
    <w:p>
      <w:pPr>
        <w:pStyle w:val="TextBody"/>
        <w:bidi w:val="0"/>
        <w:spacing w:lineRule="auto" w:line="288" w:before="180" w:after="283"/>
        <w:ind w:left="0" w:right="0" w:hanging="360"/>
        <w:jc w:val="left"/>
        <w:rPr/>
      </w:pPr>
      <w:r>
        <w:rPr>
          <w:color w:val="000000"/>
        </w:rPr>
        <w:t xml:space="preserve">• </w:t>
      </w:r>
      <w:r>
        <w:rPr>
          <w:rFonts w:ascii="Arial;sans-serif" w:hAnsi="Arial;sans-serif"/>
          <w:b w:val="false"/>
          <w:color w:val="000000"/>
          <w:sz w:val="20"/>
        </w:rPr>
        <w:t>Item 2. Management’s Discussion and Analysis of Financial Condition and Results of Operations and Liquidity and Capital Resources, includes information specific to each entity, where applicable.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This report also includes separate Part I - Item 4. Controls and Procedures and Part II - Item 2. Unregistered Sales of Equity Securities and Use of Proceeds sections for each of BXP and BPLP, as well as separate Exhibits 31 and 32 certifications for each of BXP and BPLP. </w:t>
      </w:r>
    </w:p>
    <w:p>
      <w:pPr>
        <w:pStyle w:val="TextBody"/>
        <w:bidi w:val="0"/>
        <w:spacing w:before="180" w:after="283"/>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BXP, INC. AND BOSTON PROPERTIES LIMITED PARTNERSHIP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 ended June 30, 2026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75"/>
        <w:gridCol w:w="450"/>
        <w:gridCol w:w="450"/>
        <w:gridCol w:w="2809"/>
        <w:gridCol w:w="2657"/>
        <w:gridCol w:w="2645"/>
        <w:gridCol w:w="180"/>
        <w:gridCol w:w="180"/>
        <w:gridCol w:w="259"/>
      </w:tblGrid>
      <w:tr>
        <w:trPr/>
        <w:tc>
          <w:tcPr>
            <w:tcW w:w="57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16">
              <w:r>
                <w:rPr>
                  <w:rStyle w:val="InternetLink"/>
                  <w:rFonts w:ascii="Arial;sans-serif" w:hAnsi="Arial;sans-serif"/>
                  <w:b/>
                  <w:color w:val="0000FF"/>
                  <w:sz w:val="20"/>
                  <w:u w:val="single"/>
                </w:rPr>
                <w:t>PART I. FINANCIAL INFORMATION</w:t>
              </w:r>
            </w:hyperlink>
          </w:p>
        </w:tc>
        <w:tc>
          <w:tcPr>
            <w:tcW w:w="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2">
              <w:r>
                <w:rPr>
                  <w:rStyle w:val="InternetLink"/>
                  <w:rFonts w:ascii="Arial;sans-serif" w:hAnsi="Arial;sans-serif"/>
                  <w:b w:val="false"/>
                  <w:color w:val="0000FF"/>
                  <w:sz w:val="20"/>
                  <w:u w:val="single"/>
                </w:rPr>
                <w:t>Financial Statements (unaudited)</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2">
              <w:r>
                <w:rPr>
                  <w:rStyle w:val="InternetLink"/>
                  <w:rFonts w:ascii="Arial;sans-serif" w:hAnsi="Arial;sans-serif"/>
                  <w:b w:val="false"/>
                  <w:color w:val="0000FF"/>
                  <w:sz w:val="20"/>
                  <w:u w:val="single"/>
                </w:rPr>
                <w:t>1</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BXP, Inc.</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5">
              <w:r>
                <w:rPr>
                  <w:rStyle w:val="InternetLink"/>
                  <w:rFonts w:ascii="Arial;sans-serif" w:hAnsi="Arial;sans-serif"/>
                  <w:b w:val="false"/>
                  <w:color w:val="000080"/>
                  <w:sz w:val="20"/>
                  <w:u w:val="single"/>
                </w:rPr>
                <w:t xml:space="preserve">a) Consolidated Balance Sheets as of </w:t>
              </w:r>
            </w:hyperlink>
            <w:hyperlink w:anchor="i0c46fa995d734ff9a95e3cd08ffd6fa8_25">
              <w:r>
                <w:rPr>
                  <w:rStyle w:val="InternetLink"/>
                  <w:rFonts w:ascii="Arial;sans-serif" w:hAnsi="Arial;sans-serif"/>
                  <w:b w:val="false"/>
                  <w:color w:val="000080"/>
                  <w:sz w:val="20"/>
                  <w:u w:val="single"/>
                </w:rPr>
                <w:t>June 30</w:t>
              </w:r>
            </w:hyperlink>
            <w:hyperlink w:anchor="i0c46fa995d734ff9a95e3cd08ffd6fa8_25">
              <w:r>
                <w:rPr>
                  <w:rStyle w:val="InternetLink"/>
                  <w:rFonts w:ascii="Arial;sans-serif" w:hAnsi="Arial;sans-serif"/>
                  <w:b w:val="false"/>
                  <w:color w:val="000080"/>
                  <w:sz w:val="20"/>
                  <w:u w:val="single"/>
                </w:rPr>
                <w:t>, 2026 and December 31,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5">
              <w:r>
                <w:rPr>
                  <w:rStyle w:val="InternetLink"/>
                  <w:rFonts w:ascii="Arial;sans-serif" w:hAnsi="Arial;sans-serif"/>
                  <w:b w:val="false"/>
                  <w:color w:val="0000FF"/>
                  <w:sz w:val="20"/>
                  <w:u w:val="single"/>
                </w:rPr>
                <w:t>1</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c46fa995d734ff9a95e3cd08ffd6fa8_28">
              <w:r>
                <w:rPr>
                  <w:rStyle w:val="InternetLink"/>
                  <w:rFonts w:ascii="Arial;sans-serif" w:hAnsi="Arial;sans-serif"/>
                  <w:b w:val="false"/>
                  <w:color w:val="0000FF"/>
                  <w:sz w:val="20"/>
                  <w:u w:val="single"/>
                </w:rPr>
                <w:t>b) Consolidated Statements of Operations for the three and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8">
              <w:r>
                <w:rPr>
                  <w:rStyle w:val="InternetLink"/>
                  <w:rFonts w:ascii="Arial;sans-serif" w:hAnsi="Arial;sans-serif"/>
                  <w:b w:val="false"/>
                  <w:color w:val="0000FF"/>
                  <w:sz w:val="20"/>
                  <w:u w:val="single"/>
                </w:rPr>
                <w:t>3</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c46fa995d734ff9a95e3cd08ffd6fa8_31">
              <w:r>
                <w:rPr>
                  <w:rStyle w:val="InternetLink"/>
                  <w:rFonts w:ascii="Arial;sans-serif" w:hAnsi="Arial;sans-serif"/>
                  <w:b w:val="false"/>
                  <w:color w:val="0000FF"/>
                  <w:sz w:val="20"/>
                  <w:u w:val="single"/>
                </w:rPr>
                <w:t>c) Consolidated Statements of Comprehensive Income for the three and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31">
              <w:r>
                <w:rPr>
                  <w:rStyle w:val="InternetLink"/>
                  <w:rFonts w:ascii="Arial;sans-serif" w:hAnsi="Arial;sans-serif"/>
                  <w:b w:val="false"/>
                  <w:color w:val="0000FF"/>
                  <w:sz w:val="20"/>
                  <w:u w:val="single"/>
                </w:rPr>
                <w:t>4</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c46fa995d734ff9a95e3cd08ffd6fa8_34">
              <w:r>
                <w:rPr>
                  <w:rStyle w:val="InternetLink"/>
                  <w:rFonts w:ascii="Arial;sans-serif" w:hAnsi="Arial;sans-serif"/>
                  <w:b w:val="false"/>
                  <w:color w:val="0000FF"/>
                  <w:sz w:val="20"/>
                  <w:u w:val="single"/>
                </w:rPr>
                <w:t>d) Consolidated Statements of Equity for the three and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34">
              <w:r>
                <w:rPr>
                  <w:rStyle w:val="InternetLink"/>
                  <w:rFonts w:ascii="Arial;sans-serif" w:hAnsi="Arial;sans-serif"/>
                  <w:b w:val="false"/>
                  <w:color w:val="0000FF"/>
                  <w:sz w:val="20"/>
                  <w:u w:val="single"/>
                </w:rPr>
                <w:t>5</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c46fa995d734ff9a95e3cd08ffd6fa8_40">
              <w:r>
                <w:rPr>
                  <w:rStyle w:val="InternetLink"/>
                  <w:rFonts w:ascii="Arial;sans-serif" w:hAnsi="Arial;sans-serif"/>
                  <w:b w:val="false"/>
                  <w:color w:val="0000FF"/>
                  <w:sz w:val="20"/>
                  <w:u w:val="single"/>
                </w:rPr>
                <w:t>e) Consolidated Statements of Cash Flows for the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40">
              <w:r>
                <w:rPr>
                  <w:rStyle w:val="InternetLink"/>
                  <w:rFonts w:ascii="Arial;sans-serif" w:hAnsi="Arial;sans-serif"/>
                  <w:b w:val="false"/>
                  <w:color w:val="0000FF"/>
                  <w:sz w:val="20"/>
                  <w:u w:val="single"/>
                </w:rPr>
                <w:t>7</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Limited Partnership</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46">
              <w:r>
                <w:rPr>
                  <w:rStyle w:val="InternetLink"/>
                  <w:rFonts w:ascii="Arial;sans-serif" w:hAnsi="Arial;sans-serif"/>
                  <w:b w:val="false"/>
                  <w:color w:val="0000FF"/>
                  <w:sz w:val="20"/>
                  <w:u w:val="single"/>
                </w:rPr>
                <w:t>a) Consolidated Balance Sheets as of June 30, 2026 and December 31,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46">
              <w:r>
                <w:rPr>
                  <w:rStyle w:val="InternetLink"/>
                  <w:rFonts w:ascii="Arial;sans-serif" w:hAnsi="Arial;sans-serif"/>
                  <w:b w:val="false"/>
                  <w:color w:val="0000FF"/>
                  <w:sz w:val="20"/>
                  <w:u w:val="single"/>
                </w:rPr>
                <w:t>9</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c46fa995d734ff9a95e3cd08ffd6fa8_49">
              <w:r>
                <w:rPr>
                  <w:rStyle w:val="InternetLink"/>
                  <w:rFonts w:ascii="Arial;sans-serif" w:hAnsi="Arial;sans-serif"/>
                  <w:b w:val="false"/>
                  <w:color w:val="0000FF"/>
                  <w:sz w:val="20"/>
                  <w:u w:val="single"/>
                </w:rPr>
                <w:t>b) Consolidated Statements of Operations for the three and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49">
              <w:r>
                <w:rPr>
                  <w:rStyle w:val="InternetLink"/>
                  <w:rFonts w:ascii="Arial;sans-serif" w:hAnsi="Arial;sans-serif"/>
                  <w:b w:val="false"/>
                  <w:color w:val="0000FF"/>
                  <w:sz w:val="20"/>
                  <w:u w:val="single"/>
                </w:rPr>
                <w:t>11</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c46fa995d734ff9a95e3cd08ffd6fa8_52">
              <w:r>
                <w:rPr>
                  <w:rStyle w:val="InternetLink"/>
                  <w:rFonts w:ascii="Arial;sans-serif" w:hAnsi="Arial;sans-serif"/>
                  <w:b w:val="false"/>
                  <w:color w:val="0000FF"/>
                  <w:sz w:val="20"/>
                  <w:u w:val="single"/>
                </w:rPr>
                <w:t>c) Consolidated Statements of Comprehensive Income for the three and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52">
              <w:r>
                <w:rPr>
                  <w:rStyle w:val="InternetLink"/>
                  <w:rFonts w:ascii="Arial;sans-serif" w:hAnsi="Arial;sans-serif"/>
                  <w:b w:val="false"/>
                  <w:color w:val="0000FF"/>
                  <w:sz w:val="20"/>
                  <w:u w:val="single"/>
                </w:rPr>
                <w:t>12</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c46fa995d734ff9a95e3cd08ffd6fa8_55">
              <w:r>
                <w:rPr>
                  <w:rStyle w:val="InternetLink"/>
                  <w:rFonts w:ascii="Arial;sans-serif" w:hAnsi="Arial;sans-serif"/>
                  <w:b w:val="false"/>
                  <w:color w:val="0000FF"/>
                  <w:sz w:val="20"/>
                  <w:u w:val="single"/>
                </w:rPr>
                <w:t>d) Consolidated Statements of Capital and Noncontrolling Interests for the three and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55">
              <w:r>
                <w:rPr>
                  <w:rStyle w:val="InternetLink"/>
                  <w:rFonts w:ascii="Arial;sans-serif" w:hAnsi="Arial;sans-serif"/>
                  <w:b w:val="false"/>
                  <w:color w:val="0000FF"/>
                  <w:sz w:val="20"/>
                  <w:u w:val="single"/>
                </w:rPr>
                <w:t>13</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0c46fa995d734ff9a95e3cd08ffd6fa8_61">
              <w:r>
                <w:rPr>
                  <w:rStyle w:val="InternetLink"/>
                  <w:rFonts w:ascii="Arial;sans-serif" w:hAnsi="Arial;sans-serif"/>
                  <w:b w:val="false"/>
                  <w:color w:val="0000FF"/>
                  <w:sz w:val="20"/>
                  <w:u w:val="single"/>
                </w:rPr>
                <w:t>e) Consolidated Statements of Cash Flows for the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61">
              <w:r>
                <w:rPr>
                  <w:rStyle w:val="InternetLink"/>
                  <w:rFonts w:ascii="Arial;sans-serif" w:hAnsi="Arial;sans-serif"/>
                  <w:b w:val="false"/>
                  <w:color w:val="0000FF"/>
                  <w:sz w:val="20"/>
                  <w:u w:val="single"/>
                </w:rPr>
                <w:t>15</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BXP, Inc. and Boston Properties Limited Partnership</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64">
              <w:r>
                <w:rPr>
                  <w:rStyle w:val="InternetLink"/>
                  <w:rFonts w:ascii="Arial;sans-serif" w:hAnsi="Arial;sans-serif"/>
                  <w:b w:val="false"/>
                  <w:color w:val="0000FF"/>
                  <w:sz w:val="20"/>
                  <w:u w:val="single"/>
                </w:rPr>
                <w:t>Notes to the Consolidated 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64">
              <w:r>
                <w:rPr>
                  <w:rStyle w:val="InternetLink"/>
                  <w:rFonts w:ascii="Arial;sans-serif" w:hAnsi="Arial;sans-serif"/>
                  <w:b w:val="false"/>
                  <w:color w:val="0000FF"/>
                  <w:sz w:val="20"/>
                  <w:u w:val="single"/>
                </w:rPr>
                <w:t>17</w:t>
              </w:r>
            </w:hyperlink>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181">
              <w:r>
                <w:rPr>
                  <w:rStyle w:val="InternetLink"/>
                  <w:rFonts w:ascii="Arial;sans-serif" w:hAnsi="Arial;sans-serif"/>
                  <w:b w:val="false"/>
                  <w:color w:val="0000FF"/>
                  <w:sz w:val="20"/>
                  <w:u w:val="singl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181">
              <w:r>
                <w:rPr>
                  <w:rStyle w:val="InternetLink"/>
                  <w:rFonts w:ascii="Arial;sans-serif" w:hAnsi="Arial;sans-serif"/>
                  <w:b w:val="false"/>
                  <w:color w:val="0000FF"/>
                  <w:sz w:val="20"/>
                  <w:u w:val="single"/>
                </w:rPr>
                <w:t>42</w:t>
              </w:r>
            </w:hyperlink>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62">
              <w:r>
                <w:rPr>
                  <w:rStyle w:val="InternetLink"/>
                  <w:rFonts w:ascii="Arial;sans-serif" w:hAnsi="Arial;sans-serif"/>
                  <w:b w:val="false"/>
                  <w:color w:val="0000FF"/>
                  <w:sz w:val="20"/>
                  <w:u w:val="singl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62">
              <w:r>
                <w:rPr>
                  <w:rStyle w:val="InternetLink"/>
                  <w:rFonts w:ascii="Arial;sans-serif" w:hAnsi="Arial;sans-serif"/>
                  <w:b w:val="false"/>
                  <w:color w:val="0000FF"/>
                  <w:sz w:val="20"/>
                  <w:u w:val="single"/>
                </w:rPr>
                <w:t>87</w:t>
              </w:r>
            </w:hyperlink>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68">
              <w:r>
                <w:rPr>
                  <w:rStyle w:val="InternetLink"/>
                  <w:rFonts w:ascii="Arial;sans-serif" w:hAnsi="Arial;sans-serif"/>
                  <w:b w:val="false"/>
                  <w:color w:val="0000FF"/>
                  <w:sz w:val="20"/>
                  <w:u w:val="singl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68">
              <w:r>
                <w:rPr>
                  <w:rStyle w:val="InternetLink"/>
                  <w:rFonts w:ascii="Arial;sans-serif" w:hAnsi="Arial;sans-serif"/>
                  <w:b w:val="false"/>
                  <w:color w:val="0000FF"/>
                  <w:sz w:val="20"/>
                  <w:u w:val="single"/>
                </w:rPr>
                <w:t>88</w:t>
              </w:r>
            </w:hyperlink>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71">
              <w:r>
                <w:rPr>
                  <w:rStyle w:val="InternetLink"/>
                  <w:rFonts w:ascii="Arial;sans-serif" w:hAnsi="Arial;sans-serif"/>
                  <w:b/>
                  <w:color w:val="0000FF"/>
                  <w:sz w:val="20"/>
                  <w:u w:val="single"/>
                </w:rPr>
                <w:t>PART II. OTHER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74">
              <w:r>
                <w:rPr>
                  <w:rStyle w:val="InternetLink"/>
                  <w:rFonts w:ascii="Arial;sans-serif" w:hAnsi="Arial;sans-serif"/>
                  <w:b w:val="false"/>
                  <w:color w:val="0000FF"/>
                  <w:sz w:val="20"/>
                  <w:u w:val="singl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74">
              <w:r>
                <w:rPr>
                  <w:rStyle w:val="InternetLink"/>
                  <w:rFonts w:ascii="Arial;sans-serif" w:hAnsi="Arial;sans-serif"/>
                  <w:b w:val="false"/>
                  <w:color w:val="0000FF"/>
                  <w:sz w:val="20"/>
                  <w:u w:val="single"/>
                </w:rPr>
                <w:t>89</w:t>
              </w:r>
            </w:hyperlink>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77">
              <w:r>
                <w:rPr>
                  <w:rStyle w:val="InternetLink"/>
                  <w:rFonts w:ascii="Arial;sans-serif" w:hAnsi="Arial;sans-serif"/>
                  <w:b w:val="false"/>
                  <w:color w:val="0000FF"/>
                  <w:sz w:val="20"/>
                  <w:u w:val="singl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77">
              <w:r>
                <w:rPr>
                  <w:rStyle w:val="InternetLink"/>
                  <w:rFonts w:ascii="Arial;sans-serif" w:hAnsi="Arial;sans-serif"/>
                  <w:b w:val="false"/>
                  <w:color w:val="0000FF"/>
                  <w:sz w:val="20"/>
                  <w:u w:val="single"/>
                </w:rPr>
                <w:t>89</w:t>
              </w:r>
            </w:hyperlink>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80">
              <w:r>
                <w:rPr>
                  <w:rStyle w:val="InternetLink"/>
                  <w:rFonts w:ascii="Arial;sans-serif" w:hAnsi="Arial;sans-serif"/>
                  <w:b w:val="false"/>
                  <w:color w:val="0000FF"/>
                  <w:sz w:val="20"/>
                  <w:u w:val="single"/>
                </w:rPr>
                <w:t>Unregistered Sales of Equity Securities and Use of Proceeds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80">
              <w:r>
                <w:rPr>
                  <w:rStyle w:val="InternetLink"/>
                  <w:rFonts w:ascii="Arial;sans-serif" w:hAnsi="Arial;sans-serif"/>
                  <w:b w:val="false"/>
                  <w:color w:val="0000FF"/>
                  <w:sz w:val="20"/>
                  <w:u w:val="single"/>
                </w:rPr>
                <w:t>89</w:t>
              </w:r>
            </w:hyperlink>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83">
              <w:r>
                <w:rPr>
                  <w:rStyle w:val="InternetLink"/>
                  <w:rFonts w:ascii="Arial;sans-serif" w:hAnsi="Arial;sans-serif"/>
                  <w:b w:val="false"/>
                  <w:color w:val="0000FF"/>
                  <w:sz w:val="20"/>
                  <w:u w:val="single"/>
                </w:rPr>
                <w:t>Defaults Upon Senior Securities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83">
              <w:r>
                <w:rPr>
                  <w:rStyle w:val="InternetLink"/>
                  <w:rFonts w:ascii="Arial;sans-serif" w:hAnsi="Arial;sans-serif"/>
                  <w:b w:val="false"/>
                  <w:color w:val="0000FF"/>
                  <w:sz w:val="20"/>
                  <w:u w:val="single"/>
                </w:rPr>
                <w:t>90</w:t>
              </w:r>
            </w:hyperlink>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86">
              <w:r>
                <w:rPr>
                  <w:rStyle w:val="InternetLink"/>
                  <w:rFonts w:ascii="Arial;sans-serif" w:hAnsi="Arial;sans-serif"/>
                  <w:b w:val="false"/>
                  <w:color w:val="0000FF"/>
                  <w:sz w:val="20"/>
                  <w:u w:val="single"/>
                </w:rPr>
                <w:t>Mine Safety Disclosures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86">
              <w:r>
                <w:rPr>
                  <w:rStyle w:val="InternetLink"/>
                  <w:rFonts w:ascii="Arial;sans-serif" w:hAnsi="Arial;sans-serif"/>
                  <w:b w:val="false"/>
                  <w:color w:val="0000FF"/>
                  <w:sz w:val="20"/>
                  <w:u w:val="single"/>
                </w:rPr>
                <w:t>90</w:t>
              </w:r>
            </w:hyperlink>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89">
              <w:r>
                <w:rPr>
                  <w:rStyle w:val="InternetLink"/>
                  <w:rFonts w:ascii="Arial;sans-serif" w:hAnsi="Arial;sans-serif"/>
                  <w:b w:val="false"/>
                  <w:color w:val="0000FF"/>
                  <w:sz w:val="20"/>
                  <w:u w:val="singl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89">
              <w:r>
                <w:rPr>
                  <w:rStyle w:val="InternetLink"/>
                  <w:rFonts w:ascii="Arial;sans-serif" w:hAnsi="Arial;sans-serif"/>
                  <w:b w:val="false"/>
                  <w:color w:val="0000FF"/>
                  <w:sz w:val="20"/>
                  <w:u w:val="single"/>
                </w:rPr>
                <w:t>90</w:t>
              </w:r>
            </w:hyperlink>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92">
              <w:r>
                <w:rPr>
                  <w:rStyle w:val="InternetLink"/>
                  <w:rFonts w:ascii="Arial;sans-serif" w:hAnsi="Arial;sans-serif"/>
                  <w:b w:val="false"/>
                  <w:color w:val="0000FF"/>
                  <w:sz w:val="20"/>
                  <w:u w:val="single"/>
                </w:rPr>
                <w:t>Exhibits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92">
              <w:r>
                <w:rPr>
                  <w:rStyle w:val="InternetLink"/>
                  <w:rFonts w:ascii="Arial;sans-serif" w:hAnsi="Arial;sans-serif"/>
                  <w:b w:val="false"/>
                  <w:color w:val="0000FF"/>
                  <w:sz w:val="20"/>
                  <w:u w:val="single"/>
                </w:rPr>
                <w:t>91</w:t>
              </w:r>
            </w:hyperlink>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c46fa995d734ff9a95e3cd08ffd6fa8_295">
              <w:r>
                <w:rPr>
                  <w:rStyle w:val="InternetLink"/>
                  <w:rFonts w:ascii="Arial;sans-serif" w:hAnsi="Arial;sans-serif"/>
                  <w:b/>
                  <w:color w:val="0000FF"/>
                  <w:sz w:val="20"/>
                  <w:u w:val="single"/>
                </w:rPr>
                <w:t>SIGNATURES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46fa995d734ff9a95e3cd08ffd6fa8_295">
              <w:r>
                <w:rPr>
                  <w:rStyle w:val="InternetLink"/>
                  <w:rFonts w:ascii="Arial;sans-serif" w:hAnsi="Arial;sans-serif"/>
                  <w:b w:val="false"/>
                  <w:color w:val="0000FF"/>
                  <w:sz w:val="20"/>
                  <w:u w:val="single"/>
                </w:rPr>
                <w:t>92</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val="false"/>
          <w:color w:val="001A33"/>
          <w:sz w:val="28"/>
          <w:shd w:fill="FFFFFF" w:val="clear"/>
        </w:rPr>
      </w:pPr>
      <w:r>
        <w:rPr>
          <w:rFonts w:ascii="Arial;sans-serif" w:hAnsi="Arial;sans-serif"/>
          <w:b w:val="false"/>
          <w:color w:val="001A33"/>
          <w:sz w:val="28"/>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sans-serif" w:hAnsi="Arial;sans-serif"/>
          <w:b w:val="false"/>
          <w:color w:val="32A7DC"/>
          <w:sz w:val="28"/>
          <w:shd w:fill="FFFFFF" w:val="clear"/>
        </w:rPr>
        <w:t>ITEM 1—Financial Statements.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257"/>
        <w:gridCol w:w="1729"/>
        <w:gridCol w:w="1746"/>
        <w:gridCol w:w="138"/>
        <w:gridCol w:w="138"/>
        <w:gridCol w:w="138"/>
        <w:gridCol w:w="269"/>
        <w:gridCol w:w="1381"/>
        <w:gridCol w:w="138"/>
        <w:gridCol w:w="138"/>
        <w:gridCol w:w="138"/>
        <w:gridCol w:w="138"/>
        <w:gridCol w:w="269"/>
        <w:gridCol w:w="1381"/>
        <w:gridCol w:w="207"/>
      </w:tblGrid>
      <w:tr>
        <w:trPr/>
        <w:tc>
          <w:tcPr>
            <w:tcW w:w="225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BXP,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120"/>
              <w:jc w:val="center"/>
              <w:rPr>
                <w:rFonts w:ascii="Arial;sans-serif" w:hAnsi="Arial;sans-serif"/>
                <w:b/>
                <w:color w:val="000000"/>
                <w:sz w:val="20"/>
              </w:rPr>
            </w:pPr>
            <w:r>
              <w:rPr>
                <w:rFonts w:ascii="Arial;sans-serif" w:hAnsi="Arial;sans-serif"/>
                <w:b/>
                <w:color w:val="000000"/>
                <w:sz w:val="20"/>
              </w:rPr>
              <w:t>(unaudited and in thousands, except for share and par value amounts)</w:t>
            </w:r>
          </w:p>
        </w:tc>
      </w:tr>
      <w:tr>
        <w:trPr/>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Real estate, at cost (amounts related to variable interest entities (“VIEs”) of $8,169,231 and $8,005,124 at June 30,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28,606,910 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28,241,879 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finance leases (amounts related to VIEs of $21,000 and $21,000 at June 30, 2026 and December 31, 2025,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371,889 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372,470 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Right of use assets - operating leases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325,841 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Less: accumulated depreciation (amounts related to VIEs of $(1,836,395) and $(1,763,988) at June 30, 2026 and December 31, 2025,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(8,277,690)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(8,040,311)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 estate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20,991,835 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20,899,879 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and cash equivalents (amounts related to VIEs of $286,535 and $255,631 at June 30, 2026 and December 31, 2025,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1,478,206 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held in escrows (amounts related to VIEs of $5,218 and $10,319 at June 30,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79,060 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44,614 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Tenant and other receivables, net (amounts related to VIEs of $34,292 and $30,989 at June 30,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 receivable, net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notes receivable, net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Sales-type lease receivable, net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rental income, net (amounts related to VIEs of $479,569 and $470,734 at June 30,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1,573,959 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1,538,515 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Deferred charges, net (amounts related to VIEs of $199,438 and $204,924 at June 30, 2026 and December 31, 2025,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848,273 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847,690 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Prepaid expenses and other assets (amounts related to VIEs of $11,990 and $14,509 at June 30,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108,105 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joint ventures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820,068 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999,309 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25,173,869 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26,166,164 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EQUITY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Mortgage notes payable, net (amounts related to VIEs of $3,289,291 and $3,286,870 at June 30,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4,281,198 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4,280,067 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net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8,811,158 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9,806,100 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exchangeable senior notes, net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978,642 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976,263 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line of credit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term loans, net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797,565 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797,053 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commercial paper</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Lease liabilities - finance leases (amounts related to VIEs of $21,164 and $21,074 at June 30,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360,039 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Lease liabilities - operating leases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386,487 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389,213 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Accounts payable and accrued expenses (amounts related to VIEs of $77,945 and $88,849 at June 30, 2026 and December 31, 2025, respectively)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474,141 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payable</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123,753 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Other liabilities (amounts related to VIEs of $114,331 and $95,209 at June 30, 2026 and December 31, 2025, respectively)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364,082 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386,074 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2365"/>
        <w:gridCol w:w="1785"/>
        <w:gridCol w:w="1791"/>
        <w:gridCol w:w="132"/>
        <w:gridCol w:w="132"/>
        <w:gridCol w:w="132"/>
        <w:gridCol w:w="256"/>
        <w:gridCol w:w="1316"/>
        <w:gridCol w:w="132"/>
        <w:gridCol w:w="132"/>
        <w:gridCol w:w="132"/>
        <w:gridCol w:w="132"/>
        <w:gridCol w:w="256"/>
        <w:gridCol w:w="1316"/>
        <w:gridCol w:w="196"/>
      </w:tblGrid>
      <w:tr>
        <w:trPr/>
        <w:tc>
          <w:tcPr>
            <w:tcW w:w="236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BXP,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120"/>
              <w:jc w:val="center"/>
              <w:rPr>
                <w:rFonts w:ascii="Arial;sans-serif" w:hAnsi="Arial;sans-serif"/>
                <w:b/>
                <w:color w:val="000000"/>
                <w:sz w:val="20"/>
              </w:rPr>
            </w:pPr>
            <w:r>
              <w:rPr>
                <w:rFonts w:ascii="Arial;sans-serif" w:hAnsi="Arial;sans-serif"/>
                <w:b/>
                <w:color w:val="000000"/>
                <w:sz w:val="20"/>
              </w:rPr>
              <w:t>(unaudited and in thousands, except for share and par value amounts)</w:t>
            </w:r>
          </w:p>
        </w:tc>
      </w:tr>
      <w:tr>
        <w:trPr/>
        <w:tc>
          <w:tcPr>
            <w:tcW w:w="5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17,436,219 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18,473,924 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(See Note 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deferred stock units— 119,549 and 111,701 units outstanding at redemption value at June 30, 2026 and December 31, 2025, respectively</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attributable to BXP, Inc.:</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Excess stock, $0.01 par value, 150,000,000 shares authorized, none issued or outstanding</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Preferred stock, $0.01 par value, 50,000,000 shares authorized, none issued or outstanding</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Common stock, $0.01 par value, 250,000,000 shares authorized, 159,600,410 and 158,627,198 issued and 159,521,510 and 158,548,298 outstanding at June 30, 2026 and December 31, 2025, respectively</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6,881,671 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6,836,243 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in excess of earnings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(1,727,547)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(1,674,995)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Treasury common stock at cost, 78,900 shares at June 30, 2026 and December 31, 2025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 attributable to BXP, Inc.</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5,155,145 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5,147,190 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units of Boston Properties Limited Partnership</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555,763 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566,563 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partnerships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2,018,815 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1,970,949 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7,729,723 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7,684,702 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25,173,869 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26,166,164 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BXP,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 except for per share amounts)</w:t>
      </w:r>
    </w:p>
    <w:tbl>
      <w:tblPr>
        <w:tblW w:w="10205" w:type="dxa"/>
        <w:jc w:val="left"/>
        <w:tblInd w:w="0" w:type="dxa"/>
        <w:tblLayout w:type="fixed"/>
        <w:tblCellMar>
          <w:top w:w="28" w:type="dxa"/>
          <w:left w:w="28" w:type="dxa"/>
          <w:bottom w:w="28" w:type="dxa"/>
          <w:right w:w="28" w:type="dxa"/>
        </w:tblCellMar>
      </w:tblPr>
      <w:tblGrid>
        <w:gridCol w:w="1599"/>
        <w:gridCol w:w="1258"/>
        <w:gridCol w:w="121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58"/>
      </w:tblGrid>
      <w:tr>
        <w:trPr/>
        <w:tc>
          <w:tcPr>
            <w:tcW w:w="159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Parking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and management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1,767,847 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from investments in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early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BXP,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360"/>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earnings per common share attributable to BXP, Inc. </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shares outstanding</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360"/>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common share attributable to BXP, Inc.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common and common equivalent shares outstanding</w:t>
            </w:r>
          </w:p>
        </w:tc>
        <w:tc>
          <w:tcPr>
            <w:tcW w:w="103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159,629 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158,795 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159,344 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158,713 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BXP,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31"/>
        <w:gridCol w:w="1244"/>
        <w:gridCol w:w="1254"/>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55"/>
      </w:tblGrid>
      <w:tr>
        <w:trPr/>
        <w:tc>
          <w:tcPr>
            <w:tcW w:w="14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portion of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interest rate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(1)Amounts reclassified from comprehensive income (loss) primarily to interest expense within BXP, Inc.’s Consolidated Statements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3982" w:type="dxa"/>
        <w:jc w:val="center"/>
        <w:tblInd w:w="0" w:type="dxa"/>
        <w:tblLayout w:type="fixed"/>
        <w:tblCellMar>
          <w:top w:w="28" w:type="dxa"/>
          <w:left w:w="28" w:type="dxa"/>
          <w:bottom w:w="28" w:type="dxa"/>
          <w:right w:w="28" w:type="dxa"/>
        </w:tblCellMar>
      </w:tblPr>
      <w:tblGrid>
        <w:gridCol w:w="733"/>
        <w:gridCol w:w="196"/>
        <w:gridCol w:w="197"/>
        <w:gridCol w:w="368"/>
        <w:gridCol w:w="368"/>
        <w:gridCol w:w="216"/>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196"/>
        <w:gridCol w:w="571"/>
        <w:gridCol w:w="109"/>
        <w:gridCol w:w="109"/>
        <w:gridCol w:w="109"/>
        <w:gridCol w:w="109"/>
        <w:gridCol w:w="274"/>
        <w:gridCol w:w="924"/>
        <w:gridCol w:w="153"/>
        <w:gridCol w:w="109"/>
        <w:gridCol w:w="109"/>
        <w:gridCol w:w="109"/>
        <w:gridCol w:w="245"/>
        <w:gridCol w:w="923"/>
        <w:gridCol w:w="138"/>
        <w:gridCol w:w="109"/>
        <w:gridCol w:w="109"/>
        <w:gridCol w:w="109"/>
        <w:gridCol w:w="217"/>
        <w:gridCol w:w="967"/>
        <w:gridCol w:w="122"/>
        <w:gridCol w:w="109"/>
        <w:gridCol w:w="109"/>
        <w:gridCol w:w="109"/>
        <w:gridCol w:w="196"/>
        <w:gridCol w:w="871"/>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82" w:type="dxa"/>
            <w:gridSpan w:val="54"/>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BXP, INC.</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EQUITY</w:t>
            </w:r>
          </w:p>
          <w:p>
            <w:pPr>
              <w:pStyle w:val="TableContents"/>
              <w:bidi w:val="0"/>
              <w:spacing w:lineRule="auto" w:line="240" w:before="60" w:after="283"/>
              <w:jc w:val="center"/>
              <w:rPr>
                <w:color w:val="000000"/>
              </w:rPr>
            </w:pPr>
            <w:r>
              <w:rPr>
                <w:color w:val="000000"/>
              </w:rPr>
              <w:t> </w:t>
            </w:r>
            <w:r>
              <w:rPr>
                <w:rFonts w:ascii="Arial;sans-serif" w:hAnsi="Arial;sans-serif"/>
                <w:b/>
                <w:color w:val="000000"/>
                <w:sz w:val="18"/>
              </w:rPr>
              <w:t>(unaudited and in thousands)</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Dividends in Excess of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br/>
              <w:t>at 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Common Units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Property Partnerships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Equity, March 31,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158,676 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6,843,822 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(1,684,492)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(6,082)</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583,922 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1,982,286 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7,718,321 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Redemption of operating partnership units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(25,999)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Allocated net income for the period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26,121 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Dividends/distributions declared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activity from stock option and incentive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interest in property partnerships and contributions from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28,168 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to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(17,965)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portion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Reallocation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(12,123)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Equity, June 30,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159,522 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6,881,671 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(1,727,547)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2,148 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555,763 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2,018,815 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7,729,723 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Equity, March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158,323 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6,846,015 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(1,513,555)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(11,379)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591,555 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1,938,344 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7,849,841 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Redemption of operating partnership units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Allocated net income for the period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Dividends/distributions declared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(18,158)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Shares issued pursuant to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activity from stock option and incentive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interest in property partnerships and contributions from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63,882 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to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(18,477)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portion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(5,075)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Reallocation of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(9,006)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Equity, June 30, 2025</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158,366 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6,854,753 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(1,579,770)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(15,059)</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584,651 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2,003,993 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7,847,430 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90"/>
        <w:jc w:val="center"/>
        <w:rPr/>
      </w:pPr>
      <w:r>
        <w:rPr/>
      </w:r>
    </w:p>
    <w:p>
      <w:pPr>
        <w:pStyle w:val="TextBody"/>
        <w:bidi w:val="0"/>
        <w:spacing w:before="280" w:after="283"/>
        <w:ind w:left="0" w:right="0" w:hanging="9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3982" w:type="dxa"/>
        <w:jc w:val="left"/>
        <w:tblInd w:w="0" w:type="dxa"/>
        <w:tblLayout w:type="fixed"/>
        <w:tblCellMar>
          <w:top w:w="28" w:type="dxa"/>
          <w:left w:w="28" w:type="dxa"/>
          <w:bottom w:w="28" w:type="dxa"/>
          <w:right w:w="28" w:type="dxa"/>
        </w:tblCellMar>
      </w:tblPr>
      <w:tblGrid>
        <w:gridCol w:w="733"/>
        <w:gridCol w:w="196"/>
        <w:gridCol w:w="197"/>
        <w:gridCol w:w="368"/>
        <w:gridCol w:w="368"/>
        <w:gridCol w:w="216"/>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196"/>
        <w:gridCol w:w="571"/>
        <w:gridCol w:w="109"/>
        <w:gridCol w:w="109"/>
        <w:gridCol w:w="109"/>
        <w:gridCol w:w="109"/>
        <w:gridCol w:w="274"/>
        <w:gridCol w:w="924"/>
        <w:gridCol w:w="153"/>
        <w:gridCol w:w="109"/>
        <w:gridCol w:w="109"/>
        <w:gridCol w:w="109"/>
        <w:gridCol w:w="245"/>
        <w:gridCol w:w="923"/>
        <w:gridCol w:w="138"/>
        <w:gridCol w:w="109"/>
        <w:gridCol w:w="109"/>
        <w:gridCol w:w="109"/>
        <w:gridCol w:w="217"/>
        <w:gridCol w:w="967"/>
        <w:gridCol w:w="122"/>
        <w:gridCol w:w="109"/>
        <w:gridCol w:w="109"/>
        <w:gridCol w:w="109"/>
        <w:gridCol w:w="196"/>
        <w:gridCol w:w="871"/>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82" w:type="dxa"/>
            <w:gridSpan w:val="54"/>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BXP, INC.</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EQUITY</w:t>
            </w:r>
          </w:p>
          <w:p>
            <w:pPr>
              <w:pStyle w:val="TableContents"/>
              <w:bidi w:val="0"/>
              <w:spacing w:lineRule="auto" w:line="240" w:before="60" w:after="283"/>
              <w:jc w:val="center"/>
              <w:rPr>
                <w:color w:val="000000"/>
              </w:rPr>
            </w:pPr>
            <w:r>
              <w:rPr>
                <w:color w:val="000000"/>
              </w:rPr>
              <w:t> </w:t>
            </w:r>
            <w:r>
              <w:rPr>
                <w:rFonts w:ascii="Arial;sans-serif" w:hAnsi="Arial;sans-serif"/>
                <w:b/>
                <w:color w:val="000000"/>
                <w:sz w:val="18"/>
              </w:rPr>
              <w:t>(unaudited and in thousands)</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Dividends in Excess of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Treasury Stock,</w:t>
              <w:br/>
              <w:t>at 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Noncontrolling Interests - Common Units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Noncontrolling Interests - Property Partnerships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Equity, December 31,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158,548 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6,836,243 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(1,674,995)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(12,921)</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566,563 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1,970,949 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7,684,702 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Redemption of operating partnership units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(27,531)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Allocated net income for the period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19,294 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45,990 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235,470 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Dividends/distributions declared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(25,990)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(248,728)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Shares issued pursuant to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activity from stock option and incentive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37,059 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interest in property partnerships and contributions from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42,163 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42,092 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to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(40,575)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(40,575)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portion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12,310 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Reallocation of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(15,294)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7"/>
              </w:rPr>
            </w:pPr>
            <w:r>
              <w:rPr>
                <w:rFonts w:ascii="Arial;sans-serif" w:hAnsi="Arial;sans-serif"/>
                <w:b w:val="false"/>
                <w:color w:val="000000"/>
                <w:sz w:val="17"/>
              </w:rPr>
              <w:t>Equity, June 30, 2026</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159,522 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6,881,671 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(1,727,547)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2,148 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555,763 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2,018,815 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7,729,723 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Equity, December 31, 2024</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158,175 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(1,419,575)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591,270 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1,933,545 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7,938,121 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Redemption of operating partnership units to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(3,801)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Allocated net income for the period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206,046 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Dividends/distributions declared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(36,307)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(346,663)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Shares issued pursuant to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activity from stock option and incentive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36,068 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interest in property partnerships and contributions from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69,313 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65,591 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to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(38,002)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(38,002)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portion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(17,025)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Reallocation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(13,832)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Equity, June 30, 2025</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158,366 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6,854,753 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(1,579,770)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(15,059)</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584,651 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2,003,993 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7,847,430 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90"/>
        <w:jc w:val="center"/>
        <w:rPr/>
      </w:pPr>
      <w:r>
        <w:rPr/>
      </w:r>
    </w:p>
    <w:p>
      <w:pPr>
        <w:pStyle w:val="TextBody"/>
        <w:bidi w:val="0"/>
        <w:spacing w:lineRule="auto" w:line="240" w:before="280" w:after="283"/>
        <w:ind w:left="0" w:right="0" w:hanging="9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0205" w:type="dxa"/>
        <w:jc w:val="center"/>
        <w:tblInd w:w="0" w:type="dxa"/>
        <w:tblLayout w:type="fixed"/>
        <w:tblCellMar>
          <w:top w:w="28" w:type="dxa"/>
          <w:left w:w="28" w:type="dxa"/>
          <w:bottom w:w="28" w:type="dxa"/>
          <w:right w:w="28" w:type="dxa"/>
        </w:tblCellMar>
      </w:tblPr>
      <w:tblGrid>
        <w:gridCol w:w="2197"/>
        <w:gridCol w:w="1870"/>
        <w:gridCol w:w="1876"/>
        <w:gridCol w:w="321"/>
        <w:gridCol w:w="1261"/>
        <w:gridCol w:w="166"/>
        <w:gridCol w:w="166"/>
        <w:gridCol w:w="166"/>
        <w:gridCol w:w="166"/>
        <w:gridCol w:w="321"/>
        <w:gridCol w:w="1261"/>
        <w:gridCol w:w="166"/>
        <w:gridCol w:w="109"/>
        <w:gridCol w:w="159"/>
      </w:tblGrid>
      <w:tr>
        <w:trPr/>
        <w:tc>
          <w:tcPr>
            <w:tcW w:w="2197"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93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BXP,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w:t>
            </w:r>
          </w:p>
        </w:tc>
        <w:tc>
          <w:tcPr>
            <w:tcW w:w="268" w:type="dxa"/>
            <w:gridSpan w:val="2"/>
            <w:tcBorders/>
          </w:tcPr>
          <w:p>
            <w:pPr>
              <w:pStyle w:val="TableContents"/>
              <w:bidi w:val="0"/>
              <w:spacing w:before="0" w:after="283"/>
              <w:jc w:val="left"/>
              <w:rPr>
                <w:sz w:val="4"/>
                <w:szCs w:val="4"/>
              </w:rPr>
            </w:pPr>
            <w:r>
              <w:rPr>
                <w:sz w:val="4"/>
                <w:szCs w:val="4"/>
              </w:rPr>
            </w:r>
          </w:p>
        </w:tc>
      </w:tr>
      <w:tr>
        <w:trPr/>
        <w:tc>
          <w:tcPr>
            <w:tcW w:w="5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5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235,470 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464,944 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443,926 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 of use assets - operating leases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sales type lease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of net cash flow from operations of unconsolidated joint ventures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from investments in securities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current expected credit losses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portion of interest expense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early extinguishments of debt</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and other receivables, net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rental income, net</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 operating leases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leasing costs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5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367,054 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357,135 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602,524 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563,181 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pre-development and other capital improvements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real estate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to unconsolidated joint ventures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distributions from unconsolidated joint ventures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investments in unconsolidated joint ventures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non-real estate investments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notes receivable (including related party)</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 net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(348,881)</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(612,404)</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mortgage notes payable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 redemption of unsecured senior notes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line of credit</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0205" w:type="dxa"/>
        <w:jc w:val="center"/>
        <w:tblInd w:w="0" w:type="dxa"/>
        <w:tblLayout w:type="fixed"/>
        <w:tblCellMar>
          <w:top w:w="28" w:type="dxa"/>
          <w:left w:w="28" w:type="dxa"/>
          <w:bottom w:w="28" w:type="dxa"/>
          <w:right w:w="28" w:type="dxa"/>
        </w:tblCellMar>
      </w:tblPr>
      <w:tblGrid>
        <w:gridCol w:w="2167"/>
        <w:gridCol w:w="1867"/>
        <w:gridCol w:w="1874"/>
        <w:gridCol w:w="291"/>
        <w:gridCol w:w="1349"/>
        <w:gridCol w:w="149"/>
        <w:gridCol w:w="149"/>
        <w:gridCol w:w="149"/>
        <w:gridCol w:w="149"/>
        <w:gridCol w:w="291"/>
        <w:gridCol w:w="1349"/>
        <w:gridCol w:w="149"/>
        <w:gridCol w:w="109"/>
        <w:gridCol w:w="163"/>
      </w:tblGrid>
      <w:tr>
        <w:trPr/>
        <w:tc>
          <w:tcPr>
            <w:tcW w:w="2167"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3"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BXP,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w:t>
            </w:r>
          </w:p>
        </w:tc>
        <w:tc>
          <w:tcPr>
            <w:tcW w:w="272" w:type="dxa"/>
            <w:gridSpan w:val="2"/>
            <w:tcBorders/>
          </w:tcPr>
          <w:p>
            <w:pPr>
              <w:pStyle w:val="TableContents"/>
              <w:bidi w:val="0"/>
              <w:spacing w:before="0" w:after="283"/>
              <w:jc w:val="left"/>
              <w:rPr>
                <w:sz w:val="4"/>
                <w:szCs w:val="4"/>
              </w:rPr>
            </w:pPr>
            <w:r>
              <w:rPr>
                <w:sz w:val="4"/>
                <w:szCs w:val="4"/>
              </w:rPr>
            </w:r>
          </w:p>
        </w:tc>
      </w:tr>
      <w:tr>
        <w:trPr/>
        <w:tc>
          <w:tcPr>
            <w:tcW w:w="5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5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unsecured line of credit</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(335,000)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term loans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unsecured term loans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commercial paper program</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5,520,910 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3,997,365 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on commercial paper program</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(5,520,910)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(3,747,365)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equity transactions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(248,624)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(346,418)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(40,575)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(1,257,446)</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(758,132)</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and cash equivalents and cash held in escrows</w:t>
            </w:r>
          </w:p>
        </w:tc>
        <w:tc>
          <w:tcPr>
            <w:tcW w:w="1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(1,003,803)</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(807,355)</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1,557,266 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1,335,196 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553,463 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527,841 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and cash equivalents and cash held in escrows:</w:t>
            </w:r>
          </w:p>
        </w:tc>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1,478,206 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1,254,882 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beginning of period</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1,557,266 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1,335,196 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446,953 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end of period</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553,463 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527,841 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w:t>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 (net of amounts capitalized)</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342,936 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capitalized</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29,358 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investing and financing activities:</w:t>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 of fully depreciated real estate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(83,550)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(48,037)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real estate included in accounts payable and accrued expenses</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64,135 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contributions from noncontrolling interests in property partnerships, net</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operating lease costs</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16,098 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contributed in exchange for investment in unconsolidated joint venture</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unconsolidated joint ventures funded by real estate contributed</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declared but not paid</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123,857 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172,732 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Conversions of noncontrolling interests to stockholders’ equity</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27,531 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3,801 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restricted securities to employees and non-employee directors</w:t>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47,151 </w:t>
            </w:r>
          </w:p>
        </w:tc>
        <w:tc>
          <w:tcPr>
            <w:tcW w:w="1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43,658 </w:t>
            </w:r>
          </w:p>
        </w:tc>
        <w:tc>
          <w:tcPr>
            <w:tcW w:w="1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10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409"/>
        <w:gridCol w:w="1878"/>
        <w:gridCol w:w="1897"/>
        <w:gridCol w:w="125"/>
        <w:gridCol w:w="125"/>
        <w:gridCol w:w="125"/>
        <w:gridCol w:w="242"/>
        <w:gridCol w:w="1241"/>
        <w:gridCol w:w="125"/>
        <w:gridCol w:w="125"/>
        <w:gridCol w:w="125"/>
        <w:gridCol w:w="125"/>
        <w:gridCol w:w="242"/>
        <w:gridCol w:w="1241"/>
        <w:gridCol w:w="180"/>
      </w:tblGrid>
      <w:tr>
        <w:trPr/>
        <w:tc>
          <w:tcPr>
            <w:tcW w:w="240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 except for unit amounts)</w:t>
            </w:r>
          </w:p>
        </w:tc>
      </w:tr>
      <w:tr>
        <w:trPr/>
        <w:tc>
          <w:tcPr>
            <w:tcW w:w="6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Real estate, at cost (amounts related to variable interest entities (“VIEs”) of $8,169,231 and $8,005,124 at June 30,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28,251,536 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27,884,397 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finance leases (amounts related to VIEs of $21,000 and $21,000 at June 30, 2026 and December 31, 2025, respectively)</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371,889 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372,470 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Right of use assets - operating leases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Less: accumulated depreciation (amounts related to VIEs of $(1,836,395) and $(1,763,988) at June 30, 2026 and December 31, 2025, respectively)</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(8,141,495)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(7,906,629)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 estate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20,772,656 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20,676,079 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and cash equivalents (amounts related to VIEs of $286,535 and $255,631 at June 30, 2026 and December 31, 2025, respectively)</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1,478,206 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held in escrows (amounts related to VIEs of $5,218 and $10,319 at June 30,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Tenant and other receivables, net (amounts related to VIEs of $34,292 and $30,989 at June 30,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 receivable, net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notes receivable, net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Sales-type lease receivable, net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rental income, net (amounts related to VIEs of $479,569 and $470,734 at June 30,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1,573,959 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1,538,515 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Deferred charges, net (amounts related to VIEs of $199,438 and $204,924 at June 30, 2026 and December 31, 2025, respectively)</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848,273 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847,690 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Prepaid expenses and other assets (amounts related to VIEs of $11,990 and $14,509 at June 30,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joint ventures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820,068 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999,309 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24,954,690 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25,942,364 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LIABILITIES AND CAPITAL</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Mortgage notes payable, net (amounts related to VIEs of $3,289,291 and $3,286,870 at June 30,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4,281,198 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4,280,067 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net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8,811,158 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9,806,100 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exchangeable senior notes, net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978,642 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976,263 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line of credit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term loans, net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797,565 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797,053 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commercial paper</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Lease liabilities - finance leases (amounts related to VIEs of $21,164 and $21,074 at June 30,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360,039 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Lease liabilities - operating leases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386,487 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Accounts payable and accrued expenses (amounts related to VIEs of $77,945 and $88,849 at June 30, 2026 and December 31, 2025, respectively)</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474,141 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payable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Other liabilities (amounts related to VIEs of $114,331 and $95,209 at June 30, 2026 and December 31, 2025, respectively)</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364,082 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17,436,219 </w:t>
            </w:r>
          </w:p>
        </w:tc>
        <w:tc>
          <w:tcPr>
            <w:tcW w:w="1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18,473,924 </w:t>
            </w:r>
          </w:p>
        </w:tc>
        <w:tc>
          <w:tcPr>
            <w:tcW w:w="1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0205" w:type="dxa"/>
        <w:jc w:val="center"/>
        <w:tblInd w:w="0" w:type="dxa"/>
        <w:tblLayout w:type="fixed"/>
        <w:tblCellMar>
          <w:top w:w="28" w:type="dxa"/>
          <w:left w:w="28" w:type="dxa"/>
          <w:bottom w:w="28" w:type="dxa"/>
          <w:right w:w="28" w:type="dxa"/>
        </w:tblCellMar>
      </w:tblPr>
      <w:tblGrid>
        <w:gridCol w:w="2353"/>
        <w:gridCol w:w="1989"/>
        <w:gridCol w:w="2000"/>
        <w:gridCol w:w="120"/>
        <w:gridCol w:w="120"/>
        <w:gridCol w:w="120"/>
        <w:gridCol w:w="232"/>
        <w:gridCol w:w="1192"/>
        <w:gridCol w:w="120"/>
        <w:gridCol w:w="120"/>
        <w:gridCol w:w="120"/>
        <w:gridCol w:w="120"/>
        <w:gridCol w:w="232"/>
        <w:gridCol w:w="1192"/>
        <w:gridCol w:w="175"/>
      </w:tblGrid>
      <w:tr>
        <w:trPr/>
        <w:tc>
          <w:tcPr>
            <w:tcW w:w="2353"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 except for unit amounts)</w:t>
            </w:r>
          </w:p>
        </w:tc>
      </w:tr>
      <w:tr>
        <w:trPr/>
        <w:tc>
          <w:tcPr>
            <w:tcW w:w="6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(See Note 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deferred stock units— 119,549 and 111,701 units outstanding at redemption value at June 30, 2026 and December 31, 2025, respectively</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partnership units— 14,867,831 and 15,590,009 common units and 3,102,888 and 2,662,140 long term incentive units outstanding at redemption value at June 30, 2026 and December 31, 2025, respectively</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1,233,605 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1,272,719 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Boston Properties Limited Partnership partners’ capital— 1,774,922 and 1,768,004 general partner units and 157,746,588 and 156,780,294 limited partner units outstanding at June 30, 2026 and December 31, 2025, respectively</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4,255,976 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4,230,155 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partners’ capital</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4,258,124 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4,217,234 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2,018,815 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1,970,949 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6,276,939 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6,188,183 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capital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24,954,690 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25,942,364 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(unaudited and in thousands, except for per unit amounts) </w:t>
      </w:r>
    </w:p>
    <w:tbl>
      <w:tblPr>
        <w:tblW w:w="10205" w:type="dxa"/>
        <w:jc w:val="left"/>
        <w:tblInd w:w="0" w:type="dxa"/>
        <w:tblLayout w:type="fixed"/>
        <w:tblCellMar>
          <w:top w:w="28" w:type="dxa"/>
          <w:left w:w="28" w:type="dxa"/>
          <w:bottom w:w="28" w:type="dxa"/>
          <w:right w:w="28" w:type="dxa"/>
        </w:tblCellMar>
      </w:tblPr>
      <w:tblGrid>
        <w:gridCol w:w="1599"/>
        <w:gridCol w:w="1258"/>
        <w:gridCol w:w="121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58"/>
      </w:tblGrid>
      <w:tr>
        <w:trPr/>
        <w:tc>
          <w:tcPr>
            <w:tcW w:w="159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Parking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and management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1,767,847 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635,114 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610,520 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1,277,823 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from investments in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early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Limited Partnership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earnings per common unit attributable to Boston Properties Limited Partnership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units outstanding</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common unit attributable to Boston Properties Limited Partnership </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common and common equivalent units outstanding</w:t>
            </w:r>
          </w:p>
        </w:tc>
        <w:tc>
          <w:tcPr>
            <w:tcW w:w="103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176,936 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176,354 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176,878 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176,268 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31"/>
        <w:gridCol w:w="1243"/>
        <w:gridCol w:w="1254"/>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56"/>
      </w:tblGrid>
      <w:tr>
        <w:trPr/>
        <w:tc>
          <w:tcPr>
            <w:tcW w:w="143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portion of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interest rate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Boston Properties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(1)Amounts reclassified from comprehensive income (loss) primarily to interest expense within Boston Properties Limited Partnership’s Consolidated Statements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1772" w:type="dxa"/>
        <w:jc w:val="center"/>
        <w:tblInd w:w="0" w:type="dxa"/>
        <w:tblLayout w:type="fixed"/>
        <w:tblCellMar>
          <w:top w:w="28" w:type="dxa"/>
          <w:left w:w="28" w:type="dxa"/>
          <w:bottom w:w="28" w:type="dxa"/>
          <w:right w:w="28" w:type="dxa"/>
        </w:tblCellMar>
      </w:tblPr>
      <w:tblGrid>
        <w:gridCol w:w="738"/>
        <w:gridCol w:w="337"/>
        <w:gridCol w:w="216"/>
        <w:gridCol w:w="376"/>
        <w:gridCol w:w="240"/>
        <w:gridCol w:w="241"/>
        <w:gridCol w:w="109"/>
        <w:gridCol w:w="109"/>
        <w:gridCol w:w="109"/>
        <w:gridCol w:w="439"/>
        <w:gridCol w:w="387"/>
        <w:gridCol w:w="236"/>
        <w:gridCol w:w="109"/>
        <w:gridCol w:w="109"/>
        <w:gridCol w:w="109"/>
        <w:gridCol w:w="211"/>
        <w:gridCol w:w="976"/>
        <w:gridCol w:w="109"/>
        <w:gridCol w:w="109"/>
        <w:gridCol w:w="109"/>
        <w:gridCol w:w="109"/>
        <w:gridCol w:w="269"/>
        <w:gridCol w:w="941"/>
        <w:gridCol w:w="141"/>
        <w:gridCol w:w="109"/>
        <w:gridCol w:w="109"/>
        <w:gridCol w:w="109"/>
        <w:gridCol w:w="212"/>
        <w:gridCol w:w="983"/>
        <w:gridCol w:w="111"/>
        <w:gridCol w:w="109"/>
        <w:gridCol w:w="109"/>
        <w:gridCol w:w="109"/>
        <w:gridCol w:w="211"/>
        <w:gridCol w:w="976"/>
        <w:gridCol w:w="109"/>
        <w:gridCol w:w="109"/>
        <w:gridCol w:w="109"/>
        <w:gridCol w:w="109"/>
        <w:gridCol w:w="212"/>
        <w:gridCol w:w="983"/>
        <w:gridCol w:w="156"/>
      </w:tblGrid>
      <w:tr>
        <w:trPr/>
        <w:tc>
          <w:tcPr>
            <w:tcW w:w="7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2" w:type="dxa"/>
            <w:gridSpan w:val="4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BOSTON PROPERTIES LIMITED PARTNERSHIP</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CAPITAL AND NONCONTROLLING INTERESTS</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(unaudited and in thousands)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color w:val="000000"/>
              </w:rPr>
            </w:pPr>
            <w:r>
              <w:rPr>
                <w:color w:val="000000"/>
              </w:rPr>
              <w:t> </w:t>
            </w:r>
          </w:p>
        </w:tc>
        <w:tc>
          <w:tcPr>
            <w:tcW w:w="85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General Partner</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Limited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Partners’ Capital (General and Limited Partners)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w:t>
              <w:br/>
              <w:t>Interests - Property Partnerships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Redeemable Partnership Units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6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March 31, 2026</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156,901 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(6,082)</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1,982,286 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6,462,634 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1,033,549 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contributions and unearned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net income for the period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partnership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reflect redeemable partnership units at redemption value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interest rate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interest rate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interest in property partnerships and contributions from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June 30, 2026</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157,747 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2,018,815 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6,276,939 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1,233,605 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March 31, 2025</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156,556 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1,938,344 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1,280,106 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contributions and unearned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net income for the period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partnership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reflect redeemable partnership units at redemption value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interest rate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interest rate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interest in property partnerships and contributions from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June 30, 2025</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156,598 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4,340,850 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(15,059)</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2,003,993 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6,329,784 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1,285,061 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2208" w:type="dxa"/>
        <w:jc w:val="center"/>
        <w:tblInd w:w="0" w:type="dxa"/>
        <w:tblLayout w:type="fixed"/>
        <w:tblCellMar>
          <w:top w:w="28" w:type="dxa"/>
          <w:left w:w="28" w:type="dxa"/>
          <w:bottom w:w="28" w:type="dxa"/>
          <w:right w:w="28" w:type="dxa"/>
        </w:tblCellMar>
      </w:tblPr>
      <w:tblGrid>
        <w:gridCol w:w="860"/>
        <w:gridCol w:w="215"/>
        <w:gridCol w:w="216"/>
        <w:gridCol w:w="376"/>
        <w:gridCol w:w="240"/>
        <w:gridCol w:w="241"/>
        <w:gridCol w:w="109"/>
        <w:gridCol w:w="109"/>
        <w:gridCol w:w="109"/>
        <w:gridCol w:w="439"/>
        <w:gridCol w:w="387"/>
        <w:gridCol w:w="236"/>
        <w:gridCol w:w="109"/>
        <w:gridCol w:w="109"/>
        <w:gridCol w:w="109"/>
        <w:gridCol w:w="211"/>
        <w:gridCol w:w="976"/>
        <w:gridCol w:w="109"/>
        <w:gridCol w:w="109"/>
        <w:gridCol w:w="109"/>
        <w:gridCol w:w="109"/>
        <w:gridCol w:w="109"/>
        <w:gridCol w:w="109"/>
        <w:gridCol w:w="109"/>
        <w:gridCol w:w="109"/>
        <w:gridCol w:w="269"/>
        <w:gridCol w:w="941"/>
        <w:gridCol w:w="141"/>
        <w:gridCol w:w="109"/>
        <w:gridCol w:w="109"/>
        <w:gridCol w:w="109"/>
        <w:gridCol w:w="212"/>
        <w:gridCol w:w="983"/>
        <w:gridCol w:w="111"/>
        <w:gridCol w:w="109"/>
        <w:gridCol w:w="109"/>
        <w:gridCol w:w="109"/>
        <w:gridCol w:w="211"/>
        <w:gridCol w:w="976"/>
        <w:gridCol w:w="109"/>
        <w:gridCol w:w="109"/>
        <w:gridCol w:w="109"/>
        <w:gridCol w:w="109"/>
        <w:gridCol w:w="212"/>
        <w:gridCol w:w="983"/>
        <w:gridCol w:w="156"/>
      </w:tblGrid>
      <w:tr>
        <w:trPr/>
        <w:tc>
          <w:tcPr>
            <w:tcW w:w="8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530" w:type="dxa"/>
            <w:gridSpan w:val="40"/>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BOSTON PROPERTIES LIMITED PARTNERSHIP</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CAPITAL AND NONCONTROLLING INTERESTS</w:t>
            </w:r>
          </w:p>
          <w:p>
            <w:pPr>
              <w:pStyle w:val="TableContents"/>
              <w:bidi w:val="0"/>
              <w:spacing w:lineRule="auto" w:line="240" w:before="60" w:after="283"/>
              <w:jc w:val="center"/>
              <w:rPr>
                <w:rFonts w:ascii="Arial;sans-serif" w:hAnsi="Arial;sans-serif"/>
                <w:b/>
                <w:color w:val="000000"/>
                <w:sz w:val="18"/>
              </w:rPr>
            </w:pPr>
            <w:r>
              <w:rPr>
                <w:rFonts w:ascii="Arial;sans-serif" w:hAnsi="Arial;sans-serif"/>
                <w:b/>
                <w:color w:val="000000"/>
                <w:sz w:val="18"/>
              </w:rPr>
              <w:t>(unaudited and in thousands)</w:t>
            </w:r>
          </w:p>
        </w:tc>
        <w:tc>
          <w:tcPr>
            <w:tcW w:w="1678" w:type="dxa"/>
            <w:gridSpan w:val="6"/>
            <w:tcBorders/>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6"/>
            <w:tcBorders/>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General Partner</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Limited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Partners’ Capital (General and Limited Partners)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w:t>
              <w:br/>
              <w:t>Interests - Property Partnerships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 - Redeemable Partnership Units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6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December 31, 2025</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156,780 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(12,921)</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1,970,949 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1,272,719 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contributions and unearned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net income for the period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partnership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(27,531)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reflect redeemable partnership units at redemption value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interest rate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interest rate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interest in property partnerships and contributions from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(40,575)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June 30, 2026</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157,747 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2,018,815 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6,276,939 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1,233,605 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December 31, 2024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156,413 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1,933,545 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1,378,573 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contributions and unearned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net income for the period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(36,307)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partnership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reflect redeemable partnership units at redemption value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(100,725)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portion of interest rate contracts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interest rate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interest in property partnerships and contributions from noncontrolling interests in property partnerships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June 30, 2025</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156,598 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4,340,850 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(15,059)</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2,003,993 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6,329,784 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1,285,061 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0205" w:type="dxa"/>
        <w:jc w:val="center"/>
        <w:tblInd w:w="0" w:type="dxa"/>
        <w:tblLayout w:type="fixed"/>
        <w:tblCellMar>
          <w:top w:w="28" w:type="dxa"/>
          <w:left w:w="28" w:type="dxa"/>
          <w:bottom w:w="28" w:type="dxa"/>
          <w:right w:w="28" w:type="dxa"/>
        </w:tblCellMar>
      </w:tblPr>
      <w:tblGrid>
        <w:gridCol w:w="2197"/>
        <w:gridCol w:w="1870"/>
        <w:gridCol w:w="1876"/>
        <w:gridCol w:w="321"/>
        <w:gridCol w:w="1261"/>
        <w:gridCol w:w="166"/>
        <w:gridCol w:w="166"/>
        <w:gridCol w:w="166"/>
        <w:gridCol w:w="166"/>
        <w:gridCol w:w="321"/>
        <w:gridCol w:w="1261"/>
        <w:gridCol w:w="166"/>
        <w:gridCol w:w="109"/>
        <w:gridCol w:w="159"/>
      </w:tblGrid>
      <w:tr>
        <w:trPr/>
        <w:tc>
          <w:tcPr>
            <w:tcW w:w="2197"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93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8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80" w:after="100"/>
              <w:jc w:val="center"/>
              <w:rPr>
                <w:rFonts w:ascii="Arial;sans-serif" w:hAnsi="Arial;sans-serif"/>
                <w:b/>
                <w:color w:val="000000"/>
                <w:sz w:val="20"/>
              </w:rPr>
            </w:pPr>
            <w:r>
              <w:rPr>
                <w:rFonts w:ascii="Arial;sans-serif" w:hAnsi="Arial;sans-serif"/>
                <w:b/>
                <w:color w:val="000000"/>
                <w:sz w:val="20"/>
              </w:rPr>
              <w:t>(unaudited and in thousands)</w:t>
            </w:r>
          </w:p>
        </w:tc>
        <w:tc>
          <w:tcPr>
            <w:tcW w:w="268" w:type="dxa"/>
            <w:gridSpan w:val="2"/>
            <w:tcBorders/>
          </w:tcPr>
          <w:p>
            <w:pPr>
              <w:pStyle w:val="TableContents"/>
              <w:bidi w:val="0"/>
              <w:spacing w:before="0" w:after="283"/>
              <w:jc w:val="left"/>
              <w:rPr>
                <w:sz w:val="4"/>
                <w:szCs w:val="4"/>
              </w:rPr>
            </w:pPr>
            <w:r>
              <w:rPr>
                <w:sz w:val="4"/>
                <w:szCs w:val="4"/>
              </w:rPr>
            </w:r>
          </w:p>
        </w:tc>
      </w:tr>
      <w:tr>
        <w:trPr/>
        <w:tc>
          <w:tcPr>
            <w:tcW w:w="5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5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461,626 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 of use assets - operating leases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sales type lease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270"/>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of net cash flow from operations of unconsolidated joint ventures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from investments in securities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current expected credit losses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portion of interest expense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Loss from early extinguishments of debt </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Loss on sales-type lease </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and other receivables, net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rental income, net</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 operating leases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leasing costs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5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362,433 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353,630 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602,524 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563,181 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pre-development and other capital improvements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real estate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to unconsolidated joint ventures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distributions from unconsolidated joint ventures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investments in unconsolidated joint ventures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non-real estate investments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notes receivable (including related party)</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 net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(348,881)</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(612,404)</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Repayments of mortgage notes payable </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 redemption of unsecured senior notes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0205" w:type="dxa"/>
        <w:jc w:val="center"/>
        <w:tblInd w:w="0" w:type="dxa"/>
        <w:tblLayout w:type="fixed"/>
        <w:tblCellMar>
          <w:top w:w="28" w:type="dxa"/>
          <w:left w:w="28" w:type="dxa"/>
          <w:bottom w:w="28" w:type="dxa"/>
          <w:right w:w="28" w:type="dxa"/>
        </w:tblCellMar>
      </w:tblPr>
      <w:tblGrid>
        <w:gridCol w:w="2178"/>
        <w:gridCol w:w="1859"/>
        <w:gridCol w:w="1871"/>
        <w:gridCol w:w="291"/>
        <w:gridCol w:w="1349"/>
        <w:gridCol w:w="149"/>
        <w:gridCol w:w="149"/>
        <w:gridCol w:w="149"/>
        <w:gridCol w:w="149"/>
        <w:gridCol w:w="291"/>
        <w:gridCol w:w="1349"/>
        <w:gridCol w:w="149"/>
        <w:gridCol w:w="109"/>
        <w:gridCol w:w="163"/>
      </w:tblGrid>
      <w:tr>
        <w:trPr/>
        <w:tc>
          <w:tcPr>
            <w:tcW w:w="2178"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3"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bidi w:val="0"/>
              <w:spacing w:lineRule="auto" w:line="240" w:before="8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bidi w:val="0"/>
              <w:spacing w:lineRule="auto" w:line="240" w:before="80" w:after="100"/>
              <w:jc w:val="center"/>
              <w:rPr>
                <w:rFonts w:ascii="Arial;sans-serif" w:hAnsi="Arial;sans-serif"/>
                <w:b/>
                <w:color w:val="000000"/>
                <w:sz w:val="20"/>
              </w:rPr>
            </w:pPr>
            <w:r>
              <w:rPr>
                <w:rFonts w:ascii="Arial;sans-serif" w:hAnsi="Arial;sans-serif"/>
                <w:b/>
                <w:color w:val="000000"/>
                <w:sz w:val="20"/>
              </w:rPr>
              <w:t>(unaudited and in thousands)</w:t>
            </w:r>
          </w:p>
        </w:tc>
        <w:tc>
          <w:tcPr>
            <w:tcW w:w="272" w:type="dxa"/>
            <w:gridSpan w:val="2"/>
            <w:tcBorders/>
          </w:tcPr>
          <w:p>
            <w:pPr>
              <w:pStyle w:val="TableContents"/>
              <w:bidi w:val="0"/>
              <w:spacing w:before="0" w:after="283"/>
              <w:jc w:val="left"/>
              <w:rPr>
                <w:sz w:val="4"/>
                <w:szCs w:val="4"/>
              </w:rPr>
            </w:pPr>
            <w:r>
              <w:rPr>
                <w:sz w:val="4"/>
                <w:szCs w:val="4"/>
              </w:rPr>
            </w:r>
          </w:p>
        </w:tc>
      </w:tr>
      <w:tr>
        <w:trPr/>
        <w:tc>
          <w:tcPr>
            <w:tcW w:w="5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5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line of credit</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unsecured line of credit</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(335,000)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term loans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unsecured term loans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commercial paper program</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5,520,910 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3,997,365 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on commercial paper program</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(5,520,910)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(3,747,365)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equity transactions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(248,624)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(346,418)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(40,575)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(1,257,446)</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(758,132)</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and cash equivalents and cash held in escrows</w:t>
            </w:r>
          </w:p>
        </w:tc>
        <w:tc>
          <w:tcPr>
            <w:tcW w:w="1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(1,003,803)</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(807,355)</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1,557,266 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1,335,196 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553,463 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527,841 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and cash equivalents and cash held in escrows:</w:t>
            </w:r>
          </w:p>
        </w:tc>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1,478,206 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1,254,882 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beginning of period</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1,557,266 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1,335,196 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446,953 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end of period</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553,463 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527,841 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w:t>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 (net of amounts capitalized)</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342,936 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capitalized</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29,358 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investing and financing activities:</w:t>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 of fully depreciated real estate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(83,550)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(48,037)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real estate included in accounts payable and accrued expenses</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64,135 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contributions from noncontrolling interests in property partnerships, net</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operating lease costs</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16,098 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contributed in exchange for investment in unconsolidated joint venture</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unconsolidated joint ventures funded by real estate contributed</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declared but not paid</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123,857 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172,732 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Conversions of redeemable partnership units to partners’ capital</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27,531 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3,801 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restricted securities to employees and non-employee directors</w:t>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47,151 </w:t>
            </w:r>
          </w:p>
        </w:tc>
        <w:tc>
          <w:tcPr>
            <w:tcW w:w="1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43,658 </w:t>
            </w:r>
          </w:p>
        </w:tc>
        <w:tc>
          <w:tcPr>
            <w:tcW w:w="1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BXP, INC. AND BOSTON PROPERTIES LIMITED PARTNERSHIP</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pPr>
      <w:r>
        <w:rPr>
          <w:rFonts w:ascii="Arial;sans-serif" w:hAnsi="Arial;sans-serif"/>
          <w:b w:val="false"/>
          <w:color w:val="001A33"/>
          <w:sz w:val="28"/>
        </w:rPr>
        <w:t>1. Organization</w:t>
      </w:r>
      <w:r>
        <w:rPr>
          <w:color w:val="0869AD"/>
        </w:rPr>
        <w:t xml:space="preserv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BXP is a fully integrated, self-administered and self-managed REIT. BXP is the sole general partner of BPLP, its operating partnership, and at June 30, 2026, owned an approximate 89.9% (89.7% at December 31, 2025) general and limited partnership interest in BPLP. Unless stated otherwise or the context requires, the “Company” refers to BXP and its subsidiaries, including BPLP and its consolidated subsidiaries. Partnership interests in BPLP include:</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20"/>
        </w:rPr>
        <w:t xml:space="preserve">common units of partnership interest (also referred to as “OP Units”)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long term incentive units of partnership interest (also referred to as “LTIP Units”)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Unless specifically noted otherwise, all references to OP Units exclude units held by BXP. A holder of an OP Unit may present the OP Unit to BPLP for redemption at any time (subject to covenants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uses LTIP Units as a form of time-based, restricted equity compensation and as a form of performance-based equity compensation for employees, and it has previously granted LTIP Units in the form of (1) 2012 outperformance plan awards (“2012 OPP Units”), (2) 2013 - 2026 multi-year, long-term incentive program awards (also referred to as “MYLTIP Units”) and (3) 2025 outperformance plan awards (“2025 OPP Units”), each of which, upon the satisfaction of certain performance-based and time-based vesting conditions, is convertible into one OP Unit. The measurement periods for the 2012 OPP Units and the 2013 - 2023 MYLTIP Units have ended and BXP’s total stockholder return (“TSR”) was sufficient for employees to earn and therefore become eligible to vest in a portion of the awards. Unless and until they are earned, the rights, preferences and privileges of the 2024 - 2026 MYLTIP Units and the 2025 OPP Units differ from other LTIP Units granted to employees (including the 2012 OPP Units and the 2013 - 2023 MYLTIP Units, which have been earned). Therefore, unless specifically noted otherwise, all references to LTIP Units exclude the 2024 - 2026 MYLTIP Units and the 2025 OPP Units. LTIP Units (including the earned 2012 OPP Units and the earned 2013 - 2023 MYLTIP Units), whether vested or not, receive the same quarterly per unit distributions as OP Units, which equal per share dividends on Common Stock (See Notes 9 and 13).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Properties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At June 30, 2026, the Company owned or had joint venture interests in a portfolio of 164 commercial real estate properties (the “Properties”) aggregating approximately 51.1 million rentable square feet of primarily office properties, including six properties under construction/redevelopment totaling approximately 3.5 million rentable square feet. At June 30, 2026, the Properties consisted of:</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143 office properties (including two properties under construction/redevelopment);</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 xml:space="preserve">13 retail properties; </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seven residential properties (including four properties under construction); and</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one hotel.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pPr>
      <w:r>
        <w:rPr>
          <w:rFonts w:ascii="Arial;sans-serif" w:hAnsi="Arial;sans-serif"/>
          <w:b w:val="false"/>
          <w:color w:val="001A33"/>
          <w:sz w:val="28"/>
        </w:rPr>
        <w:t>2. Summary of Significant Accounting Policies</w:t>
      </w:r>
      <w:r>
        <w:rPr>
          <w:color w:val="001A33"/>
        </w:rPr>
        <w:t xml:space="preserv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 intercompany balances and transactions have been eliminated in consolidation. The Company accounts for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other unconsolidated joint ventures using the equity method of accounting. Accordingly, the Company’s share of the earnings of these joint ventures and companies is included in consolidated net income.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2025.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bases its estimates on historical experience and on various other assumptions that it considers to be reasonable under the circumstances, including the impact of extraordinary events,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Variable Interest Entities (VIEs)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assets of each VIE are only available to satisfy such VIE's respective liabilities. The Company has identified nine entities that are VIEs as of June 30, 2026 and has determined that it is the primary beneficiary for eight of these entities as of June 30, 2026.</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Consolidated Variable Interest Entities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BXP has identified eight consolidated VIEs, including BPLP. Excluding BPLP, the consolidated VIEs consisted of the following in-service properties: 767 Fifth Avenue (the General Motors Building), 7 Times Square, 601 Lexington Avenue, 290 Binney Street, 300 Binney Street, Atlantic Wharf Office Building and 100 Federal Street.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9).</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BXP’s only significant asset is its investment in BPLP and, consequently, substantially all of BXP’s assets and liabilities are the assets and liabilities of BPLP.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 xml:space="preserve">Unconsolidated Variable Interest Entities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BXP has identified one unconsolidated joint venture entity that is classified as a VIE. The Worldgate Multifamily JV LLC joint venture is a VIE because it does not have sufficient equity at risk. In addition, the Company does not consolidate the entity as it does not have the power to direct the activities that, when taken together, most significantly impact the VIE’s performance and, therefore, the Company is not considered to be the primary beneficiary.</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Fair Value Measurements</w:t>
      </w:r>
    </w:p>
    <w:p>
      <w:pPr>
        <w:pStyle w:val="TextBody"/>
        <w:bidi w:val="0"/>
        <w:spacing w:lineRule="auto" w:line="288" w:before="100" w:after="283"/>
        <w:ind w:left="0" w:right="0" w:firstLine="495"/>
        <w:jc w:val="left"/>
        <w:rPr/>
      </w:pPr>
      <w:r>
        <w:rPr>
          <w:rFonts w:ascii="Arial;sans-serif" w:hAnsi="Arial;sans-serif"/>
          <w:b w:val="false"/>
          <w:color w:val="000000"/>
          <w:sz w:val="20"/>
        </w:rPr>
        <w:t>The Company follows the authoritative guidance for fair value measurements when valuing its financial instruments for disclosure purposes. Because the Company’s valuations of its financial instruments are based on the Levels as defined in the Accounting Standards Codification (“ASC”) 820,</w:t>
      </w:r>
      <w:r>
        <w:rPr>
          <w:color w:val="000000"/>
        </w:rPr>
        <w:t xml:space="preserve"> “</w:t>
      </w:r>
      <w:r>
        <w:rPr>
          <w:rFonts w:ascii="Arial;sans-serif" w:hAnsi="Arial;sans-serif"/>
          <w:b w:val="false"/>
          <w:color w:val="000000"/>
          <w:sz w:val="20"/>
        </w:rPr>
        <w:t xml:space="preserve">Fair Value Measurements” </w:t>
      </w:r>
      <w:r>
        <w:rPr>
          <w:rFonts w:ascii="Arial;sans-serif" w:hAnsi="Arial;sans-serif"/>
          <w:b w:val="false"/>
          <w:i/>
          <w:color w:val="000000"/>
          <w:sz w:val="20"/>
        </w:rPr>
        <w:t>(</w:t>
      </w:r>
      <w:r>
        <w:rPr>
          <w:color w:val="000000"/>
        </w:rPr>
        <w:t>“</w:t>
      </w:r>
      <w:r>
        <w:rPr>
          <w:rFonts w:ascii="Arial;sans-serif" w:hAnsi="Arial;sans-serif"/>
          <w:b w:val="false"/>
          <w:color w:val="000000"/>
          <w:sz w:val="20"/>
        </w:rPr>
        <w:t>ASC 820”</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and involve the use of estimates, the actual fair values of its financial instruments may differ materially from those estimates. In addition, the Company’s estimated fair values for these instruments as of the end of the applicable reporting period are not projections of, nor necessarily indicative of, estimated or actual fair values in future reporting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At June 30, 2026 and December 31, 2025, the Company had $750.0 million outstanding under its unsecured commercial paper program. Due to their short-term maturity and stated interest rates that approximate current market rates, the fair value of outstanding commercial paper borrowings approximates the Company's carrying amount at June 30, 2026 and December 31, 2025.</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Company’s non-real estate investments are shown within Prepaid Expenses and Other Assets on the Consolidated Balance Sheets and were approximately $12.1 million and $10.9 million at June 30, 2026 and December 31, 2025, respectively. The non-real estate investments utilize net asset value as the practical expedient.</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Financial Assets and Liabilities Not Measured at Fair Value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Levels at which the Company’s non-recurring fair value financial instruments are categorized as defined in ASC 820, as well as the Company’s aggregate carrying value and corresponding estimate of fair value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238"/>
        <w:gridCol w:w="208"/>
        <w:gridCol w:w="210"/>
        <w:gridCol w:w="836"/>
        <w:gridCol w:w="785"/>
        <w:gridCol w:w="787"/>
        <w:gridCol w:w="109"/>
        <w:gridCol w:w="109"/>
        <w:gridCol w:w="109"/>
        <w:gridCol w:w="211"/>
        <w:gridCol w:w="1126"/>
        <w:gridCol w:w="109"/>
        <w:gridCol w:w="109"/>
        <w:gridCol w:w="109"/>
        <w:gridCol w:w="109"/>
        <w:gridCol w:w="211"/>
        <w:gridCol w:w="1126"/>
        <w:gridCol w:w="109"/>
        <w:gridCol w:w="109"/>
        <w:gridCol w:w="109"/>
        <w:gridCol w:w="109"/>
        <w:gridCol w:w="211"/>
        <w:gridCol w:w="1126"/>
        <w:gridCol w:w="109"/>
        <w:gridCol w:w="109"/>
        <w:gridCol w:w="109"/>
        <w:gridCol w:w="109"/>
        <w:gridCol w:w="211"/>
        <w:gridCol w:w="1126"/>
        <w:gridCol w:w="158"/>
      </w:tblGrid>
      <w:tr>
        <w:trPr/>
        <w:tc>
          <w:tcPr>
            <w:tcW w:w="2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w:t>
            </w:r>
          </w:p>
        </w:tc>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r>
      <w:tr>
        <w:trPr/>
        <w:tc>
          <w:tcPr>
            <w:tcW w:w="656" w:type="dxa"/>
            <w:gridSpan w:val="3"/>
            <w:tcBorders/>
            <w:vAlign w:val="center"/>
          </w:tcPr>
          <w:p>
            <w:pPr>
              <w:pStyle w:val="TableContents"/>
              <w:bidi w:val="0"/>
              <w:spacing w:before="0" w:after="283"/>
              <w:jc w:val="left"/>
              <w:rPr>
                <w:sz w:val="4"/>
                <w:szCs w:val="4"/>
              </w:rPr>
            </w:pPr>
            <w:r>
              <w:rPr>
                <w:sz w:val="4"/>
                <w:szCs w:val="4"/>
              </w:rPr>
            </w:r>
          </w:p>
        </w:tc>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56" w:type="dxa"/>
            <w:gridSpan w:val="3"/>
            <w:tcBorders/>
            <w:vAlign w:val="center"/>
          </w:tcPr>
          <w:p>
            <w:pPr>
              <w:pStyle w:val="TableContents"/>
              <w:bidi w:val="0"/>
              <w:spacing w:before="0" w:after="283"/>
              <w:jc w:val="left"/>
              <w:rPr>
                <w:sz w:val="4"/>
                <w:szCs w:val="4"/>
              </w:rPr>
            </w:pPr>
            <w:r>
              <w:rPr>
                <w:sz w:val="4"/>
                <w:szCs w:val="4"/>
              </w:rPr>
            </w:r>
          </w:p>
        </w:tc>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6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notes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Sales-type lease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Unsecured senior notes, net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9,554,844 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Unsecured exchangeable senior notes, net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958,745 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10,539,800 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10,189,669 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11,532,363 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11,263,589 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Mortgage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4,010,151 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term loan,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805,687 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5,078,763 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5,077,120 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4,815,838 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15,618,563 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14,995,364 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16,609,483 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16,079,427 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(1)If trading volume for the period is low, the valuation could be categorized as Level 2.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Non-Recurring Fair Value - Impairment</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May 27, 2026, the Company entered into an agreement to sell its leasehold interest and improvements thereon commonly known as Sumner Square to a third party (See Notes 3 and 14) and on May 29, 2026, the sale met the Company’s “held for sale” criteria. Following the classification of an asset as “held for sale”, the assets are written down to the lower of carrying value or its estimated fair value, less the costs to sell. As a result, BXP and BPLP recognized a non-cash impairment loss of approximately $18.0 million and $16.8 million, respectively, during the three months ended June 30, 2026. The Company’s estimated fair value was based on Level 3 inputs as defined in ASC 820, including an accepted offer from a third party, as offers are classified as Level 3 inputs and there were no other unobservable inputs utilized in the consolidated impairment analysis.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Recurring Fair Value - Derivatives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to the financial instruments noted above, the Company uses interest rate swap agreements to manage its interest rate risk (See Note 7).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To comply with the provisions of ASC 820, the Company incorporates credit valuation adjustments to appropriately reflect both its own nonperformance risk and the respective counterparty’s nonperformance risk in the fair value measurements. Although the Company has determined that the majority of the inputs used to value its derivatives fall within Level 2 of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credit valuation adjustments associated with its derivatives utilize Level 3 inputs, such as estimates of current credit spreads to evaluate the likelihood of default by the Company and its counterparties.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are classified in Level 2 of the fair value hierarchy.</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aggregate fair value of the Company’s interest rate swaps as of June 30, 2026 and December 31, 2025 (in thousands):</w:t>
      </w:r>
    </w:p>
    <w:tbl>
      <w:tblPr>
        <w:tblW w:w="5543" w:type="dxa"/>
        <w:jc w:val="left"/>
        <w:tblInd w:w="0" w:type="dxa"/>
        <w:tblLayout w:type="fixed"/>
        <w:tblCellMar>
          <w:top w:w="28" w:type="dxa"/>
          <w:left w:w="28" w:type="dxa"/>
          <w:bottom w:w="28" w:type="dxa"/>
          <w:right w:w="28" w:type="dxa"/>
        </w:tblCellMar>
      </w:tblPr>
      <w:tblGrid>
        <w:gridCol w:w="645"/>
        <w:gridCol w:w="567"/>
        <w:gridCol w:w="573"/>
        <w:gridCol w:w="109"/>
        <w:gridCol w:w="109"/>
        <w:gridCol w:w="109"/>
        <w:gridCol w:w="281"/>
        <w:gridCol w:w="863"/>
        <w:gridCol w:w="145"/>
        <w:gridCol w:w="109"/>
        <w:gridCol w:w="109"/>
        <w:gridCol w:w="109"/>
        <w:gridCol w:w="357"/>
        <w:gridCol w:w="1197"/>
        <w:gridCol w:w="261"/>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(8,283)</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Recurring Fair Value - Investments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accounts for investments in equity securities at fair value, with gains or losses resulting from changes in fair value recognized currently in earnings. The Company maintains deferred compensation plans that are designed to allow each officer and non-employee director of BXP to defer a portion of the officer’s income and the non-employee director’s compensation, respectively, on a pre-tax basis and receive a tax-deferred return on the amounts deferred based on the performance of specific investments selected by the plan participant. The Company’s obligation under the plans is that of an unsecured promise to pay the deferred compensation to the plan participants in the future. At June 30, 2026 and December 31, 2025, the Company had maintained approximately $46.4 million and $44.4 million, respectively, in separate accounts, which are not restricted as to their use. The Company recognized gains of approximately $4.4 million and $2.6 million on its investments in the accounts associated with the Company’s deferred compensation plans during the three months ended June 30, 2026 and June 30, 2025, respectively, and approximately $3.8 million and $2.2 million during the six months ended June 30, 2026 and June 30, 2025, respectively, primarily due to the observable change in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3. Real Estate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Real estate consisted of the following at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074"/>
        <w:gridCol w:w="786"/>
        <w:gridCol w:w="797"/>
        <w:gridCol w:w="109"/>
        <w:gridCol w:w="109"/>
        <w:gridCol w:w="109"/>
        <w:gridCol w:w="211"/>
        <w:gridCol w:w="1126"/>
        <w:gridCol w:w="109"/>
        <w:gridCol w:w="109"/>
        <w:gridCol w:w="109"/>
        <w:gridCol w:w="109"/>
        <w:gridCol w:w="240"/>
        <w:gridCol w:w="1286"/>
        <w:gridCol w:w="124"/>
        <w:gridCol w:w="109"/>
        <w:gridCol w:w="109"/>
        <w:gridCol w:w="109"/>
        <w:gridCol w:w="211"/>
        <w:gridCol w:w="1126"/>
        <w:gridCol w:w="109"/>
        <w:gridCol w:w="109"/>
        <w:gridCol w:w="109"/>
        <w:gridCol w:w="109"/>
        <w:gridCol w:w="239"/>
        <w:gridCol w:w="1280"/>
        <w:gridCol w:w="179"/>
      </w:tblGrid>
      <w:tr>
        <w:trPr/>
        <w:tc>
          <w:tcPr>
            <w:tcW w:w="107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BPLP</w:t>
            </w:r>
          </w:p>
        </w:tc>
      </w:tr>
      <w:tr>
        <w:trPr/>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5,264,893 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5,243,760 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5,172,907 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5,151,246 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372,470 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372,470 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Land held for future development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518,492 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518,492 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16,908,060 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16,643,092 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Tenant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4,042,150 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4,042,150 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1,475,257 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1,475,257 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29,269,525 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28,940,190 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28,914,151 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28,582,708 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(8,277,690)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(8,040,311)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(8,141,495)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(7,906,629)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20,991,835 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20,899,879 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20,772,656 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20,676,079 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(1)Includes pre-development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Held for Sale and Impairment</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On May 27, 2026, the Company entered into an agreement to sell its leasehold interest and improvements thereon commonly known as Sumner Square to a third party and on May 29, 2026, the sale met the Company’s “held for sale” criteria (See Note 14). The Company generally considers assets to be “held for sale” when the transaction has been approved by BXP’s Board of Directors, or a committee thereof, the asset is available for immediate sale in present condition and there are no known significant contingencies relating to the sale, such that a sale of the property within one year is considered probable. Following the classification of an asset as “held for sale,” no further depreciation or amortization is recorded on the assets, and the assets are written down to the lower of carrying value or estimated fair market value, less the costs to sell. This write down resulted in an impairment (See Note 2). Sumner Square is an approximately 211,000 net rentable square foot office property located in Washington, DC.</w:t>
      </w:r>
    </w:p>
    <w:p>
      <w:pPr>
        <w:pStyle w:val="TextBody"/>
        <w:bidi w:val="0"/>
        <w:spacing w:lineRule="auto" w:line="288" w:before="180" w:after="283"/>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At June 30, 2026, the assets and liabilities of Sumner Square consisted of (in thousands): </w:t>
      </w:r>
    </w:p>
    <w:tbl>
      <w:tblPr>
        <w:tblW w:w="5208" w:type="dxa"/>
        <w:jc w:val="left"/>
        <w:tblInd w:w="0" w:type="dxa"/>
        <w:tblLayout w:type="fixed"/>
        <w:tblCellMar>
          <w:top w:w="28" w:type="dxa"/>
          <w:left w:w="28" w:type="dxa"/>
          <w:bottom w:w="28" w:type="dxa"/>
          <w:right w:w="28" w:type="dxa"/>
        </w:tblCellMar>
      </w:tblPr>
      <w:tblGrid>
        <w:gridCol w:w="1360"/>
        <w:gridCol w:w="1197"/>
        <w:gridCol w:w="1208"/>
        <w:gridCol w:w="109"/>
        <w:gridCol w:w="109"/>
        <w:gridCol w:w="109"/>
        <w:gridCol w:w="211"/>
        <w:gridCol w:w="751"/>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 estate,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Tenant and other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rental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Accounts payable and accrued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Development</w:t>
      </w:r>
    </w:p>
    <w:p>
      <w:pPr>
        <w:pStyle w:val="TextBody"/>
        <w:bidi w:val="0"/>
        <w:spacing w:lineRule="auto" w:line="288" w:before="100" w:after="283"/>
        <w:ind w:left="0" w:right="0" w:firstLine="490"/>
        <w:jc w:val="left"/>
        <w:rPr>
          <w:rFonts w:ascii="Arial;sans-serif" w:hAnsi="Arial;sans-serif"/>
          <w:b w:val="false"/>
          <w:color w:val="000000"/>
          <w:sz w:val="20"/>
        </w:rPr>
      </w:pPr>
      <w:r>
        <w:rPr>
          <w:rFonts w:ascii="Arial;sans-serif" w:hAnsi="Arial;sans-serif"/>
          <w:b w:val="false"/>
          <w:color w:val="000000"/>
          <w:sz w:val="20"/>
        </w:rPr>
        <w:t>On January 16, 2026, the Company fully placed in-service Reston Next Retail, located in Reston, Virginia. Reston Next Retail is a retail development project with approximately 30,000 net rentable square feet.</w:t>
      </w:r>
    </w:p>
    <w:p>
      <w:pPr>
        <w:pStyle w:val="TextBody"/>
        <w:bidi w:val="0"/>
        <w:spacing w:lineRule="auto" w:line="288" w:before="180" w:after="283"/>
        <w:ind w:left="0" w:right="0" w:firstLine="490"/>
        <w:jc w:val="left"/>
        <w:rPr>
          <w:rFonts w:ascii="Arial;sans-serif" w:hAnsi="Arial;sans-serif"/>
          <w:b w:val="false"/>
          <w:color w:val="000000"/>
          <w:sz w:val="20"/>
        </w:rPr>
      </w:pPr>
      <w:r>
        <w:rPr>
          <w:rFonts w:ascii="Arial;sans-serif" w:hAnsi="Arial;sans-serif"/>
          <w:b w:val="false"/>
          <w:color w:val="000000"/>
          <w:sz w:val="20"/>
        </w:rPr>
        <w:t>On April 30, 2026, the Company fully placed in-service 290 Binney Street, located in Cambridge, Massachusetts. 290 Binney Street is owned by a consolidated joint venture in which the Company has a 55% ownership interest. 290 Binney Street is a laboratory/life sciences development project with approximately 573,000 net rentable square feet.</w:t>
      </w:r>
    </w:p>
    <w:p>
      <w:pPr>
        <w:pStyle w:val="TextBody"/>
        <w:bidi w:val="0"/>
        <w:spacing w:lineRule="auto" w:line="288" w:before="180" w:after="283"/>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On June 13, 2026, the Company commenced the redevelopment of a portion of Reservoir Place, located in Waltham, Massachusetts. The redevelopment consists of approximately 363,000 net rentable square feet of office space that was previously removed from the Company’s in-service portfolio in anticipation of a future redevelopment.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Dispositions</w:t>
      </w:r>
    </w:p>
    <w:p>
      <w:pPr>
        <w:pStyle w:val="TextBody"/>
        <w:bidi w:val="0"/>
        <w:spacing w:lineRule="auto" w:line="288" w:before="100" w:after="283"/>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represents the assets that were sold during the six months ended June 30, 2026 and the gains (losses) on sales of real estate recognized by each of BXP and BPLP (dollars in thousands):</w:t>
      </w:r>
    </w:p>
    <w:tbl>
      <w:tblPr>
        <w:tblW w:w="10205" w:type="dxa"/>
        <w:jc w:val="left"/>
        <w:tblInd w:w="0" w:type="dxa"/>
        <w:tblLayout w:type="fixed"/>
        <w:tblCellMar>
          <w:top w:w="28" w:type="dxa"/>
          <w:left w:w="28" w:type="dxa"/>
          <w:bottom w:w="28" w:type="dxa"/>
          <w:right w:w="28" w:type="dxa"/>
        </w:tblCellMar>
      </w:tblPr>
      <w:tblGrid>
        <w:gridCol w:w="504"/>
        <w:gridCol w:w="274"/>
        <w:gridCol w:w="276"/>
        <w:gridCol w:w="117"/>
        <w:gridCol w:w="117"/>
        <w:gridCol w:w="117"/>
        <w:gridCol w:w="278"/>
        <w:gridCol w:w="278"/>
        <w:gridCol w:w="279"/>
        <w:gridCol w:w="109"/>
        <w:gridCol w:w="109"/>
        <w:gridCol w:w="109"/>
        <w:gridCol w:w="300"/>
        <w:gridCol w:w="300"/>
        <w:gridCol w:w="301"/>
        <w:gridCol w:w="109"/>
        <w:gridCol w:w="109"/>
        <w:gridCol w:w="109"/>
        <w:gridCol w:w="368"/>
        <w:gridCol w:w="368"/>
        <w:gridCol w:w="232"/>
        <w:gridCol w:w="109"/>
        <w:gridCol w:w="109"/>
        <w:gridCol w:w="109"/>
        <w:gridCol w:w="202"/>
        <w:gridCol w:w="761"/>
        <w:gridCol w:w="112"/>
        <w:gridCol w:w="109"/>
        <w:gridCol w:w="109"/>
        <w:gridCol w:w="109"/>
        <w:gridCol w:w="207"/>
        <w:gridCol w:w="780"/>
        <w:gridCol w:w="115"/>
        <w:gridCol w:w="109"/>
        <w:gridCol w:w="109"/>
        <w:gridCol w:w="109"/>
        <w:gridCol w:w="196"/>
        <w:gridCol w:w="646"/>
        <w:gridCol w:w="109"/>
        <w:gridCol w:w="109"/>
        <w:gridCol w:w="109"/>
        <w:gridCol w:w="109"/>
        <w:gridCol w:w="196"/>
        <w:gridCol w:w="646"/>
        <w:gridCol w:w="164"/>
      </w:tblGrid>
      <w:tr>
        <w:trPr/>
        <w:tc>
          <w:tcPr>
            <w:tcW w:w="50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Gross Sale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Net Cash Proceeds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Gain (Loss) on Sale </w:t>
            </w:r>
            <w:r>
              <w:rPr>
                <w:rFonts w:ascii="Arial;sans-serif" w:hAnsi="Arial;sans-serif"/>
                <w:b/>
                <w:color w:val="000000"/>
                <w:sz w:val="10"/>
              </w:rPr>
              <w:t>(2)</w:t>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BXP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BPLP</w:t>
            </w:r>
          </w:p>
        </w:tc>
      </w:tr>
      <w:tr>
        <w:trPr/>
        <w:tc>
          <w:tcPr>
            <w:tcW w:w="1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Land:</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North First Business Park</w:t>
            </w:r>
            <w:r>
              <w:rPr>
                <w:color w:val="000000"/>
              </w:rPr>
              <w:t xml:space="preserve"> </w:t>
            </w:r>
            <w:r>
              <w:rPr>
                <w:rFonts w:ascii="Arial;sans-serif" w:hAnsi="Arial;sans-serif"/>
                <w:b w:val="false"/>
                <w:color w:val="000000"/>
                <w:sz w:val="10"/>
              </w:rPr>
              <w:t>(3)</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Jose,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Shady Grove Parcel 1 </w:t>
            </w:r>
            <w:r>
              <w:rPr>
                <w:rFonts w:ascii="Arial;sans-serif" w:hAnsi="Arial;sans-serif"/>
                <w:b w:val="false"/>
                <w:color w:val="000000"/>
                <w:sz w:val="10"/>
              </w:rPr>
              <w:t xml:space="preserve">(3) </w:t>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Rockville,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75,150 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73,113 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Residential:</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The Lofts at Atlantic Wharf </w:t>
            </w:r>
            <w:r>
              <w:rPr>
                <w:rFonts w:ascii="Arial;sans-serif" w:hAnsi="Arial;sans-serif"/>
                <w:b w:val="false"/>
                <w:color w:val="000000"/>
                <w:sz w:val="10"/>
              </w:rPr>
              <w:t>(4)</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25, 2026</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55,500 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54,207 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Kingstowne Retail </w:t>
            </w:r>
            <w:r>
              <w:rPr>
                <w:rFonts w:ascii="Arial;sans-serif" w:hAnsi="Arial;sans-serif"/>
                <w:b w:val="false"/>
                <w:color w:val="000000"/>
                <w:sz w:val="10"/>
              </w:rPr>
              <w:t>(4)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Alexandria, VA</w:t>
            </w:r>
          </w:p>
        </w:tc>
        <w:tc>
          <w:tcPr>
            <w:tcW w:w="12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17, 2026</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7,048 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88,300 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7,048 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Dispositions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366,300 </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150,350 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146,626 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20,820 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(1)Excludes approximately $2.7 million of additional payment obligations related to sales that occurred in prior periods. </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(2)Excludes approximately $0.3 million of loss in connection with the sale of the Company’s entire 50% ownership interest in the joint venture entity that owned Gateway Commons as a result of the Company's outstanding receivable balance for development and construction management fees that were forfeited (see Note 5), and $0.1 million of loss related to sales that occurred in prior periods. </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Company had previously recognized an impairment loss for this property.</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fair value of the real estate disposed exceeded the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pPr>
      <w:r>
        <w:rPr>
          <w:rFonts w:ascii="Arial;sans-serif" w:hAnsi="Arial;sans-serif"/>
          <w:b w:val="false"/>
          <w:color w:val="001A33"/>
          <w:sz w:val="28"/>
        </w:rPr>
        <w:t>4. Leases</w:t>
      </w:r>
      <w:r>
        <w:rPr>
          <w:color w:val="001A33"/>
        </w:rPr>
        <w:t xml:space="preserve"> </w:t>
      </w:r>
    </w:p>
    <w:p>
      <w:pPr>
        <w:pStyle w:val="TextBody"/>
        <w:bidi w:val="0"/>
        <w:spacing w:lineRule="auto" w:line="288" w:before="100" w:after="283"/>
        <w:ind w:left="0" w:right="0" w:firstLine="495"/>
        <w:jc w:val="left"/>
        <w:rPr/>
      </w:pPr>
      <w:r>
        <w:rPr>
          <w:rFonts w:ascii="Arial;sans-serif" w:hAnsi="Arial;sans-serif"/>
          <w:b w:val="false"/>
          <w:color w:val="000000"/>
          <w:sz w:val="20"/>
          <w:shd w:fill="FFFFFF" w:val="clear"/>
        </w:rPr>
        <w:t xml:space="preserve">The following table summarizes the components of lease revenue recognized under the Company’s operating and sales-type leases for the three and six months ended June 30, 2026 and 2025 and included within the Company's Consolidated Statements of Operations (in </w:t>
      </w:r>
      <w:r>
        <w:rPr>
          <w:rFonts w:ascii="Arial;sans-serif" w:hAnsi="Arial;sans-serif"/>
          <w:b w:val="false"/>
          <w:color w:val="000000"/>
          <w:sz w:val="20"/>
        </w:rPr>
        <w:t>thousands):</w:t>
      </w:r>
    </w:p>
    <w:tbl>
      <w:tblPr>
        <w:tblW w:w="8921" w:type="dxa"/>
        <w:jc w:val="left"/>
        <w:tblInd w:w="0" w:type="dxa"/>
        <w:tblLayout w:type="fixed"/>
        <w:tblCellMar>
          <w:top w:w="28" w:type="dxa"/>
          <w:left w:w="28" w:type="dxa"/>
          <w:bottom w:w="28" w:type="dxa"/>
          <w:right w:w="28" w:type="dxa"/>
        </w:tblCellMar>
      </w:tblPr>
      <w:tblGrid>
        <w:gridCol w:w="918"/>
        <w:gridCol w:w="806"/>
        <w:gridCol w:w="810"/>
        <w:gridCol w:w="109"/>
        <w:gridCol w:w="109"/>
        <w:gridCol w:w="109"/>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102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Lease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5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contractual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1,327,510 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Sales-type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831,678 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805,935 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1,649,834 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1,617,037 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280" w:after="100"/>
        <w:jc w:val="left"/>
        <w:rPr/>
      </w:pPr>
      <w:r>
        <w:rPr>
          <w:rFonts w:ascii="Arial;sans-serif" w:hAnsi="Arial;sans-serif"/>
          <w:b w:val="false"/>
          <w:color w:val="001A33"/>
          <w:sz w:val="28"/>
        </w:rPr>
        <w:t>5. Investments in Unconsolidated Joint Ventures</w:t>
      </w:r>
      <w:r>
        <w:rPr>
          <w:color w:val="000000"/>
        </w:rPr>
        <w:t xml:space="preserv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investments in unconsolidated joint ventures consist of the following at June 30, 2026 and December 31, 2025:</w:t>
      </w:r>
    </w:p>
    <w:tbl>
      <w:tblPr>
        <w:tblW w:w="10205" w:type="dxa"/>
        <w:jc w:val="left"/>
        <w:tblInd w:w="0" w:type="dxa"/>
        <w:tblLayout w:type="fixed"/>
        <w:tblCellMar>
          <w:top w:w="28" w:type="dxa"/>
          <w:left w:w="28" w:type="dxa"/>
          <w:bottom w:w="28" w:type="dxa"/>
          <w:right w:w="28" w:type="dxa"/>
        </w:tblCellMar>
      </w:tblPr>
      <w:tblGrid>
        <w:gridCol w:w="1104"/>
        <w:gridCol w:w="780"/>
        <w:gridCol w:w="628"/>
        <w:gridCol w:w="109"/>
        <w:gridCol w:w="109"/>
        <w:gridCol w:w="109"/>
        <w:gridCol w:w="723"/>
        <w:gridCol w:w="705"/>
        <w:gridCol w:w="713"/>
        <w:gridCol w:w="109"/>
        <w:gridCol w:w="109"/>
        <w:gridCol w:w="109"/>
        <w:gridCol w:w="418"/>
        <w:gridCol w:w="418"/>
        <w:gridCol w:w="1040"/>
        <w:gridCol w:w="111"/>
        <w:gridCol w:w="111"/>
        <w:gridCol w:w="111"/>
        <w:gridCol w:w="212"/>
        <w:gridCol w:w="833"/>
        <w:gridCol w:w="109"/>
        <w:gridCol w:w="109"/>
        <w:gridCol w:w="109"/>
        <w:gridCol w:w="109"/>
        <w:gridCol w:w="212"/>
        <w:gridCol w:w="833"/>
        <w:gridCol w:w="163"/>
      </w:tblGrid>
      <w:tr>
        <w:trPr/>
        <w:tc>
          <w:tcPr>
            <w:tcW w:w="110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Carrying Value of Investment </w:t>
            </w:r>
            <w:r>
              <w:rPr>
                <w:rFonts w:ascii="Arial;sans-serif" w:hAnsi="Arial;sans-serif"/>
                <w:b/>
                <w:color w:val="000000"/>
                <w:sz w:val="10"/>
              </w:rPr>
              <w:t>(1)</w:t>
            </w:r>
          </w:p>
        </w:tc>
      </w:tr>
      <w:tr>
        <w:trPr/>
        <w:tc>
          <w:tcPr>
            <w:tcW w:w="2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Nominal % Ownership</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WP Project Developer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Wisconsin Place Land and 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(2)</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North Capitol Venture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North Capitol Street, 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501 K Street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1001 6th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Podium Venture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Hub on Causeway - Podium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Tower Developer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Hub50House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 Tower Developer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Hub on Causeway - Hotel Air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Venture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 Causeway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1265 Main Office JV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1265 Main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BNY Tower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Dock 72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(3)</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83,547 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CA-Colorado Center,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7750 Wisconsin Avenue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7750 Wisconsin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(4)</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BP-M 3HB Venture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Hudson Boulevard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 Holdings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58,561 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Portfolio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(4)</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125,576 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Rosecrans-Sepulveda Partners 4,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Beach Cities Media Campus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(5)</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 REIT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(6)</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PAS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Park Avenue 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71.11 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(7)</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104,778 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 II/BXP Reston Gateway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Skymark - Reston Next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 JV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74,747 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ABXP Worldgate Investments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13100 Worldgate Drive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(8)</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CAB 290 Coles Venture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290 Coles Street -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CAB 290 Coles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290 Coles Street - Preferred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(9)</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30,362 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17 Hartwell JV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17 Hartwell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100" w:after="283"/>
              <w:ind w:left="0" w:right="0" w:hanging="180"/>
              <w:jc w:val="left"/>
              <w:rPr>
                <w:rFonts w:ascii="Arial;sans-serif" w:hAnsi="Arial;sans-serif"/>
                <w:b w:val="false"/>
                <w:color w:val="000000"/>
                <w:sz w:val="18"/>
              </w:rPr>
            </w:pPr>
            <w:r>
              <w:rPr>
                <w:rFonts w:ascii="Arial;sans-serif" w:hAnsi="Arial;sans-serif"/>
                <w:b w:val="false"/>
                <w:color w:val="000000"/>
                <w:sz w:val="18"/>
              </w:rPr>
              <w:t>Worldgate Multifamily JV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13150 Worldgate Drive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3"/>
              </w:rPr>
            </w:pPr>
            <w:r>
              <w:rPr>
                <w:rFonts w:ascii="Arial;sans-serif" w:hAnsi="Arial;sans-serif"/>
                <w:b w:val="false"/>
                <w:color w:val="000000"/>
                <w:sz w:val="13"/>
              </w:rPr>
              <w:t>(10)</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806,064 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983,710 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(1)Investments with deficit balances aggregating approximately $14.0 million and $15.6 million at June 30, 2026 and December 31, 2025, respectively, are included within Other Liabilities in the Company’s Consolidated Balance Sheets.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(2)The Company’s wholly-owned subsidiary that owns Wisconsin Place Office also owns a 33.33% interest in the joint venture entity that owns the land, parking garage and infrastructure of the project.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(3)This investment includes net equity balances from the amenity joint venture. The amenity joint venture had a deficit balance of approximately $0.4 million at June 30, 2026 and December 31, 2025.</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Company sold its entire ownership interest during the six months ended June 30, 2026 (See “Dispositions” below in this Note 5).</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joint venture completed the sale of the property on September 17, 2025 and is in the process of being dissolved.</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(6)The Company’s ownership includes (1) a 33.0% direct interest in the joint venture, and (2) an additional 1.0% interest in each of the two entities through which each partner owns its interest in the joint venture.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(7)The Company’s ownership includes (1) a 35.79% direct interest in the joint venture, (2) an additional 35.02% indirect ownership in the joint venture, and (3) an additional 1.0% interest in the entity through which the partner owns its interest in the joint venture.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(8)The joint venture completed the sale of 13150 Worldgate Drive during the three months ended June 30, 2026 (See “Dispositions” below in this Note 5).</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(9)The Company has fully funded the first $65.0 million of required capital through its preferred equity investment accruing at a 13.0% internal rate of return and is to be redeemed, in full, upon the earlier of two years after stabilization of the property or March 5, 2030.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(10)This entity is a VIE (See Note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300" w:after="283"/>
        <w:ind w:left="0" w:right="0" w:firstLine="495"/>
        <w:jc w:val="left"/>
        <w:rPr>
          <w:rFonts w:ascii="Arial;sans-serif" w:hAnsi="Arial;sans-serif"/>
          <w:b w:val="false"/>
          <w:color w:val="000000"/>
          <w:sz w:val="20"/>
        </w:rPr>
      </w:pPr>
      <w:r>
        <w:rPr>
          <w:rFonts w:ascii="Arial;sans-serif" w:hAnsi="Arial;sans-serif"/>
          <w:b w:val="false"/>
          <w:color w:val="000000"/>
          <w:sz w:val="20"/>
        </w:rPr>
        <w:t>Certain of the Company’s unconsolidated joint venture agreements include provisions whereby, at certain specified times, each partner has the right to initiate a purchase or sale of its interest in the joint venture. Under certain of the Company’s joint venture agreements, if certain return thresholds are achieved, one or more partners could be entitled to receive an additional promoted interest or payments.</w:t>
      </w:r>
    </w:p>
    <w:p>
      <w:pPr>
        <w:pStyle w:val="TextBody"/>
        <w:bidi w:val="0"/>
        <w:spacing w:lineRule="auto" w:line="288" w:before="180" w:after="283"/>
        <w:ind w:left="0" w:right="0" w:firstLine="495"/>
        <w:jc w:val="left"/>
        <w:rPr/>
      </w:pPr>
      <w:r>
        <w:rPr>
          <w:rFonts w:ascii="Arial;sans-serif" w:hAnsi="Arial;sans-serif"/>
          <w:b w:val="false"/>
          <w:color w:val="000000"/>
          <w:sz w:val="20"/>
        </w:rPr>
        <w:t>The combined summarized balance sheets of the Company’s unconsolidated joint ventures are as follows:</w:t>
      </w:r>
      <w:r>
        <w:rPr>
          <w:color w:val="000000"/>
        </w:rPr>
        <w:t> </w:t>
      </w:r>
    </w:p>
    <w:tbl>
      <w:tblPr>
        <w:tblW w:w="10097" w:type="dxa"/>
        <w:jc w:val="left"/>
        <w:tblInd w:w="0" w:type="dxa"/>
        <w:tblLayout w:type="fixed"/>
        <w:tblCellMar>
          <w:top w:w="28" w:type="dxa"/>
          <w:left w:w="28" w:type="dxa"/>
          <w:bottom w:w="28" w:type="dxa"/>
          <w:right w:w="28" w:type="dxa"/>
        </w:tblCellMar>
      </w:tblPr>
      <w:tblGrid>
        <w:gridCol w:w="2403"/>
        <w:gridCol w:w="2117"/>
        <w:gridCol w:w="2140"/>
        <w:gridCol w:w="211"/>
        <w:gridCol w:w="976"/>
        <w:gridCol w:w="109"/>
        <w:gridCol w:w="109"/>
        <w:gridCol w:w="109"/>
        <w:gridCol w:w="109"/>
        <w:gridCol w:w="285"/>
        <w:gridCol w:w="1321"/>
        <w:gridCol w:w="208"/>
      </w:tblGrid>
      <w:tr>
        <w:trPr/>
        <w:tc>
          <w:tcPr>
            <w:tcW w:w="2403"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Real estate and development in process, net </w:t>
            </w:r>
            <w:r>
              <w:rPr>
                <w:rFonts w:ascii="Arial;sans-serif" w:hAnsi="Arial;sans-serif"/>
                <w:b w:val="false"/>
                <w:color w:val="000000"/>
                <w:sz w:val="12"/>
              </w:rPr>
              <w:t>(1) (2)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4,786,058 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assets </w:t>
            </w:r>
            <w:r>
              <w:rPr>
                <w:rFonts w:ascii="Arial;sans-serif" w:hAnsi="Arial;sans-serif"/>
                <w:b w:val="false"/>
                <w:color w:val="000000"/>
                <w:sz w:val="12"/>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672,776 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5,458,834 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MEMBERS’/PARTNERS’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and notes payable,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liabilities </w:t>
            </w:r>
            <w:r>
              <w:rPr>
                <w:rFonts w:ascii="Arial;sans-serif" w:hAnsi="Arial;sans-serif"/>
                <w:b w:val="false"/>
                <w:color w:val="000000"/>
                <w:sz w:val="12"/>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189,125 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Members’/Partners’ equity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2,364,644 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members’/partners’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5,458,834 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equity</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911,867 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1,084,806 </w:t>
            </w:r>
          </w:p>
        </w:tc>
        <w:tc>
          <w:tcPr>
            <w:tcW w:w="20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Basis differentials </w:t>
            </w:r>
            <w:r>
              <w:rPr>
                <w:rFonts w:ascii="Arial;sans-serif" w:hAnsi="Arial;sans-serif"/>
                <w:b w:val="false"/>
                <w:color w:val="000000"/>
                <w:sz w:val="12"/>
              </w:rPr>
              <w:t>(2) (5)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(101,096)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Carrying value of the Company’s investments in unconsolidated joint ventures</w:t>
            </w:r>
            <w:r>
              <w:rPr>
                <w:color w:val="000000"/>
              </w:rPr>
              <w:t xml:space="preserve"> </w:t>
            </w:r>
            <w:r>
              <w:rPr>
                <w:rFonts w:ascii="Arial;sans-serif" w:hAnsi="Arial;sans-serif"/>
                <w:b w:val="false"/>
                <w:color w:val="000000"/>
                <w:sz w:val="12"/>
              </w:rPr>
              <w:t>(6)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806,064 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983,710 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(1)At June 30, 2026 and December 31, 2025, this amount included right of use assets - operating leases totaling approximately $17.3 million and $17.9 million, respectively.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(2)During the year ended December 31, 2025, the joint ventures that own Safeco Plaza and Gateway Commons recognized property-level impairment losses in accordance with ASC 360, “Property, Plant and Equipment”. In prior periods, the Company had impaired its equity method investments to the estimated fair values for these joint ventures; the amounts were recognized as basis differences.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(3)At June 30, 2026 and December 31, 2025, this amount included sales-type lease receivable, net totaling approximately $14.5 million and $14.4 million, respectively.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(4)At June 30, 2026 and December 31, 2025, this amount included lease liabilities - operating leases totaling approximately $30.4 million and $30.5 million, respectively.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impairments at the property level, acquisitions through joint ventures with no change in control and upon the transfer of assets that were previously owned by the Company into a joint venture. During the year ended December 31, 2025, the joint ventures that own Gateway Commons and Safeco Plaza recognized property level impairments of approximately $425.8 million and $319.5 million, respectively. During the year ended December 31, 2025, the Company recognized an other-than-temporary impairment loss on its investment in Gateway Commons of approximately $145.1 million. The Company’s basis differentials include:</w:t>
      </w:r>
    </w:p>
    <w:tbl>
      <w:tblPr>
        <w:tblW w:w="5530" w:type="dxa"/>
        <w:jc w:val="left"/>
        <w:tblInd w:w="0" w:type="dxa"/>
        <w:tblLayout w:type="fixed"/>
        <w:tblCellMar>
          <w:top w:w="28" w:type="dxa"/>
          <w:left w:w="28" w:type="dxa"/>
          <w:bottom w:w="28" w:type="dxa"/>
          <w:right w:w="28" w:type="dxa"/>
        </w:tblCellMar>
      </w:tblPr>
      <w:tblGrid>
        <w:gridCol w:w="757"/>
        <w:gridCol w:w="666"/>
        <w:gridCol w:w="676"/>
        <w:gridCol w:w="223"/>
        <w:gridCol w:w="952"/>
        <w:gridCol w:w="115"/>
        <w:gridCol w:w="109"/>
        <w:gridCol w:w="109"/>
        <w:gridCol w:w="109"/>
        <w:gridCol w:w="302"/>
        <w:gridCol w:w="1292"/>
        <w:gridCol w:w="220"/>
      </w:tblGrid>
      <w:tr>
        <w:trPr/>
        <w:tc>
          <w:tcPr>
            <w:tcW w:w="7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Property</w:t>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 Center</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131,356 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48,289 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7750 Wisconsin Avenue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Commons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Dock 72</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(88,420)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Park Avenue South</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(111,046)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(110,815)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(142,677)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basis differentials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basis differentials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(105,803)</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(101,096)</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 xml:space="preserve">These basis differentials (excluding land, which is not depreciable) will be amortized over the remaining lives of the related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(6)Investments with deficit balances aggregating approximately $14.0 million and $15.6 million at June 30, 2026 and December 31, 2025, respectively, are reflected within Other Liabilities in the Company’s Consolidated Balance Sheets.</w:t>
      </w:r>
    </w:p>
    <w:p>
      <w:pPr>
        <w:pStyle w:val="TextBody"/>
        <w:bidi w:val="0"/>
        <w:spacing w:lineRule="auto" w:line="288" w:before="400" w:after="283"/>
        <w:ind w:left="0" w:right="0" w:firstLine="495"/>
        <w:jc w:val="left"/>
        <w:rPr/>
      </w:pPr>
      <w:r>
        <w:rPr>
          <w:rFonts w:ascii="Arial;sans-serif" w:hAnsi="Arial;sans-serif"/>
          <w:b w:val="false"/>
          <w:color w:val="000000"/>
          <w:sz w:val="20"/>
        </w:rPr>
        <w:t>The combined summarized statements of operations of the Company’s unconsolidated joint ventures are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1565"/>
        <w:gridCol w:w="1368"/>
        <w:gridCol w:w="1368"/>
        <w:gridCol w:w="211"/>
        <w:gridCol w:w="810"/>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56"/>
      </w:tblGrid>
      <w:tr>
        <w:trPr/>
        <w:tc>
          <w:tcPr>
            <w:tcW w:w="156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Total revenue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expenses</w:t>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195,621 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from early extinguishment of debt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interest rate contract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derivative instruments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 on sale of real estate </w:t>
            </w:r>
            <w:r>
              <w:rPr>
                <w:rFonts w:ascii="Arial;sans-serif" w:hAnsi="Arial;sans-serif"/>
                <w:b w:val="false"/>
                <w:color w:val="000000"/>
                <w:sz w:val="13"/>
              </w:rPr>
              <w:t>(2)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Gains on sales of investments </w:t>
            </w:r>
            <w:r>
              <w:rPr>
                <w:rFonts w:ascii="Arial;sans-serif" w:hAnsi="Arial;sans-serif"/>
                <w:b w:val="false"/>
                <w:color w:val="000000"/>
                <w:sz w:val="13"/>
              </w:rPr>
              <w:t>(3)</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Basis differential </w:t>
            </w:r>
            <w:r>
              <w:rPr>
                <w:rFonts w:ascii="Arial;sans-serif" w:hAnsi="Arial;sans-serif"/>
                <w:b w:val="false"/>
                <w:color w:val="000000"/>
                <w:sz w:val="13"/>
              </w:rPr>
              <w:t>(4)</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unconsolidated joint ventures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(1)Includes straight-line rent adjustments of approximately $9.3 million and $4.5 million for the three months ended June 30, 2026 and 2025, respectively, and approximately $9.7 million and $7.9 million for the six months ended June 30, 2026 and 2025, respectively.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joint venture completed the sale of 13150 Worldgate Drive during the three months ended June 30, 2026 (See “Dispositions” below in this Note 5).</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(3)During the six months ended June 30, 2026, the Company completed the sale of its entire 50% interest in each of Gateway Commons and 7750 Wisconsin Avenue (See “Dispositions” below in this Note 5).</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(4)Includes depreciation and amortization of approximately $(0.9) million and $(3.0) million for the three months ended June 30, 2026 and 2025, respectively, and approximately $(1.9) million and $(4.4) million for the six months ended June 30, 2026 and 2025, respectively. Includes unrealized losses on derivative instruments of approximately $(1.3) million and $(3.5) million for the three and six months ended June 30, 2025.</w:t>
      </w:r>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 xml:space="preserve">New Joint Venture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On June 4, 2026, the Company entered into a joint venture with a third party to develop, own, and operate a residential property at 13150 Worldgate Drive located in Herndon, Virginia. The Company contributed approximately $4.4 million in cash to the joint venture for a 20% ownership interest. Concurrently, the joint venture acquired 13150 Worldgate Drive from a different joint venture (See “Dispositions” below in this Note 5) for a gross purchase price of approximately $21.3 million, including approximately $3.1 million of pre-development costs. The joint venture also entered into an approximately $68.2 million construction loan. The loan bears interest at a fixed rate of 6.25% per annum and matures on June 10, 2031. When completed, 13150 Worldgate Drive is expected to be a 359-unit residential property with a parking garage.</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Debt</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May 8, 2026, a joint venture in which the Company has a 20% ownership interest extended the maturity date of the $140.0 million construction loan collateralized by its Skymark - Reston Next Residential property (“Skymark”). The loan was scheduled to mature on May 13, 2026 and bore interest at a variable rate equal to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SOFR plus 2.00% per annum. The loan now matures on November 13, 2026, and will continue to bear interest at Term SOFR plus 2.00% per annum. The loan continues to provide two extension options, subject to certain conditions. Skymark is a 508-unit residential property located in Reston, Virginia.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June 3, 2026, a joint venture in which the Company has a 30% ownership interest modified the loans collateralized by its 500 North Capitol Street property. The loans consist of a mortgage note payable (Note A) equal to $70.0 million and a mortgage note payable (Note B) equal to $35.0 million and both were scheduled to mature on June 5, 2026. Note A bore interest at a fixed rate of 6.23% per annum and Note B bore interest at a fixed rate of 8.03% per annum. The loans will now mature on December 31, 2026, and both loans bear interest at a fixed rate of 6.88% per annum. The Company is the lender for $10.5 million of Note B which is reflected in Related party notes receivable, net on the Company’s Consolidated Balance Sheets. 500 North Capitol Street is an office property with approximately 231,000 net rentable square feet located in Washington, DC.</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June 18, 2026, a joint venture in which the Company has a 33.67% ownership interest modified the $250.0 million mortgage loan collateralized by its Safeco Plaza property. The loan was scheduled to mature on September 1, 2026 and bore interest at a variable rate equal to the greater of (x) 2.35% or (y) SOFR plus 2.32% per annum. The joint venture had entered into an interest rate cap agreement with a financial institution to limit its exposure to increases in the SOFR rate at a cap of 2.50% per annum on a notional amount of $250.0 million through September 1, 2026. The loan now matures on November 30, 2028 and bears interest at a fixed rate equal to 4.00% per annum. In connection with the loan modification, the joint venture terminated the interest rate cap agreement. Safeco Plaza is an office tower with approximately 763,000 net rentable square feet located in Seattle, Washington.</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Dispositions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represents the Company’s share of the sales that occurred during the six months ended June 30, 2026 (dollars in thousands): </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332"/>
        <w:gridCol w:w="332"/>
        <w:gridCol w:w="333"/>
        <w:gridCol w:w="109"/>
        <w:gridCol w:w="109"/>
        <w:gridCol w:w="109"/>
        <w:gridCol w:w="315"/>
        <w:gridCol w:w="315"/>
        <w:gridCol w:w="319"/>
        <w:gridCol w:w="109"/>
        <w:gridCol w:w="109"/>
        <w:gridCol w:w="109"/>
        <w:gridCol w:w="292"/>
        <w:gridCol w:w="292"/>
        <w:gridCol w:w="293"/>
        <w:gridCol w:w="109"/>
        <w:gridCol w:w="109"/>
        <w:gridCol w:w="109"/>
        <w:gridCol w:w="435"/>
        <w:gridCol w:w="436"/>
        <w:gridCol w:w="227"/>
        <w:gridCol w:w="109"/>
        <w:gridCol w:w="109"/>
        <w:gridCol w:w="109"/>
        <w:gridCol w:w="199"/>
        <w:gridCol w:w="750"/>
        <w:gridCol w:w="111"/>
        <w:gridCol w:w="109"/>
        <w:gridCol w:w="109"/>
        <w:gridCol w:w="109"/>
        <w:gridCol w:w="201"/>
        <w:gridCol w:w="755"/>
        <w:gridCol w:w="111"/>
        <w:gridCol w:w="109"/>
        <w:gridCol w:w="109"/>
        <w:gridCol w:w="109"/>
        <w:gridCol w:w="197"/>
        <w:gridCol w:w="652"/>
        <w:gridCol w:w="163"/>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Company’s share</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Ownership Sold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Gross Sale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Cash Proceeds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Gain on Sale </w:t>
            </w:r>
          </w:p>
        </w:tc>
      </w:tr>
      <w:tr>
        <w:trPr/>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Gateway Commons </w:t>
            </w:r>
            <w:r>
              <w:rPr>
                <w:rFonts w:ascii="Arial;sans-serif" w:hAnsi="Arial;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792,700 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131,765 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7750 Wisconsin Avenue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Bethesda/Chevy Chase,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19,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735,600 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13150 Worldgate Drive</w:t>
            </w:r>
            <w:r>
              <w:rPr>
                <w:color w:val="000000"/>
              </w:rPr>
              <w:t xml:space="preserve"> </w:t>
            </w: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Herndon, 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1,528,300 </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375,275 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225,306 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42,391 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Company had previously recognized an other-than-temporary impairment loss on its investment.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(2)Net cash proceeds and gain on sale includes $0.2 million of proceeds from 751 Gateway Boulevard. The Company sold its 49% ownership interest in 751 Gateway Boulevard on December 30, 2025.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(3)Gross sale price includes the partner’s assumption of the Company’s share of the mortgage note, which was $126.0 million.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(4)The joint venture sold this property and the Company still has an ownership interest in the joint venture that had owned the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6. Debt</w:t>
      </w:r>
    </w:p>
    <w:p>
      <w:pPr>
        <w:pStyle w:val="TextBody"/>
        <w:bidi w:val="0"/>
        <w:spacing w:lineRule="auto" w:line="288" w:before="0" w:after="100"/>
        <w:jc w:val="left"/>
        <w:rPr>
          <w:rFonts w:ascii="Arial;sans-serif" w:hAnsi="Arial;sans-serif"/>
          <w:b w:val="false"/>
          <w:color w:val="32A7DC"/>
          <w:sz w:val="24"/>
        </w:rPr>
      </w:pPr>
      <w:r>
        <w:rPr>
          <w:rFonts w:ascii="Arial;sans-serif" w:hAnsi="Arial;sans-serif"/>
          <w:b w:val="false"/>
          <w:color w:val="32A7DC"/>
          <w:sz w:val="24"/>
        </w:rPr>
        <w:t>Unsecured Senior Notes</w:t>
      </w:r>
    </w:p>
    <w:p>
      <w:pPr>
        <w:pStyle w:val="TextBody"/>
        <w:bidi w:val="0"/>
        <w:spacing w:lineRule="auto" w:line="288" w:before="100" w:after="283"/>
        <w:ind w:left="0" w:right="0" w:firstLine="450"/>
        <w:jc w:val="left"/>
        <w:rPr/>
      </w:pPr>
      <w:r>
        <w:rPr>
          <w:rFonts w:ascii="Arial;sans-serif" w:hAnsi="Arial;sans-serif"/>
          <w:b w:val="false"/>
          <w:color w:val="000000"/>
          <w:sz w:val="20"/>
        </w:rPr>
        <w:t>The following summarizes the unsecured senior notes outstanding as of June 30, 2026 (dollars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1113"/>
        <w:gridCol w:w="964"/>
        <w:gridCol w:w="969"/>
        <w:gridCol w:w="368"/>
        <w:gridCol w:w="359"/>
        <w:gridCol w:w="936"/>
        <w:gridCol w:w="109"/>
        <w:gridCol w:w="109"/>
        <w:gridCol w:w="109"/>
        <w:gridCol w:w="323"/>
        <w:gridCol w:w="323"/>
        <w:gridCol w:w="722"/>
        <w:gridCol w:w="109"/>
        <w:gridCol w:w="109"/>
        <w:gridCol w:w="109"/>
        <w:gridCol w:w="230"/>
        <w:gridCol w:w="1120"/>
        <w:gridCol w:w="118"/>
        <w:gridCol w:w="109"/>
        <w:gridCol w:w="109"/>
        <w:gridCol w:w="109"/>
        <w:gridCol w:w="503"/>
        <w:gridCol w:w="485"/>
        <w:gridCol w:w="691"/>
      </w:tblGrid>
      <w:tr>
        <w:trPr/>
        <w:tc>
          <w:tcPr>
            <w:tcW w:w="111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Coupon/Stated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Effective Rate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Maturity Date</w:t>
            </w:r>
            <w:r>
              <w:rPr>
                <w:rFonts w:ascii="Arial;sans-serif" w:hAnsi="Arial;sans-serif"/>
                <w:b/>
                <w:color w:val="000000"/>
                <w:sz w:val="10"/>
              </w:rPr>
              <w:t>(2)</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3.495 </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 2026</w:t>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 Year Unsecured Senior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6.750 </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6.924 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 2027</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4.628 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 2028</w:t>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3.400 </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21, 2029</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 Year Unsecured Senior Notes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2.900 </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15, 2030</w:t>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10.75 Year Unsecured Senior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3.250 </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2031</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 Year Unsecured Senior Notes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2.550 </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2032</w:t>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 Year Unsecured Senior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 2033</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 Year Unsecured Senior Notes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6.500 </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6.619 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15, 2034</w:t>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5.750 </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5.842 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15, 2035</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principal</w:t>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8,850,000 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unamortized discount</w:t>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net</w:t>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8,811,158 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(1)Yield on issuance date including the effects of discounts on the notes, settlements of interest rate contracts and the amortization of financing costs.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(2)No principal amounts are due prior to maturity.</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February 2, 2026, BPLP repaid $1.0 billion in aggregate principal amount of its 3.650% senior notes due February 1, 2026, at par. The repayment was completed with available cash.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7. Derivative Instruments and Hedging Activities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BPLP’s agreements with derivative counterparties contain provisions whereby if BPLP defaults on the underlying indebtedness, including defaults where repayment of the indebtedness has not been accelerated by the lender, then BPLP could also be declared in default of the swap derivative obligation. As of June 30, 2026, the Company had not posted any collateral related to the agreements.</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Effective Hedge Instruments</w:t>
      </w:r>
    </w:p>
    <w:p>
      <w:pPr>
        <w:pStyle w:val="TextBody"/>
        <w:bidi w:val="0"/>
        <w:spacing w:lineRule="auto" w:line="288" w:before="100" w:after="283"/>
        <w:ind w:left="0" w:right="0" w:firstLine="495"/>
        <w:jc w:val="left"/>
        <w:rPr/>
      </w:pPr>
      <w:r>
        <w:rPr>
          <w:rFonts w:ascii="Arial;sans-serif" w:hAnsi="Arial;sans-serif"/>
          <w:b w:val="false"/>
          <w:color w:val="000000"/>
          <w:sz w:val="20"/>
        </w:rPr>
        <w:t xml:space="preserve">BPLP assesses the effectiveness of its derivatives both at inception and on an ongoing basis. If the hedges are deemed to be effective, the fair value is recorded in Accumulated other comprehensive income (loss) in the Company’s Consolidated Balance Sheets and is subsequently reclassified into Interest expense in the Company’s </w:t>
      </w:r>
      <w:r>
        <w:rPr>
          <w:rFonts w:ascii="Arial;sans-serif" w:hAnsi="Arial;sans-serif"/>
          <w:b w:val="false"/>
          <w:color w:val="000000"/>
          <w:sz w:val="20"/>
          <w:shd w:fill="FFFFFF" w:val="clear"/>
        </w:rPr>
        <w:t>Consolidated Statements of Operations</w:t>
      </w:r>
      <w:r>
        <w:rPr>
          <w:color w:val="000000"/>
        </w:rPr>
        <w:t xml:space="preserve"> </w:t>
      </w:r>
      <w:r>
        <w:rPr>
          <w:rFonts w:ascii="Arial;sans-serif" w:hAnsi="Arial;sans-serif"/>
          <w:b w:val="false"/>
          <w:color w:val="000000"/>
          <w:sz w:val="20"/>
        </w:rPr>
        <w:t>in the period that the hedged forecasted transactions affect earnings. BPLP’s derivative financial instruments are cash flow hedges that are designated as effective hedges, and they are carried at their estimated fair value on a recurring basis (See Note 2). The Company did not have any undesignated hedges during the three and six months ended June 30, 2026.</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BPLP’s derivative contracts consisted of the following at June 30, 2026 (dollars in thousands):</w:t>
      </w:r>
    </w:p>
    <w:tbl>
      <w:tblPr>
        <w:tblW w:w="10205" w:type="dxa"/>
        <w:jc w:val="left"/>
        <w:tblInd w:w="0" w:type="dxa"/>
        <w:tblLayout w:type="fixed"/>
        <w:tblCellMar>
          <w:top w:w="28" w:type="dxa"/>
          <w:left w:w="28" w:type="dxa"/>
          <w:bottom w:w="28" w:type="dxa"/>
          <w:right w:w="28" w:type="dxa"/>
        </w:tblCellMar>
      </w:tblPr>
      <w:tblGrid>
        <w:gridCol w:w="411"/>
        <w:gridCol w:w="361"/>
        <w:gridCol w:w="363"/>
        <w:gridCol w:w="109"/>
        <w:gridCol w:w="109"/>
        <w:gridCol w:w="109"/>
        <w:gridCol w:w="240"/>
        <w:gridCol w:w="904"/>
        <w:gridCol w:w="133"/>
        <w:gridCol w:w="109"/>
        <w:gridCol w:w="109"/>
        <w:gridCol w:w="109"/>
        <w:gridCol w:w="370"/>
        <w:gridCol w:w="309"/>
        <w:gridCol w:w="310"/>
        <w:gridCol w:w="109"/>
        <w:gridCol w:w="109"/>
        <w:gridCol w:w="109"/>
        <w:gridCol w:w="287"/>
        <w:gridCol w:w="287"/>
        <w:gridCol w:w="288"/>
        <w:gridCol w:w="109"/>
        <w:gridCol w:w="109"/>
        <w:gridCol w:w="109"/>
        <w:gridCol w:w="255"/>
        <w:gridCol w:w="256"/>
        <w:gridCol w:w="264"/>
        <w:gridCol w:w="128"/>
        <w:gridCol w:w="112"/>
        <w:gridCol w:w="112"/>
        <w:gridCol w:w="263"/>
        <w:gridCol w:w="248"/>
        <w:gridCol w:w="264"/>
        <w:gridCol w:w="109"/>
        <w:gridCol w:w="109"/>
        <w:gridCol w:w="109"/>
        <w:gridCol w:w="394"/>
        <w:gridCol w:w="381"/>
        <w:gridCol w:w="383"/>
        <w:gridCol w:w="109"/>
        <w:gridCol w:w="109"/>
        <w:gridCol w:w="109"/>
        <w:gridCol w:w="196"/>
        <w:gridCol w:w="558"/>
        <w:gridCol w:w="166"/>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Aggregate Notional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Strike Rate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Balance Sheet Location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Effective 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Low </w:t>
            </w:r>
          </w:p>
        </w:tc>
        <w:tc>
          <w:tcPr>
            <w:tcW w:w="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High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600,000 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December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October 26,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3.790</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3.798</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the location in the financial statements of the gains or (losses) recognized as a result of the Company’s cash flow hedges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604"/>
        <w:gridCol w:w="1391"/>
        <w:gridCol w:w="1398"/>
        <w:gridCol w:w="109"/>
        <w:gridCol w:w="109"/>
        <w:gridCol w:w="109"/>
        <w:gridCol w:w="221"/>
        <w:gridCol w:w="679"/>
        <w:gridCol w:w="114"/>
        <w:gridCol w:w="114"/>
        <w:gridCol w:w="114"/>
        <w:gridCol w:w="114"/>
        <w:gridCol w:w="221"/>
        <w:gridCol w:w="706"/>
        <w:gridCol w:w="114"/>
        <w:gridCol w:w="109"/>
        <w:gridCol w:w="109"/>
        <w:gridCol w:w="109"/>
        <w:gridCol w:w="211"/>
        <w:gridCol w:w="751"/>
        <w:gridCol w:w="109"/>
        <w:gridCol w:w="109"/>
        <w:gridCol w:w="109"/>
        <w:gridCol w:w="109"/>
        <w:gridCol w:w="211"/>
        <w:gridCol w:w="774"/>
        <w:gridCol w:w="109"/>
        <w:gridCol w:w="109"/>
        <w:gridCol w:w="160"/>
      </w:tblGrid>
      <w:tr>
        <w:trPr/>
        <w:tc>
          <w:tcPr>
            <w:tcW w:w="160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Amount of gain (loss) related to the effective portion recognized in other comprehensive income (loss)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(5,636)</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Amount of gain (loss) related to the effective portion subsequently reclassified to earnings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(loss) related to the ineffective portion and amount excluded from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(1)Includes the Company’s share of gain (loss) related to the effective portion of derivatives outstanding at its unconsolidated joint venture properties.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(2)Includes amounts from previous interest rate programs.</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BPLP has formally documented all of its relationships between hedge instruments and hedging items, as well as its risk-management objectives and strategy for undertaking various hedge transactions. While management believes its judgments are reasonable, a change in a derivative's effectiveness as a hedge could materially affect expenses, net income and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8. Commitments and Contingencies </w:t>
      </w:r>
    </w:p>
    <w:p>
      <w:pPr>
        <w:pStyle w:val="TextBody"/>
        <w:bidi w:val="0"/>
        <w:spacing w:lineRule="auto" w:line="288" w:before="0" w:after="100"/>
        <w:jc w:val="left"/>
        <w:rPr>
          <w:rFonts w:ascii="Arial;sans-serif" w:hAnsi="Arial;sans-serif"/>
          <w:b w:val="false"/>
          <w:color w:val="32A7DC"/>
          <w:sz w:val="24"/>
        </w:rPr>
      </w:pPr>
      <w:r>
        <w:rPr>
          <w:rFonts w:ascii="Arial;sans-serif" w:hAnsi="Arial;sans-serif"/>
          <w:b w:val="false"/>
          <w:color w:val="32A7DC"/>
          <w:sz w:val="24"/>
        </w:rPr>
        <w:t>General</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the normal course of business, the Company guarantees its performance of services or indemnifies third parties against its negligence. In addition, in the normal course of business, the Company guarantees to certain tenants the obligations of the Company’s subsidiaries to complete construction of the building, to pay tenant improvement allowances and brokerage commissions in connection with their leases and limited costs arising from delays in delivery of their premises.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had letters of credit and performance obligations related to lender and development requirements that totaled approximately $28.5 million at June 30, 2026.</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Certain of the Company’s joint venture agreements include provisions whereby, at certain specified times, each partner has the right to initiate a purchase or sale of its interest in the joint venture. From time to time, under certain of the Company’s joint venture agreements, if certain return thresholds are achieved, one or more partners could be entitled to an additional promoted interest or payments.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third-party joint venture partners whereby the partners agree to reimburse the joint venture for their share of any payments made under the guarantee. In some cases, the Company earns a fee from the applicable joint venture for providing the guarantee.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has two mezzanine loan receivables with maximum commitments of $20.0 million and $50.0 million. As of June 30, 2026, the Company has funded approximately $12.3 million and $25.4 million, respectively, under the mezzanine loans, which is reflected in Note receivable, net and Related party notes receivable, net, respectively, in the Company’s Consolidated Balance Sheets.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Legal Matters </w:t>
      </w:r>
    </w:p>
    <w:p>
      <w:pPr>
        <w:pStyle w:val="TextBody"/>
        <w:bidi w:val="0"/>
        <w:spacing w:lineRule="auto" w:line="288" w:before="100" w:after="283"/>
        <w:ind w:left="0" w:right="0" w:firstLine="495"/>
        <w:jc w:val="left"/>
        <w:rPr/>
      </w:pPr>
      <w:r>
        <w:rPr>
          <w:rFonts w:ascii="Arial;sans-serif" w:hAnsi="Arial;sans-serif"/>
          <w:b w:val="false"/>
          <w:color w:val="000000"/>
          <w:sz w:val="20"/>
        </w:rPr>
        <w:t>The Company is subject to various legal proceedings and claims that arise in the ordinary course of business. These matters are generally covered by insurance. Management believes that the final outcome of such matters will not have a material adverse effect on the financial position, results of operations or liquidity of the Company.</w:t>
      </w:r>
      <w:r>
        <w:rPr>
          <w:color w:val="000000"/>
        </w:rPr>
        <w: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addition, the Company is subject to the following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 xml:space="preserve">Property Acquisition in New York City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connection with the acquisition of an office property in New York City in 2010, the Company entered into an agreement with the seller pursuant to which the seller could earn various fees (i.e., Fixed, Additional and Final Fees) based on the future leasing performance of the property. The Company initially accrued approximately $1.5 million as an estimate of the fees it would owe the seller. In 2020, the seller filed suit against the Company in the Supreme Court of the State of New York, County of New York, claiming that consideration significantly in excess of the initial reserve amount is owed under the agreement. The disagreement between the Company and the seller involves material issues of contract interpretation and, more importantly, the method of calculating fees, including various inputs (both facts and assumptions) that drive the calculations.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January 25, 2024, the New York Supreme Court granted in part the seller’s motion for summary judgment finding that the Company owes the seller an “Additional Fee” and a “Final Fee” under the terms of the parties’ purchase agreement. The court issued a follow-on order on February 8, 2024, confirming its earlier order that the seller is entitled to the fees described in the parties’ agreement. Other than the “Fixed Fee,” which the Company agreed to pay and for which it had established a reserve of approximately $2.2 million (including interest), the amount of the fees (if any) that are due to the seller has not been determined. On December 9, 2024, the court issued a judgment awarding the seller the Fixed Fee (including interest) of approximately $2.7 million and the Company paid this fee following the judgment. For the Additional Fee and Final Fee, the seller submitted a request for the appointment of a Special Referee on January 7, 2025.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February 18, 2025, a Special Referee was appointed to determine damages for the Additional and Final Fee. The parties held a five-day hearing with the Special Referee during July and August 2025 before filing opening and post-trial briefs in September and October 2025. The Special Referee held an additional hearing in December 2025.</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Separately, the Company filed a notice of appeal on January 15, 2025 to preserve the Company’s ability to appeal the grant of summary judgment on the question of whether the Company is liable for payment of the Additional Fee and Final Fee. The First Department granted the Company’s request extending the time to perfect the appeal to December 2026.</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disputes the seller’s calculations and intends to continue defending itself vigorously. However, there can be no assurance that the Company will prevail in the lawsuit. If the court ultimately agrees with the seller’s calculations, then amounts due to the seller could theoretically be as high as the additional $25 million claimed in the seller’s revised complaint, plus interest. Although the Company disputes those calculations, there can be no assurance that the Company’s ultimate liability will not be material.</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Brammer Bio MA, LLC</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April 26, 2024, Brammer Bio MA, LLC (“Brammer”), a subsidiary of Thermo Fisher Scientific Inc. and an abutter to the Company’s 290 Binney Street development project located in Cambridge, Massachusetts, filed a complaint in Superior Court in Suffolk County, Massachusetts against the Company relating to certain ongoing construction activities.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the first quarter of 2023, the Company commenced development of 290 Binney Street, an approximately 573,000 net rentable square foot laboratory/life sciences property that is 100% pre-leased to AstraZeneca Pharmaceuticals (“AstraZeneca”) (See Note 3). The Company has a 55% interest in the joint venture that owns 290 Binney Street. Brammer subleases the premises at 250 Binney Street, the Company’s approximately 67,000 net rentable square foot life sciences property that is adjacent to 290 Binney Street.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Brammer alleged that, as a result of the Company’s construction of 290 Binney Street, it is threatened with irreparable harm due to intrusion onto the 250 Binney Street premises and the loss of its property rights. Brammer also alleged that the 290 Binney Street development project has caused and is causing major disruption to its manufacturing operations, and that it has suffered and will continue to suffer damages in the form of losses to its clients and customers. Brammer brought the action for quiet title, breach of contract, trespass and nuisance, and it is seeking declaratory and injunctive relief and specific performance purportedly to protect its property interests in the premises located at 250 Binney Street.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May 16, 2024, Brammer’s motion for a preliminary injunction was denied by the trial court. Brammer subsequently appealed that decision, electing pursuant to Massachusetts civil procedure rules to petition for appeals to both a single justice of the Massachusetts Appeals Court and to a full appellate panel. On July 16, 2024, the single justice assigned to the appeal issued an order declining to rule on the substance of the appeal petition, deferring instead to the full appellate panel. On August 12, 2025, the clerk of the Massachusetts Appeals Court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completed the procedural steps that were necessary in order for Brammer’s appeal to be heard before the full appellate panel. The hearing on the appeal was held on May 5, 2026, with a decision likely to be issued sometime before the end of 2026. The remainder of the case continues to proceed in the trial court on the standard litigation timeline.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believes it has meritorious defenses against Brammer’s claims and intends to defend against them vigorously. However, there can be no assurance the Company will prevail in the litigation. Although the Company is unable to estimate a range of loss for all related matters for which losses are reasonably possible, if the court grants injunctive relief or awards monetary damages to Brammer, it could have a material adverse effect on the Company’s results of operations and financial condition.</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 xml:space="preserve">New York Police Department Paid Detail Program </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The Company is a named defendant in an alleged collective and class action wage and hour lawsuit filed on behalf of certain individuals who provided off-duty, uniformed security services at the Company’s buildings in New York City pursuant to the New York Police Department’s Paid Detail Program. In addition to the Company, the plaintiffs also initially named as defendants more than ninety (90) other companies. The plaintiffs filed the lawsuit in the United States District Court for the Southern District of New York on January 23, 2025, and brought the claims under the Fair Labor Standards Act, the New York Labor Law and the Freelance Isn’t Free Act. The plaintiffs subsequently filed a first amended complaint and a second amended complaint on February 13, 2025 and February 24, 2025, respectively. On December 15, 2025, the plaintiffs filed a motion for leave to file a Third Amended Complaint, which sought to add approximately eighty-five (85) new defendants to the lawsuit. By court order on February 6, 2026, the court directed the plaintiffs to file the Third Amended Complaint by March 11, 2026 as the operative pleading. The plaintiffs filed the Third Amended Complaint on or about March 11, 2026 and proceeded to serve the Third Amended Complaint on the new defendants to be added to the lawsuit by the court-ordered deadline of April 10, 2026. In sum, the plaintiffs have now named and joined over 170 defendants in this litigation under the Third Amended Complaint. Consistent with the prior complaints, the Third Amended Complaint alleges that the plaintiffs were not paid certain wages owed to them or were not paid in a timely manner and that the plaintiffs did not receive certain wage payment notices required by law. Pursuant to the current court-ordered schedule, the defendants’ deadline to answer, move or otherwise respond to the Third Amended Complaint was July 16, 2026. On July 16, 2026, a group of approximately fourteen (14) defendants, including the Company, together filed a Motion to Dismiss the Third Amended Complaint. A substantial number of the other defendants joined the Motion to Dismiss by the court-ordered July 23, 2026 deadline to do so. The briefing period for the motion is scheduled to run through January 20, 2027. Discovery has not yet commenced. As a result, the Company is unable to estimate a range of loss for which losses are reasonably possible. Although the Company believes it has meritorious defenses to the claims and intends to defend against them vigorously, there can be no assurance that the Company will prevail in the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9. Noncontrolling Interests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Noncontrolling interests relate to the interests in BPLP not owned by BXP and interests in consolidated property partnerships not wholly-owned by the Company. As of June 30, 2026, the noncontrolling interests in BPLP consisted of the following:</w:t>
      </w:r>
    </w:p>
    <w:tbl>
      <w:tblPr>
        <w:tblW w:w="10205" w:type="dxa"/>
        <w:jc w:val="left"/>
        <w:tblInd w:w="0" w:type="dxa"/>
        <w:tblLayout w:type="fixed"/>
        <w:tblCellMar>
          <w:top w:w="28" w:type="dxa"/>
          <w:left w:w="28" w:type="dxa"/>
          <w:bottom w:w="28" w:type="dxa"/>
          <w:right w:w="28" w:type="dxa"/>
        </w:tblCellMar>
      </w:tblPr>
      <w:tblGrid>
        <w:gridCol w:w="391"/>
        <w:gridCol w:w="342"/>
        <w:gridCol w:w="348"/>
        <w:gridCol w:w="109"/>
        <w:gridCol w:w="109"/>
        <w:gridCol w:w="109"/>
        <w:gridCol w:w="389"/>
        <w:gridCol w:w="388"/>
        <w:gridCol w:w="374"/>
        <w:gridCol w:w="109"/>
        <w:gridCol w:w="109"/>
        <w:gridCol w:w="109"/>
        <w:gridCol w:w="546"/>
        <w:gridCol w:w="543"/>
        <w:gridCol w:w="544"/>
        <w:gridCol w:w="109"/>
        <w:gridCol w:w="109"/>
        <w:gridCol w:w="109"/>
        <w:gridCol w:w="546"/>
        <w:gridCol w:w="543"/>
        <w:gridCol w:w="544"/>
        <w:gridCol w:w="109"/>
        <w:gridCol w:w="109"/>
        <w:gridCol w:w="109"/>
        <w:gridCol w:w="546"/>
        <w:gridCol w:w="543"/>
        <w:gridCol w:w="544"/>
        <w:gridCol w:w="109"/>
        <w:gridCol w:w="109"/>
        <w:gridCol w:w="109"/>
        <w:gridCol w:w="433"/>
        <w:gridCol w:w="413"/>
        <w:gridCol w:w="593"/>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LTIP Units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 MYLTIP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 MYLTIP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 MYLTIP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 OPP Units</w:t>
            </w:r>
          </w:p>
        </w:tc>
      </w:tr>
      <w:tr>
        <w:trPr/>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14,867,831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711,864</w:t>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(1)Includes 792,017 LTIP Units earned by employees under the Company’s multi-year long-term incentive awards granted between 2012 and 2023 (i.e., 2012 OPP and 2013 - 2023 MYLTIP awards).</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Noncontrolling Interest—Common Units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six months ended June 30, 2026, 885,882 OP Units were presented by the holders for redemption (including an aggregate of 48,866 OP Units issued upon conversion of LTIP Units, 2012 OPP Units and MYLTIP Units) and were redeemed by BXP in exchange for an equal number of shares of Common Stock.</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June 30, 2026, BPLP had outstanding the 2024 - 2026 MYLTIP Units and the 2025 OPP Units. Prior to the end of the respective performance period for each plan, holders of LTIP Units issued pursuant to these awards are entitled to receive per unit distributions equal to one-tenth (10%) of the regular quarterly distributions payable on an LTIP Unit, but will not be entitled to receive any special distributions. After the performance period for each plan has ended, (1) the number of LTIP Units, both vested and unvested, that the MYLTIP Unit or 2025 OPP Unit recipients,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as applicable, have earned, if any, based on the establishment of a performance pool, will be entitled to receive distributions in an amount per unit equal to distributions, both regular and special, payable on an LTIP Unit and (2) the Company will make a “catch-up” payment on the LTIP Units that are ultimately earned, if any, in an amount equal to the regular and special dividends, if any, declared during the respective performance period on a number of shares of Common Stock equal to the number of 2024 - 2026 MYLTIP Units or 2025 OPP Units that are earned, less the distributions actually paid during the performance period of each respective award, which (a) for the earned 2024 - 2026 MYLTIP Units will be payable in the form of cash and (b) for the earned 2025 OPP Units will be in the form of additional earned 2025 OPP Units, provided that if the total number of earned 2025 OPP Units would exceed the total number of 2025 OPP Units granted, then such excess shall be paid in cash.</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shows the results for the 2023 MYLTIP awards (after giving effect to employee separation) at the end of its respective three-year measurement period (Aggregate value is shown in millions):</w:t>
      </w:r>
    </w:p>
    <w:tbl>
      <w:tblPr>
        <w:tblW w:w="10205" w:type="dxa"/>
        <w:jc w:val="left"/>
        <w:tblInd w:w="0" w:type="dxa"/>
        <w:tblLayout w:type="fixed"/>
        <w:tblCellMar>
          <w:top w:w="28" w:type="dxa"/>
          <w:left w:w="28" w:type="dxa"/>
          <w:bottom w:w="28" w:type="dxa"/>
          <w:right w:w="28" w:type="dxa"/>
        </w:tblCellMar>
      </w:tblPr>
      <w:tblGrid>
        <w:gridCol w:w="689"/>
        <w:gridCol w:w="607"/>
        <w:gridCol w:w="610"/>
        <w:gridCol w:w="109"/>
        <w:gridCol w:w="109"/>
        <w:gridCol w:w="109"/>
        <w:gridCol w:w="564"/>
        <w:gridCol w:w="564"/>
        <w:gridCol w:w="565"/>
        <w:gridCol w:w="109"/>
        <w:gridCol w:w="109"/>
        <w:gridCol w:w="109"/>
        <w:gridCol w:w="521"/>
        <w:gridCol w:w="514"/>
        <w:gridCol w:w="1362"/>
        <w:gridCol w:w="109"/>
        <w:gridCol w:w="109"/>
        <w:gridCol w:w="109"/>
        <w:gridCol w:w="411"/>
        <w:gridCol w:w="851"/>
        <w:gridCol w:w="214"/>
        <w:gridCol w:w="109"/>
        <w:gridCol w:w="109"/>
        <w:gridCol w:w="109"/>
        <w:gridCol w:w="428"/>
        <w:gridCol w:w="428"/>
        <w:gridCol w:w="569"/>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Final Payout as a % 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Forfeited Units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 MYLTIP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168,717 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BPLP’s distributions on the OP Units, LTIP Units, MYLTIP Units and 2025 OPP Units paid or declared in 2026 and during the six months ended June 30, 2025:</w:t>
      </w:r>
    </w:p>
    <w:tbl>
      <w:tblPr>
        <w:tblW w:w="10205" w:type="dxa"/>
        <w:jc w:val="left"/>
        <w:tblInd w:w="0" w:type="dxa"/>
        <w:tblLayout w:type="fixed"/>
        <w:tblCellMar>
          <w:top w:w="28" w:type="dxa"/>
          <w:left w:w="28" w:type="dxa"/>
          <w:bottom w:w="28" w:type="dxa"/>
          <w:right w:w="28" w:type="dxa"/>
        </w:tblCellMar>
      </w:tblPr>
      <w:tblGrid>
        <w:gridCol w:w="619"/>
        <w:gridCol w:w="480"/>
        <w:gridCol w:w="481"/>
        <w:gridCol w:w="109"/>
        <w:gridCol w:w="109"/>
        <w:gridCol w:w="109"/>
        <w:gridCol w:w="463"/>
        <w:gridCol w:w="463"/>
        <w:gridCol w:w="465"/>
        <w:gridCol w:w="109"/>
        <w:gridCol w:w="109"/>
        <w:gridCol w:w="109"/>
        <w:gridCol w:w="918"/>
        <w:gridCol w:w="918"/>
        <w:gridCol w:w="921"/>
        <w:gridCol w:w="109"/>
        <w:gridCol w:w="109"/>
        <w:gridCol w:w="109"/>
        <w:gridCol w:w="1027"/>
        <w:gridCol w:w="1021"/>
        <w:gridCol w:w="1448"/>
      </w:tblGrid>
      <w:tr>
        <w:trPr/>
        <w:tc>
          <w:tcPr>
            <w:tcW w:w="61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Distributions per OP Unit and LTIP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Distributions per MYLTIP Unit and 2025 OPP Units</w:t>
            </w:r>
          </w:p>
        </w:tc>
      </w:tr>
      <w:tr>
        <w:trPr/>
        <w:tc>
          <w:tcPr>
            <w:tcW w:w="15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9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$0.070 </w:t>
            </w:r>
          </w:p>
        </w:tc>
        <w:tc>
          <w:tcPr>
            <w:tcW w:w="1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$0.070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$0.070 </w:t>
            </w:r>
          </w:p>
        </w:tc>
        <w:tc>
          <w:tcPr>
            <w:tcW w:w="1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 holder of an OP Unit may present the OP Unit to BPLP for redemption at any time (subject to covenants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Based on the last reported price of a share of Common Stock on the New York Stock Exchange of $66.31 per share on June 30, 2026, the value of the OP Units (other than OP Units owned by BXP), and LTIP Units (including the 2012 OPP Units and 2013 - 2023 MYLTIP Units), assuming in each case that all conditions had been met for the conversion thereof, had all of such units been redeemed at June 30, 2026 was approximately $1.2 billion.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Noncontrolling Interests—Property Partnerships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$2.0 billion at June 30, 2026 and December 31, 2025, are included in Noncontrolling Interests—Property Partnerships on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10. Stockholders’ Equity / Partners’ Capital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BXP had 159,521,510 shares of Common Stock outstanding.</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BXP owned 1,774,922 general partnership units and 157,746,588 limited partnership units in BPLP.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March 6, 2026, BXP renewed and increased the size of its “at the market” (“ATM”) stock offering program. Pursuant to the ATM program, BXP may sell from time to time up to an aggregate of $1.0 billion of its Common Stock through sales agents over a three-year period. Under the ATM stock offering program, BXP may also engage in forward sale transactions with affiliates of certain sales agents for the sale of its Common Stock on a forward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basis. This program replaced BXP’s prior $600.0 million ATM stock offering program that was scheduled to expire on May 17, 2026. BXP intends to use the net proceeds from any offering for general business purposes, which may include investment opportunities and debt reduction. No shares of Common Stock have been issued under this ATM stock offering program.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six months ended June 30, 2026, BXP issued 885,882 shares of Common Stock in connection with the redemption of an equal number of redeemable OP Units from limited partners.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BXP’s dividends per share and BPLP’s distributions per OP Unit and LTIP Unit paid or declared in 2026 and during the six months ended June 30, 2025:</w:t>
      </w:r>
    </w:p>
    <w:tbl>
      <w:tblPr>
        <w:tblW w:w="8268" w:type="dxa"/>
        <w:jc w:val="left"/>
        <w:tblInd w:w="0" w:type="dxa"/>
        <w:tblLayout w:type="fixed"/>
        <w:tblCellMar>
          <w:top w:w="28" w:type="dxa"/>
          <w:left w:w="28" w:type="dxa"/>
          <w:bottom w:w="28" w:type="dxa"/>
          <w:right w:w="28" w:type="dxa"/>
        </w:tblCellMar>
      </w:tblPr>
      <w:tblGrid>
        <w:gridCol w:w="657"/>
        <w:gridCol w:w="578"/>
        <w:gridCol w:w="579"/>
        <w:gridCol w:w="109"/>
        <w:gridCol w:w="109"/>
        <w:gridCol w:w="109"/>
        <w:gridCol w:w="534"/>
        <w:gridCol w:w="534"/>
        <w:gridCol w:w="536"/>
        <w:gridCol w:w="109"/>
        <w:gridCol w:w="109"/>
        <w:gridCol w:w="109"/>
        <w:gridCol w:w="624"/>
        <w:gridCol w:w="624"/>
        <w:gridCol w:w="626"/>
        <w:gridCol w:w="109"/>
        <w:gridCol w:w="109"/>
        <w:gridCol w:w="109"/>
        <w:gridCol w:w="584"/>
        <w:gridCol w:w="584"/>
        <w:gridCol w:w="827"/>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Distribution (Per Unit)</w:t>
            </w:r>
          </w:p>
        </w:tc>
      </w:tr>
      <w:tr>
        <w:trPr/>
        <w:tc>
          <w:tcPr>
            <w:tcW w:w="18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11. Segment Information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Operating segments are defined as components of an enterprise that engage in business activities from which they may earn revenues and incur expenses and about which discrete financial information is available that is evaluated regularly by the Chief Operating Decision Makers (“CODMs”). The CODMs decide how resources should be allocated and assess performance on a recurring basis, at least quarterly. The Company’s CODMs are its Chief Executive Officer and President. The CODMs review operating performance and financial reports by geographic area and property type. In addition, given the size of the Company’s joint venture portfolio, the CODMs utilize the Company’s share of net operating income (“NOI”), which includes the Company’s share of NOI from consolidated and unconsolidated joint ventures, as its profit or loss measure in assessing each segment’s performance and deciding how to allocate resources.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Company’s share of NOI is used by the CODMs to evaluate the profitability and performance of each geographic area on a consistent and comparable basis, supporting decisions on capital resource allocation, including in connection with development, redevelopment, acquisition and disposition activities in each segment. Additionally, the Company believes its share of NOI is useful as a profit or loss measure and believes it provides useful information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BXP, Inc. and net income attributable to Boston Properties Limited Partnership.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Asset information by segment is not reported because the Company and the CODMs are not provided with the segment asset information and therefore do not use this measure to assess performance or allocate resources. Asset values for the Company’s properties are reported in the Consolidated Balance Sheets at historical cost, which may not reflect current market values. Therefore, depreciation and amortization expense is not allocated among segments. The following are not included in the Company’s share of NOI as they are not necessarily linked to the operating performance of a real estate asset and are often incurred at the corporate level as opposed to the property level: development and management services revenue, direct reimbursements of payroll and related costs from management services contracts, income (loss) from unconsolidated joint ventures, gains on sales of real estate, interest and other income (loss), gains from investments in securities, unrealized gain (loss) on non-real estate investments, corporate general and administrative expense, payroll and related costs from management services contracts, transaction costs, depreciation and amortization expense, loss on sales-type lease, impairment loss, loss from early extinguishment of debt, interest expense and net income attributable to noncontrolling interests. The Company’s share of NOI presented may not be comparable to what is reported by other REITs or real estate companies that define NOI differently.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Company’s segments by geographic area are Boston, Los Angeles, New York, San Francisco, Seattle and Washington, DC. The Company also presents information for each segment by property type, including Office (which includes office, life sciences and retail), Residential and Hotel. The Company shows the different property types as the revenue from each type is derived from non-comparable lease structures.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present reconciliations of the Company’s share of NOI to Net Income Attributable to BXP, Inc. and Net Income Attributable to Boston Properties Limited Partnership for the three and six months ended June 30, 2026 and 2025.</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BXP</w:t>
      </w:r>
    </w:p>
    <w:tbl>
      <w:tblPr>
        <w:tblW w:w="10205" w:type="dxa"/>
        <w:jc w:val="left"/>
        <w:tblInd w:w="0" w:type="dxa"/>
        <w:tblLayout w:type="fixed"/>
        <w:tblCellMar>
          <w:top w:w="28" w:type="dxa"/>
          <w:left w:w="28" w:type="dxa"/>
          <w:bottom w:w="28" w:type="dxa"/>
          <w:right w:w="28" w:type="dxa"/>
        </w:tblCellMar>
      </w:tblPr>
      <w:tblGrid>
        <w:gridCol w:w="1557"/>
        <w:gridCol w:w="1184"/>
        <w:gridCol w:w="1188"/>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55"/>
      </w:tblGrid>
      <w:tr>
        <w:trPr/>
        <w:tc>
          <w:tcPr>
            <w:tcW w:w="155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264"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from investments in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Net operating income attributable to 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sales-type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Noncontrolling interest—common units of the 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BPLP</w:t>
      </w:r>
    </w:p>
    <w:tbl>
      <w:tblPr>
        <w:tblW w:w="10205" w:type="dxa"/>
        <w:jc w:val="left"/>
        <w:tblInd w:w="0" w:type="dxa"/>
        <w:tblLayout w:type="fixed"/>
        <w:tblCellMar>
          <w:top w:w="28" w:type="dxa"/>
          <w:left w:w="28" w:type="dxa"/>
          <w:bottom w:w="28" w:type="dxa"/>
          <w:right w:w="28" w:type="dxa"/>
        </w:tblCellMar>
      </w:tblPr>
      <w:tblGrid>
        <w:gridCol w:w="1557"/>
        <w:gridCol w:w="1184"/>
        <w:gridCol w:w="1188"/>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55"/>
      </w:tblGrid>
      <w:tr>
        <w:trPr/>
        <w:tc>
          <w:tcPr>
            <w:tcW w:w="155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264"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from investments in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Net operating income attributable to 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sales-type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a reconciliation of Revenue from the Consolidated Financial Statements to Rental Revenue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410"/>
        <w:gridCol w:w="1090"/>
        <w:gridCol w:w="1098"/>
        <w:gridCol w:w="109"/>
        <w:gridCol w:w="109"/>
        <w:gridCol w:w="109"/>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1021"/>
        <w:gridCol w:w="109"/>
        <w:gridCol w:w="109"/>
        <w:gridCol w:w="156"/>
      </w:tblGrid>
      <w:tr>
        <w:trPr/>
        <w:tc>
          <w:tcPr>
            <w:tcW w:w="141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3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rental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884,165 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855,507 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1,742,236 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1,706,448 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400" w:after="283"/>
        <w:ind w:left="0" w:right="0" w:firstLine="495"/>
        <w:jc w:val="left"/>
        <w:rPr/>
      </w:pPr>
      <w:r>
        <w:rPr>
          <w:rFonts w:ascii="Arial;sans-serif" w:hAnsi="Arial;sans-serif"/>
          <w:b w:val="false"/>
          <w:color w:val="000000"/>
          <w:sz w:val="20"/>
          <w:shd w:fill="FFFFFF" w:val="clear"/>
        </w:rPr>
        <w:t>The following tables present the Company’s share of NOI for each geographic segment by</w:t>
      </w:r>
      <w:r>
        <w:rPr>
          <w:color w:val="000000"/>
        </w:rPr>
        <w:t xml:space="preserve"> </w:t>
      </w:r>
      <w:r>
        <w:rPr>
          <w:rFonts w:ascii="Arial;sans-serif" w:hAnsi="Arial;sans-serif"/>
          <w:b w:val="false"/>
          <w:color w:val="000000"/>
          <w:sz w:val="20"/>
        </w:rPr>
        <w:t>property type, including Office (which includes office, life sciences and retail), Residential and Hotel</w:t>
      </w:r>
      <w:r>
        <w:rPr>
          <w:color w:val="000000"/>
          <w:shd w:fill="FFFFFF" w:val="clear"/>
        </w:rPr>
        <w:t xml:space="preserve"> </w:t>
      </w:r>
      <w:r>
        <w:rPr>
          <w:rFonts w:ascii="Arial;sans-serif" w:hAnsi="Arial;sans-serif"/>
          <w:b w:val="false"/>
          <w:color w:val="000000"/>
          <w:sz w:val="20"/>
          <w:shd w:fill="FFFFFF" w:val="clear"/>
        </w:rPr>
        <w:t>for the three and six months</w:t>
      </w:r>
      <w:r>
        <w:rPr>
          <w:color w:val="000000"/>
        </w:rPr>
        <w:t xml:space="preserve"> </w:t>
      </w:r>
      <w:r>
        <w:rPr>
          <w:rFonts w:ascii="Arial;sans-serif" w:hAnsi="Arial;sans-serif"/>
          <w:b w:val="false"/>
          <w:color w:val="000000"/>
          <w:sz w:val="20"/>
          <w:shd w:fill="FFFFFF" w:val="clear"/>
        </w:rPr>
        <w:t>ended June 30, 2026 and 2025 (dollars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three months ended June 30, 2026:</w:t>
      </w:r>
    </w:p>
    <w:tbl>
      <w:tblPr>
        <w:tblW w:w="12334" w:type="dxa"/>
        <w:jc w:val="left"/>
        <w:tblInd w:w="0" w:type="dxa"/>
        <w:tblLayout w:type="fixed"/>
        <w:tblCellMar>
          <w:top w:w="28" w:type="dxa"/>
          <w:left w:w="28" w:type="dxa"/>
          <w:bottom w:w="28" w:type="dxa"/>
          <w:right w:w="28" w:type="dxa"/>
        </w:tblCellMar>
      </w:tblPr>
      <w:tblGrid>
        <w:gridCol w:w="769"/>
        <w:gridCol w:w="333"/>
        <w:gridCol w:w="27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76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Rental Revenue: </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276,770 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865,581 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342,796 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276,770 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884,165 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334,135 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345,510 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218,107 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538,655 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(60,335)</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(loss)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22,028 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500,348 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three months ended June 30, 2025:</w:t>
      </w:r>
    </w:p>
    <w:tbl>
      <w:tblPr>
        <w:tblW w:w="12334" w:type="dxa"/>
        <w:jc w:val="left"/>
        <w:tblInd w:w="0" w:type="dxa"/>
        <w:tblLayout w:type="fixed"/>
        <w:tblCellMar>
          <w:top w:w="28" w:type="dxa"/>
          <w:left w:w="28" w:type="dxa"/>
          <w:bottom w:w="28" w:type="dxa"/>
          <w:right w:w="28" w:type="dxa"/>
        </w:tblCellMar>
      </w:tblPr>
      <w:tblGrid>
        <w:gridCol w:w="769"/>
        <w:gridCol w:w="333"/>
        <w:gridCol w:w="27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76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Rental Revenue: </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303,822 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828,202 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322,995 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855,507 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325,484 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341,427 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200,722 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76,299 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514,080 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(51,562)</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31,029 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493,547 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six months ended June 30, 2026:</w:t>
      </w:r>
    </w:p>
    <w:tbl>
      <w:tblPr>
        <w:tblW w:w="12484" w:type="dxa"/>
        <w:jc w:val="left"/>
        <w:tblInd w:w="0" w:type="dxa"/>
        <w:tblLayout w:type="fixed"/>
        <w:tblCellMar>
          <w:top w:w="28" w:type="dxa"/>
          <w:left w:w="28" w:type="dxa"/>
          <w:bottom w:w="28" w:type="dxa"/>
          <w:right w:w="28" w:type="dxa"/>
        </w:tblCellMar>
      </w:tblPr>
      <w:tblGrid>
        <w:gridCol w:w="769"/>
        <w:gridCol w:w="333"/>
        <w:gridCol w:w="27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976"/>
        <w:gridCol w:w="316"/>
      </w:tblGrid>
      <w:tr>
        <w:trPr/>
        <w:tc>
          <w:tcPr>
            <w:tcW w:w="76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Rental Revenue: </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1,710,099 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654,405 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544,607 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262,559 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1,742,236 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676,007 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257,073 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697,574 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1,044,662 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(112,045)</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(loss)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44,398 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375,683 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977,015 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For the six months ended June 30, 2025:</w:t>
      </w:r>
    </w:p>
    <w:tbl>
      <w:tblPr>
        <w:tblW w:w="12484" w:type="dxa"/>
        <w:jc w:val="left"/>
        <w:tblInd w:w="0" w:type="dxa"/>
        <w:tblLayout w:type="fixed"/>
        <w:tblCellMar>
          <w:top w:w="28" w:type="dxa"/>
          <w:left w:w="28" w:type="dxa"/>
          <w:bottom w:w="28" w:type="dxa"/>
          <w:right w:w="28" w:type="dxa"/>
        </w:tblCellMar>
      </w:tblPr>
      <w:tblGrid>
        <w:gridCol w:w="768"/>
        <w:gridCol w:w="334"/>
        <w:gridCol w:w="27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976"/>
        <w:gridCol w:w="316"/>
      </w:tblGrid>
      <w:tr>
        <w:trPr/>
        <w:tc>
          <w:tcPr>
            <w:tcW w:w="76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1,657,198 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642,010 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527,514 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1,706,448 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651,165 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680,570 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393,479 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1,025,878 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(101,264)</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63,711 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379,971 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988,325 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12. Earnings Per Share / Common Unit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provides a reconciliation of both the net income attributable to BXP, Inc. and net income attributable to Boston Properties Limited Partnership and the number of common shares / units used in the computation of basic earnings per share (“EPS”), which is calculated by dividing net income attributable to BXP, Inc. or net income attributable to Boston Properties Limited Partnership by the weighted-average number of common shares / units outstanding during the period.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Unvested share-based payment awards that contain non-forfeitable rights to dividends or dividend equivalents (whether paid or unpaid) are also participating securities. As such, unvested restricted common stock of BXP and BPLP’s LTIP Units, 2012 OPP Units, 2025 OPP Units and MYLTIP Units are considered participating securities. Participating securities are included in the computation of basic EPS using the two-class method. Participating securities are included in the computation of diluted EPS using the if-converted method if the impact is dilutive. Because the 2012 OPP Units and 2013 - 2023 MYLTIP Units required, and the 2024 - 2026 MYLTIP Units and 2025 OPP Units require, the Company to outperform certain performance thresholds, unless such thresholds have been met by the end of the applicable reporting period, the Company excludes such units from the diluted EPS calculation. Other potentially dilutive common shares, including restricted common stock and other securities of BPLP that are exchangeable for BXP’s Common Stock, and the related impact on earnings, are considered when calculating diluted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pPr>
      <w:r>
        <w:rPr>
          <w:rFonts w:ascii="Arial;sans-serif" w:hAnsi="Arial;sans-serif"/>
          <w:b w:val="false"/>
          <w:color w:val="000000"/>
          <w:sz w:val="20"/>
        </w:rPr>
        <w:t xml:space="preserve">The following tables calculate BXP and BPLP’s earnings per share / unit for the three and six months ended </w:t>
      </w:r>
      <w:r>
        <w:rPr>
          <w:rFonts w:ascii="Arial;sans-serif" w:hAnsi="Arial;sans-serif"/>
          <w:b w:val="false"/>
          <w:color w:val="000000"/>
          <w:sz w:val="20"/>
          <w:shd w:fill="FFFFFF" w:val="clear"/>
        </w:rPr>
        <w:t>June 30, 2026</w:t>
      </w:r>
      <w:r>
        <w:rPr>
          <w:color w:val="000000"/>
        </w:rPr>
        <w:t xml:space="preserve"> </w:t>
      </w:r>
      <w:r>
        <w:rPr>
          <w:rFonts w:ascii="Arial;sans-serif" w:hAnsi="Arial;sans-serif"/>
          <w:b w:val="false"/>
          <w:color w:val="000000"/>
          <w:sz w:val="20"/>
        </w:rPr>
        <w:t xml:space="preserve">and 2025.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BXP</w:t>
      </w:r>
    </w:p>
    <w:tbl>
      <w:tblPr>
        <w:tblW w:w="10205" w:type="dxa"/>
        <w:jc w:val="left"/>
        <w:tblInd w:w="0" w:type="dxa"/>
        <w:tblLayout w:type="fixed"/>
        <w:tblCellMar>
          <w:top w:w="28" w:type="dxa"/>
          <w:left w:w="28" w:type="dxa"/>
          <w:bottom w:w="28" w:type="dxa"/>
          <w:right w:w="28" w:type="dxa"/>
        </w:tblCellMar>
      </w:tblPr>
      <w:tblGrid>
        <w:gridCol w:w="1578"/>
        <w:gridCol w:w="1390"/>
        <w:gridCol w:w="1393"/>
        <w:gridCol w:w="220"/>
        <w:gridCol w:w="783"/>
        <w:gridCol w:w="113"/>
        <w:gridCol w:w="113"/>
        <w:gridCol w:w="113"/>
        <w:gridCol w:w="113"/>
        <w:gridCol w:w="220"/>
        <w:gridCol w:w="783"/>
        <w:gridCol w:w="113"/>
        <w:gridCol w:w="109"/>
        <w:gridCol w:w="109"/>
        <w:gridCol w:w="109"/>
        <w:gridCol w:w="211"/>
        <w:gridCol w:w="856"/>
        <w:gridCol w:w="109"/>
        <w:gridCol w:w="109"/>
        <w:gridCol w:w="109"/>
        <w:gridCol w:w="109"/>
        <w:gridCol w:w="211"/>
        <w:gridCol w:w="856"/>
        <w:gridCol w:w="109"/>
        <w:gridCol w:w="109"/>
        <w:gridCol w:w="158"/>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Computation of Basic and Diluted Earnings Per Share:</w:t>
            </w:r>
          </w:p>
        </w:tc>
        <w:tc>
          <w:tcPr>
            <w:tcW w:w="55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(amounts presented in thousands, except per share data)</w:t>
            </w:r>
          </w:p>
        </w:tc>
        <w:tc>
          <w:tcPr>
            <w:tcW w:w="267" w:type="dxa"/>
            <w:gridSpan w:val="2"/>
            <w:tcBorders/>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BXP, Inc. </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BXP, Inc. - basic </w:t>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68,564 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88,977 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BXP, Inc. - diluted</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68,564 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88,977 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Weighted average common shares outstanding </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159,167 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158,312 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Stock Based Compensation </w:t>
            </w:r>
            <w:r>
              <w:rPr>
                <w:rFonts w:ascii="Arial;sans-serif" w:hAnsi="Arial;sans-serif"/>
                <w:b w:val="false"/>
                <w:color w:val="000000"/>
                <w:sz w:val="13"/>
              </w:rPr>
              <w:t>(1)</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diluted</w:t>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159,629 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158,795 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BXP, Inc. - basic earnings per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BXP, Inc. - diluted earnings per share</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pPr>
      <w:r>
        <w:rPr>
          <w:rFonts w:ascii="Arial;sans-serif" w:hAnsi="Arial;sans-serif"/>
          <w:b w:val="false"/>
          <w:color w:val="000000"/>
          <w:sz w:val="18"/>
        </w:rPr>
        <w:t xml:space="preserve">(1)During the three and six months ended </w:t>
      </w:r>
      <w:r>
        <w:rPr>
          <w:rFonts w:ascii="Arial;sans-serif" w:hAnsi="Arial;sans-serif"/>
          <w:b w:val="false"/>
          <w:color w:val="000000"/>
          <w:sz w:val="18"/>
          <w:shd w:fill="FFFFFF" w:val="clear"/>
        </w:rPr>
        <w:t xml:space="preserve">June 30, 2026 </w:t>
      </w:r>
      <w:r>
        <w:rPr>
          <w:rFonts w:ascii="Arial;sans-serif" w:hAnsi="Arial;sans-serif"/>
          <w:b w:val="false"/>
          <w:color w:val="000000"/>
          <w:sz w:val="18"/>
        </w:rPr>
        <w:t>and 2025, there were approximately 1,107,247 and 685,436 unvested performance-based restricted common stock and LTIP Units, respectively, that were not included in the computation of diluted earnings per share because to do so would have been antidilutive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420" w:after="100"/>
        <w:jc w:val="left"/>
        <w:rPr>
          <w:rFonts w:ascii="Arial;sans-serif" w:hAnsi="Arial;sans-serif"/>
          <w:b w:val="false"/>
          <w:color w:val="32A7DC"/>
          <w:sz w:val="24"/>
        </w:rPr>
      </w:pPr>
      <w:r>
        <w:rPr>
          <w:rFonts w:ascii="Arial;sans-serif" w:hAnsi="Arial;sans-serif"/>
          <w:b w:val="false"/>
          <w:color w:val="32A7DC"/>
          <w:sz w:val="24"/>
        </w:rPr>
        <w:t>BPLP</w:t>
      </w:r>
    </w:p>
    <w:tbl>
      <w:tblPr>
        <w:tblW w:w="10205" w:type="dxa"/>
        <w:jc w:val="left"/>
        <w:tblInd w:w="0" w:type="dxa"/>
        <w:tblLayout w:type="fixed"/>
        <w:tblCellMar>
          <w:top w:w="28" w:type="dxa"/>
          <w:left w:w="28" w:type="dxa"/>
          <w:bottom w:w="28" w:type="dxa"/>
          <w:right w:w="28" w:type="dxa"/>
        </w:tblCellMar>
      </w:tblPr>
      <w:tblGrid>
        <w:gridCol w:w="1569"/>
        <w:gridCol w:w="1382"/>
        <w:gridCol w:w="1386"/>
        <w:gridCol w:w="212"/>
        <w:gridCol w:w="757"/>
        <w:gridCol w:w="109"/>
        <w:gridCol w:w="109"/>
        <w:gridCol w:w="109"/>
        <w:gridCol w:w="109"/>
        <w:gridCol w:w="212"/>
        <w:gridCol w:w="863"/>
        <w:gridCol w:w="109"/>
        <w:gridCol w:w="109"/>
        <w:gridCol w:w="109"/>
        <w:gridCol w:w="109"/>
        <w:gridCol w:w="211"/>
        <w:gridCol w:w="856"/>
        <w:gridCol w:w="109"/>
        <w:gridCol w:w="109"/>
        <w:gridCol w:w="109"/>
        <w:gridCol w:w="109"/>
        <w:gridCol w:w="211"/>
        <w:gridCol w:w="856"/>
        <w:gridCol w:w="109"/>
        <w:gridCol w:w="109"/>
        <w:gridCol w:w="164"/>
      </w:tblGrid>
      <w:tr>
        <w:trPr/>
        <w:tc>
          <w:tcPr>
            <w:tcW w:w="156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273" w:type="dxa"/>
            <w:gridSpan w:val="2"/>
            <w:tcBorders/>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Computation of Basic and Diluted Earnings Per Unit:</w:t>
            </w:r>
          </w:p>
        </w:tc>
        <w:tc>
          <w:tcPr>
            <w:tcW w:w="55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(amounts presented in thousands, except per unit data)</w:t>
            </w:r>
          </w:p>
        </w:tc>
        <w:tc>
          <w:tcPr>
            <w:tcW w:w="273" w:type="dxa"/>
            <w:gridSpan w:val="2"/>
            <w:tcBorders/>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 - basic</w:t>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 - diluted</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Weighted average common units outstanding </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Allocation of undistributed earnings to participating securities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units outstanding - basic</w:t>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176,474 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Stock Based Compensation </w:t>
            </w:r>
            <w:r>
              <w:rPr>
                <w:rFonts w:ascii="Arial;sans-serif" w:hAnsi="Arial;sans-serif"/>
                <w:b w:val="false"/>
                <w:color w:val="000000"/>
                <w:sz w:val="13"/>
              </w:rPr>
              <w:t>(1)</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units outstanding - diluted</w:t>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 basic earnings per unit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 diluted earnings per unit</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common units included in weighted average common units</w:t>
            </w:r>
          </w:p>
        </w:tc>
        <w:tc>
          <w:tcPr>
            <w:tcW w:w="96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17,307 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pPr>
      <w:r>
        <w:rPr>
          <w:rFonts w:ascii="Arial;sans-serif" w:hAnsi="Arial;sans-serif"/>
          <w:b w:val="false"/>
          <w:color w:val="000000"/>
          <w:sz w:val="18"/>
        </w:rPr>
        <w:t xml:space="preserve">(1)During the three and six months ended </w:t>
      </w:r>
      <w:r>
        <w:rPr>
          <w:rFonts w:ascii="Arial;sans-serif" w:hAnsi="Arial;sans-serif"/>
          <w:b w:val="false"/>
          <w:color w:val="000000"/>
          <w:sz w:val="18"/>
          <w:shd w:fill="FFFFFF" w:val="clear"/>
        </w:rPr>
        <w:t xml:space="preserve">June 30, 2026 </w:t>
      </w:r>
      <w:r>
        <w:rPr>
          <w:rFonts w:ascii="Arial;sans-serif" w:hAnsi="Arial;sans-serif"/>
          <w:b w:val="false"/>
          <w:color w:val="000000"/>
          <w:sz w:val="18"/>
        </w:rPr>
        <w:t xml:space="preserve">and 2025, there were approximately 1,107,247 and 685,436 unvested performance-based restricted common stock and LTIP Units, respectively, that were not included in the computation of diluted earnings per unit because to do so would have been antidilutive for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1A33"/>
          <w:sz w:val="28"/>
        </w:rPr>
      </w:pPr>
      <w:r>
        <w:rPr>
          <w:rFonts w:ascii="Arial;sans-serif" w:hAnsi="Arial;sans-serif"/>
          <w:b w:val="false"/>
          <w:color w:val="001A33"/>
          <w:sz w:val="28"/>
        </w:rPr>
        <w:t xml:space="preserve">13. Stock Option and Incentive Plan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2026 MYLTIP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On February 3, 2026, BXP’s Compensation Committee approved the 2026 Multi-Year Long-Term Incentive Program (the “2026 MYLTIP”) awards under the BXP, Inc. 2021 Stock Incentive Plan (the “2021 Plan”) to certain executive officers of BXP. The 2026 MYLTIP awards consist of three components. Two of the components are each weighted 40% and utilize BXP’s TSR and BXP’s diluted Funds from Operations (“FFO”) per share growth, respectively, over a three-year measurement period as market condition and performance metrics, respectively, and the third component utilizes a leverage ratio as the performance metric. Earned awards will range from zero to a maximum of 458,393 LTIP Units depending on BXP’s performance under the three components, with a target of approximately 229,195 LTIP Units. Under ASC 718 “Compensation – Stock Compensation” (“ASC 718”), the 2026 MYLTIP awards have an aggregate value of approximately $14.6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 xml:space="preserve">2023 MYLTIP Measurement Period Results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shows the results for the 2023 MYLTIP awards (after giving effect to employee separations) at the end of its respective three-year measurement period (Aggregate value is shown in millions):</w:t>
      </w:r>
    </w:p>
    <w:tbl>
      <w:tblPr>
        <w:tblW w:w="10205" w:type="dxa"/>
        <w:jc w:val="left"/>
        <w:tblInd w:w="0" w:type="dxa"/>
        <w:tblLayout w:type="fixed"/>
        <w:tblCellMar>
          <w:top w:w="28" w:type="dxa"/>
          <w:left w:w="28" w:type="dxa"/>
          <w:bottom w:w="28" w:type="dxa"/>
          <w:right w:w="28" w:type="dxa"/>
        </w:tblCellMar>
      </w:tblPr>
      <w:tblGrid>
        <w:gridCol w:w="689"/>
        <w:gridCol w:w="607"/>
        <w:gridCol w:w="610"/>
        <w:gridCol w:w="109"/>
        <w:gridCol w:w="109"/>
        <w:gridCol w:w="109"/>
        <w:gridCol w:w="564"/>
        <w:gridCol w:w="564"/>
        <w:gridCol w:w="565"/>
        <w:gridCol w:w="109"/>
        <w:gridCol w:w="109"/>
        <w:gridCol w:w="109"/>
        <w:gridCol w:w="521"/>
        <w:gridCol w:w="514"/>
        <w:gridCol w:w="1362"/>
        <w:gridCol w:w="109"/>
        <w:gridCol w:w="109"/>
        <w:gridCol w:w="109"/>
        <w:gridCol w:w="411"/>
        <w:gridCol w:w="851"/>
        <w:gridCol w:w="214"/>
        <w:gridCol w:w="109"/>
        <w:gridCol w:w="109"/>
        <w:gridCol w:w="109"/>
        <w:gridCol w:w="428"/>
        <w:gridCol w:w="428"/>
        <w:gridCol w:w="569"/>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Final Payout as a % 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Forfeited Units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 MYLTIP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168,717 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Issuances (Restricted Stock, LTIP Units and MYLTIP Units)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shows information for restricted common stock issued by BXP, Inc. and LTIP Units and 2026 MYLTIP Units that were issued by BPLP during the six months ended June 30, 2026 (Value is shown in millions):</w:t>
      </w:r>
    </w:p>
    <w:tbl>
      <w:tblPr>
        <w:tblW w:w="5503" w:type="dxa"/>
        <w:jc w:val="left"/>
        <w:tblInd w:w="0" w:type="dxa"/>
        <w:tblLayout w:type="fixed"/>
        <w:tblCellMar>
          <w:top w:w="28" w:type="dxa"/>
          <w:left w:w="28" w:type="dxa"/>
          <w:bottom w:w="28" w:type="dxa"/>
          <w:right w:w="28" w:type="dxa"/>
        </w:tblCellMar>
      </w:tblPr>
      <w:tblGrid>
        <w:gridCol w:w="952"/>
        <w:gridCol w:w="840"/>
        <w:gridCol w:w="847"/>
        <w:gridCol w:w="109"/>
        <w:gridCol w:w="109"/>
        <w:gridCol w:w="109"/>
        <w:gridCol w:w="434"/>
        <w:gridCol w:w="434"/>
        <w:gridCol w:w="436"/>
        <w:gridCol w:w="109"/>
        <w:gridCol w:w="109"/>
        <w:gridCol w:w="109"/>
        <w:gridCol w:w="211"/>
        <w:gridCol w:w="541"/>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Issuance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Value </w:t>
            </w:r>
          </w:p>
        </w:tc>
      </w:tr>
      <w:tr>
        <w:trPr/>
        <w:tc>
          <w:tcPr>
            <w:tcW w:w="26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Common Stock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LTIP Units </w:t>
            </w:r>
            <w:r>
              <w:rPr>
                <w:rFonts w:ascii="Arial;sans-serif" w:hAnsi="Arial;sans-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452,750 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2026 MYLTIP Units </w:t>
            </w:r>
            <w:r>
              <w:rPr>
                <w:rFonts w:ascii="Arial;sans-serif" w:hAnsi="Arial;sans-serif"/>
                <w:b w:val="false"/>
                <w:color w:val="000000"/>
                <w:sz w:val="13"/>
              </w:rPr>
              <w:t xml:space="preserve">(2)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458,393 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(1)The value is measured at fair value on the date of grant based on the number of shares granted and the closing price of BXP’s Common Stock on the date of grant as quoted on the New York Stock Exchange.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(2)The grantees paid $0.25 per LTIP Unit and 2026 MYLTIP Unit.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(3)When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LTIP Units granted were valued using a Monte Carlo simulation method model in accordance with the provisions of ASC 718. </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A majority of the grants of restricted common stock and LTIP Units to employees vest in four equal annual installments. Because the 2012 OPP Units, 2025 OPP Units and 2013 - 2026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BXP, Inc.’s Consolidated Balance Sheets and Partners’ Capital in Boston Properties Limited Partnership’s Consolidated Balance Sheets. Aggregate stock-based compensation expense associated with restricted common stock, LTIP Units, OPP Units and MYLTIP Units was approximately $15.5 million and $11.6 million for the three months ended June 30, 2026 and 2025, respectively, and $41.5 million and $34.6 million for the six months ended June 30, 2026 and 2025, respectively. At June 30, 2026, there was (1) an aggregate of approximately $28.9 million of unrecognized compensation expense related to unvested restricted common stock and LTIP Units and (2) an aggregate of approximately $28.3 million of unrecognized compensation expense related to unvested 2024 - 2026 MYLTIP Units and 2025 OPP Units that is expected to be recognized over a weighted-average period of approximately 3.0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pPr>
      <w:r>
        <w:rPr>
          <w:rFonts w:ascii="Arial;sans-serif" w:hAnsi="Arial;sans-serif"/>
          <w:b w:val="false"/>
          <w:color w:val="001A33"/>
          <w:sz w:val="28"/>
        </w:rPr>
        <w:t>14. Subsequent Events</w:t>
      </w:r>
      <w:r>
        <w:rPr>
          <w:color w:val="000000"/>
        </w:rPr>
        <w:t xml:space="preserve"> </w:t>
      </w:r>
    </w:p>
    <w:p>
      <w:pPr>
        <w:pStyle w:val="TextBody"/>
        <w:bidi w:val="0"/>
        <w:spacing w:lineRule="auto" w:line="276" w:before="100" w:after="283"/>
        <w:ind w:left="0" w:right="0" w:firstLine="490"/>
        <w:jc w:val="left"/>
        <w:rPr>
          <w:rFonts w:ascii="Arial;sans-serif" w:hAnsi="Arial;sans-serif"/>
          <w:b w:val="false"/>
          <w:color w:val="000000"/>
          <w:sz w:val="20"/>
        </w:rPr>
      </w:pPr>
      <w:r>
        <w:rPr>
          <w:rFonts w:ascii="Arial;sans-serif" w:hAnsi="Arial;sans-serif"/>
          <w:b w:val="false"/>
          <w:color w:val="000000"/>
          <w:sz w:val="20"/>
        </w:rPr>
        <w:t>On July 28, 2026, the Company entered into a $1.2 billion construction loan for the development of 343 Madison Avenue located in New York City, New York. The loan matures on July 28, 2030 and provides for a one-year extension option, subject to customary conditions. The loan bears interest at a variable rate of Term SOFR plus 2.50% per annum, which may be reduced to Term SOFR plus 2.25% per annum upon the achievement of certain leasing and construction milestones. 343 Madison Avenue is an office development project with approximately 930,000 rentable square feet.</w:t>
      </w:r>
    </w:p>
    <w:p>
      <w:pPr>
        <w:pStyle w:val="TextBody"/>
        <w:bidi w:val="0"/>
        <w:spacing w:lineRule="auto" w:line="288" w:before="180" w:after="283"/>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On August 5, 2026, the Company completed the sale of its leasehold interest and improvements thereon commonly known as Sumner Square to a third party for a gross sale price of $63.0 million. Sumner Square is an approximately 211,000 net rentable square foot office property located in Washington, DC (See Notes 2 and 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left"/>
        <w:rPr>
          <w:rFonts w:ascii="Arial;sans-serif" w:hAnsi="Arial;sans-serif"/>
          <w:b w:val="false"/>
          <w:color w:val="32A7DC"/>
          <w:sz w:val="28"/>
        </w:rPr>
      </w:pPr>
      <w:r>
        <w:rPr>
          <w:rFonts w:ascii="Arial;sans-serif" w:hAnsi="Arial;sans-serif"/>
          <w:b w:val="false"/>
          <w:color w:val="32A7DC"/>
          <w:sz w:val="28"/>
        </w:rPr>
        <w:t>Item 2—Management’s Discussion and Analysis of Financial Condition and Results of Operations.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discussion should be read in conjunction with the financial statements and notes thereto appearing elsewhere in this report.</w:t>
      </w:r>
    </w:p>
    <w:p>
      <w:pPr>
        <w:pStyle w:val="TextBody"/>
        <w:bidi w:val="0"/>
        <w:spacing w:lineRule="auto" w:line="288" w:before="180" w:after="283"/>
        <w:ind w:left="0" w:right="0" w:firstLine="495"/>
        <w:jc w:val="left"/>
        <w:rPr/>
      </w:pPr>
      <w:r>
        <w:rPr>
          <w:rFonts w:ascii="Arial;sans-serif" w:hAnsi="Arial;sans-serif"/>
          <w:b w:val="false"/>
          <w:color w:val="000000"/>
          <w:sz w:val="20"/>
        </w:rPr>
        <w:t xml:space="preserve">This Quarterly Report on Form 10-Q, including the documents incorporated by reference herein, contain forward-looking statements within the meaning of the federal securities laws, Section 27A of the Securities Act of 1933, as amended,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The forward-looking statements are contained principally, but not only, under the captions </w:t>
      </w:r>
      <w:r>
        <w:rPr>
          <w:color w:val="212529"/>
        </w:rPr>
        <w:t>“</w:t>
      </w:r>
      <w:r>
        <w:rPr>
          <w:rFonts w:ascii="Arial;sans-serif" w:hAnsi="Arial;sans-serif"/>
          <w:b w:val="false"/>
          <w:i/>
          <w:color w:val="000000"/>
          <w:sz w:val="20"/>
        </w:rPr>
        <w:t xml:space="preserve">Risk Factors” and “Management’s Discussion and Analysis of Financial Condition and Results of Operations.” </w:t>
      </w:r>
      <w:r>
        <w:rPr>
          <w:rFonts w:ascii="Arial;sans-serif" w:hAnsi="Arial;sans-serif"/>
          <w:b w:val="false"/>
          <w:color w:val="000000"/>
          <w:sz w:val="20"/>
        </w:rPr>
        <w:t>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differ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trends and assumptions at the time they are made, to anticipate future results or trends.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Some of the risks and uncertainties that may cause actual results to differ materially from those expressed or implied by the forward-looking statements include the following risks and uncertainties, among others: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volatile or adverse economic, capital markets and political conditions, including continued inflation, elevated interest rates, supply chain disruptions, policy changes related to tariffs and prolonged government shutdowns or disruptions, which may directly or indirectly impact us, our current clients and our prospective clients, including their demand for office space, and the costs and availability of construction materials and the economic returns on our construction and development activities;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volatile or adverse geopolitical conflicts and dislocations in the credit markets could adversely affect economic conditions and/or restrict our access to cost-effective capital, which could have a material adverse effect on our business opportunities, results of operations and financial condition;</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rPr>
        <w:t>risks associated with the availability and terms of financing, the use of debt to fund acquisitions and developments or refinance existing indebtedness, including the impact of higher interest rates on the cost and/or availability of financing and the use of forward interest rate contracts and derivatives and the effectiveness of such arrangements;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general risks affecting the real estate industry (including, without limitation, the inability to enter into or renew leases on attractive terms, sustained changes in client preferences and space utilization, dependence on clients’ financial condition, and competition from other developers, owners and operators of real estate);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failure to integrate acquisitions and developments successfully;</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20"/>
        </w:rPr>
        <w:t>risks and uncertainties affecting property development and construction;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ability of our joint venture partners to satisfy their obligations;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actual or threatened terrorist attacks;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costs of compliance with the Americans with Disabilities Act and other similar laws;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potential liability for uninsured losses and environmental contamination;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climate change and severe weather events, as well as the regulatory efforts intended to reduce the effects of climate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risks associated with our use of AI and cyber security breaches, incidents and compromises, as well as other significant disruptions of our information technology (IT) networks and related systems, which support our operations and our buildings;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legal proceedings and other claims that could result in substantial monetary damages and other costs;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BXP’s potential failure to qualify as a REIT under the Internal Revenue Code of 1986, as amended (the “Code”);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possible adverse changes in tax and environmental laws;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impact of newly adopted accounting principles on our accounting policies and on period-to-period comparisons of financial results;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possible state and local tax audits;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our dependence on key personnel whose continued service is not guaranteed.</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Investors are also urged to carefully review the disclosures we make concerning these risks and other factors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that may affect our business and operating results, including the risks and uncertainties described in (i) our Annual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Report on Form 10-K for the fiscal year ended December 31, 2025 including those described under the caption</w:t>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Risk Factors,” (ii) our subsequent filings under the Exchange Act and (iii) the risk factors set forth in this Quarterly Report on Form 10-Q in Part II, Item 1A, if any.</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Other sections of this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unduly rely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our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pStyle w:val="TextBody"/>
        <w:bidi w:val="0"/>
        <w:spacing w:lineRule="auto" w:line="288" w:before="180" w:after="100"/>
        <w:jc w:val="left"/>
        <w:rPr>
          <w:rFonts w:ascii="Arial;sans-serif" w:hAnsi="Arial;sans-serif"/>
          <w:b w:val="false"/>
          <w:color w:val="000000"/>
          <w:sz w:val="28"/>
        </w:rPr>
      </w:pPr>
      <w:r>
        <w:rPr>
          <w:rFonts w:ascii="Arial;sans-serif" w:hAnsi="Arial;sans-serif"/>
          <w:b w:val="false"/>
          <w:color w:val="000000"/>
          <w:sz w:val="28"/>
        </w:rPr>
        <w:t>Overview</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BXP is one of the largest publicly traded office REITs (based on total market capitalization as of June 30, 2026) in the United States that develops, owns, and manages primarily premier workplaces. Our properties are concentrated in six gateway markets in the U.S. - Boston, Los Angeles, New York, San Francisco, Seattle and Washington, DC.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We generate revenue and cash primarily by leasing premier workplaces to our clients. We consider premier workplaces to be well-located buildings that are modern structures or have been modernized to compete with newer buildings, are professionally managed and maintained, and offer a number and type of amenities that are in high demand by clients that are focused on the importance of the physical work environment in recruiting and retaining the top-performing employees. As such, these properties attract creditworthy clients and command upper-tier rental rates in their markets. We do not consider the expression “premier workplaces” a classification of our properties in accordance with any standard listing criteria in the real estate industry. We therefore caution investors that our use and definition of “premier workplaces” may be different than the use and definition of similar expressions and traditional classifications that may be used by other companies.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When making leasing decisions, we consider, among other things, the creditworthiness of the client and the industry in which it conducts business, the length of the lease, the rental rate to be paid at inception and throughout the lease term, the amount of any security deposit or letter of credit posted by the client, the costs of tenant improvement allowances, free rent periods and other landlord concessions, anticipated operating expenses and real estate taxes, the date by which we expect to begin revenue recognition for the lease under GAAP, current and anticipated vacancy in our properties and the market overall (including sublease space), current and expected future demand for the space, the impact of other clients’ expansion rights and general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believe our key competitive advantages are our commitments to the office asset class and to our clients as many competitors have divested from the sector, a strong balance sheet with access to capital in the secured and unsecured debt markets and the private and public equity markets, and the high quality of our portfolio of premier workplaces. Our core strategy has always been to develop, acquire and manage premier workplaces in gateway markets with high barriers-to-entry and attractive demand drivers and to focus on executing long-term leases with financially strong clients that are diverse across market sectors. We believe this strategy provides a competitive advantage as our clients are interested in leasing space in vibrant, amenitized and accessible premier workplaces. This interest has accelerated the flight to quality in the office market. Over the past several years, BXP’s experience and performance has diverged from the larger market sentiment, as premier workplaces have outperformed the broader office market consistently and substantially in both rental rates achieved and occupancy. We believe this divergence validates our strategy and differentiates BXP from other office companies.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Premier workplaces in our five traditional central business district (“CBD”) markets (Boston, New York, San Francisco, Seattle and Washington, DC) have consistently outperformed the broader office market in those CBDs on several key metrics, including occupancy, net absorption levels, rental rates and landlord concessions. This outperformance is evident in BXP’s portfolio where we derive approximately 91% of our share of annualized rental obligations from predominantly premier workplaces located in CBDs. We define annualized rental obligations as the monthly contractual base rent (excluding percentage rent and rent abatements) and budgeted reimbursements from clients under existing leases as of June 30, 2026, multiplied by twelve. Our share of annualized rental obligations is calculated as the consolidated amount, plus our share of the amount from our unconsolidated joint ventures (calculated based on our economic percentage ownership interest), less our partners’ share of the amount from our consolidated joint ventures (calculated based on the partners’ economic percentage ownership interest). As of June 30, 2026, our CBD assets were 90.7% occupied and 93.6% leased (including vacant space for which we have signed leases that have not yet commenced in accordance with GAAP).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the weighted-average remaining lease term for (1) our in-place leases, based on square feet, including those signed by our unconsolidated joint ventures but excluding residential units, was approximately 7.7 years, and (2) our 20 largest clients, based on square feet, was approximately 9.4 years. Through year-end 2027, we have relatively low exposure to contractual lease expirations with approximately 4.6% of our share of the square footage of our in-service portfolio expiring.</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second quarter of 2026, BXP continued to successfully execute on the multi-year strategic action plan introduced at our September 2025 Investor Day. The action plan focuses on earnings growth, which we expect will be achieved through a combination of increased occupancy and development deliveries, and reducing leverage through asset sales and retention of cash flow. Our progress reflects steady advancement across these key priorities.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Growth in Funds from Operations (“FFO”) per share depends in large part on the success of our leasing activity and improved occupancy. Leasing momentum remained strong during the second quarter of 2026, as we signed leases for approximately 1.8 million square feet.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second quarter of 2026, we continued to advance our strategic asset sales plan and remain ahead of our original disposition objectives. Since January 1, 2026, we have generated approximately $432 million of net sale proceeds and approximately $1.3 billion since our Investor Conference. In addition, five assets are currently under contract for sale, representing approximately $180 million of expected net proceeds, including approximately $120 million anticipated to close during 2026. We also continue to actively market several additional assets. Based on assets currently under contract and those being marketed, we estimate that net disposition proceeds in 2026 could aggregate up to an additional $440 million by year end. We also continue to evaluate additional capital raising opportunities to further enhance liquidity and funding flexibility.</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Outlook</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Leasing conditions across BXP's portfolio remain constructive, supported by continued demand for premier office assets and improving leasing execution. Activity is increasingly concentrated in BXP’s premier office locations, including Midtown Manhattan, Boston's Back Bay, Reston Town Center, and select San Francisco submarkets, where tightening availability and improving demand are contributing to leasing momentum. At the same time, discussion surrounding the impact of artificial intelligence on office-using employment has become more balanced and constructive, contributing to a more favorable demand backdrop. Collectively, these trends support BXP's view that premier workplaces in gateway markets remain well-positioned to capture evolving tenant demand.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While overall leasing conditions remain favorable, recovery trends continue to differ across markets and property types. Life science leasing demand remains below historical levels, particularly among earlier-stage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companies, and certain markets continue to experience a more measured pace of leasing activity. Additionally, elevated financing costs and broader economic uncertainty continue to influence real estate investment and occupier decision-making.</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Looking ahead, leasing for vacant space in our in-service buildings and coverage of near</w:t>
        <w:noBreakHyphen/>
        <w:t xml:space="preserve">term lease expirations are expected to be the primary drivers of occupancy and revenue growth in our same property portfolio. We have a modest 300,000 square feet of leases expiring prior to December 31, 2026, a strong pipeline of active negotiations, and a meaningful volume totaling 1.1 million square feet of executed leases scheduled to commence this year.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Together, these factors provide increased visibility into continued occupancy improvement and position us ahead of the occupancy trajectory for 2026 outlined at our September 2025 Investor Day, reinforcing our confidence in achieving our stated goals.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the supply side, new office construction has effectively slowed to a halt across most of our markets, which we expect will improve long</w:t>
        <w:noBreakHyphen/>
        <w:t>term supply</w:t>
        <w:noBreakHyphen/>
        <w:t>demand fundamentals and reinforce the relative competitiveness of institutional, well</w:t>
        <w:noBreakHyphen/>
        <w:t>amenitized assets. Capital markets sentiment toward the office sector has continued to improve, as reflected in increasing private market transaction activity and greater availability of both debt and equity capital at more attractive pricing. This backdrop is expected to support our leasing momentum, facilitate orderly execution of strategic asset sales, and enable continued capital recycling initiatives throughout 2026.</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Leasing Activity and Occupancy</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Although all of the markets in which we operate still need consistent incremental absorption to constitute a macro recovery, we continue to see pockets of strength where low availability is driving constructive client behavior. As clients choose financially sound premier workplaces with building owners that are committed to their properties for the long term and are operated by the best property management teams, we expect to continue to be successful in gaining market share.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the second quarter of 2026, we executed 106 leases totaling approximately 1.8 million square feet with a weighted-average lease term of approximately 9.9 years. The amount leased is approximately 129% of our historical 10-year average for the second quarter. Notable signed leases for projects under development include: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an approximately 148,000 square foot lease with McDermott Will &amp; Schulte at 343 Madison Avenue in New York City, New York, bringing the pre-leased percentage of the project to 50%,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an approximately 322,000 square foot lease with Boston Dynamics at Reservoir Place in Waltham, Massachusetts.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At June 30, 2026, BXP’s total in-service portfolio occupancy was 88.4%, an increase of 100 basis points from the first quarter of 2026. Total portfolio leased percentage was 91.3% (including vacant space for which we have signed leases that have not yet commenced revenue recognition in accordance with GAAP), an increase of 40 basis points from the first quarter of 2026. The spread between leased and occupied square footage was 290 basis points, representing approximately 1.3 million square feet of leases yet to commence, of which approximately 85% is expected to commence before year-end 2026.</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An overview of the leasing activity in each of our regions for the three months ended June 30, 2026 is set forth in the table below. Amounts shown are in square feet, except for percentages, and include 100% of the unconsolidated joint venture properties.</w:t>
      </w:r>
    </w:p>
    <w:tbl>
      <w:tblPr>
        <w:tblW w:w="10205" w:type="dxa"/>
        <w:jc w:val="left"/>
        <w:tblInd w:w="0" w:type="dxa"/>
        <w:tblLayout w:type="fixed"/>
        <w:tblCellMar>
          <w:top w:w="28" w:type="dxa"/>
          <w:left w:w="28" w:type="dxa"/>
          <w:bottom w:w="28" w:type="dxa"/>
          <w:right w:w="28" w:type="dxa"/>
        </w:tblCellMar>
      </w:tblPr>
      <w:tblGrid>
        <w:gridCol w:w="558"/>
        <w:gridCol w:w="489"/>
        <w:gridCol w:w="390"/>
        <w:gridCol w:w="109"/>
        <w:gridCol w:w="109"/>
        <w:gridCol w:w="109"/>
        <w:gridCol w:w="488"/>
        <w:gridCol w:w="488"/>
        <w:gridCol w:w="171"/>
        <w:gridCol w:w="109"/>
        <w:gridCol w:w="109"/>
        <w:gridCol w:w="109"/>
        <w:gridCol w:w="719"/>
        <w:gridCol w:w="601"/>
        <w:gridCol w:w="602"/>
        <w:gridCol w:w="109"/>
        <w:gridCol w:w="109"/>
        <w:gridCol w:w="109"/>
        <w:gridCol w:w="546"/>
        <w:gridCol w:w="410"/>
        <w:gridCol w:w="1027"/>
        <w:gridCol w:w="109"/>
        <w:gridCol w:w="109"/>
        <w:gridCol w:w="109"/>
        <w:gridCol w:w="255"/>
        <w:gridCol w:w="256"/>
        <w:gridCol w:w="567"/>
        <w:gridCol w:w="109"/>
        <w:gridCol w:w="109"/>
        <w:gridCol w:w="109"/>
        <w:gridCol w:w="255"/>
        <w:gridCol w:w="256"/>
        <w:gridCol w:w="492"/>
      </w:tblGrid>
      <w:tr>
        <w:trPr/>
        <w:tc>
          <w:tcPr>
            <w:tcW w:w="55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6"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Leases executed </w:t>
            </w: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Second generation space vacant &lt; 2 Years </w:t>
            </w:r>
            <w:r>
              <w:rPr>
                <w:rFonts w:ascii="Arial;sans-serif" w:hAnsi="Arial;sans-serif"/>
                <w:b w:val="false"/>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Change in second generation cash rents, net </w:t>
            </w:r>
            <w:r>
              <w:rPr>
                <w:rFonts w:ascii="Arial;sans-serif" w:hAnsi="Arial;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Leased </w:t>
            </w:r>
            <w:r>
              <w:rPr>
                <w:rFonts w:ascii="Arial;sans-serif" w:hAnsi="Arial;sans-serif"/>
                <w:b w:val="false"/>
                <w:color w:val="000000"/>
                <w:sz w:val="12"/>
              </w:rPr>
              <w:t>(4)</w:t>
            </w:r>
          </w:p>
        </w:tc>
      </w:tr>
      <w:tr>
        <w:trPr/>
        <w:tc>
          <w:tcPr>
            <w:tcW w:w="14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512,847 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177,582 </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23.66 </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 Angeles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3,434 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498,936 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217,885 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19.92 </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Francisco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375,987 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232,441 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Seattle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62,700 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Washington, 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183,799 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 Weighted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1,755,161 </w:t>
            </w:r>
          </w:p>
        </w:tc>
        <w:tc>
          <w:tcPr>
            <w:tcW w:w="1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877,841 </w:t>
            </w:r>
          </w:p>
        </w:tc>
        <w:tc>
          <w:tcPr>
            <w:tcW w:w="60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88.4 </w:t>
            </w:r>
          </w:p>
        </w:tc>
        <w:tc>
          <w:tcPr>
            <w:tcW w:w="5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91.3 </w:t>
            </w:r>
          </w:p>
        </w:tc>
        <w:tc>
          <w:tcPr>
            <w:tcW w:w="49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__________________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(1)Represents leases executed during the three months ended June 30, 2026 for which we either (1) commenced lease revenue recognition in such quarter or (2) will commence lease revenue recognition in subsequent quarters, in accordance with GAAP, and includes leases at properties currently under development/redevelopment.</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(2)Second generation leases are defined as leases for in-service spaces that have previously been leased.</w:t>
      </w:r>
    </w:p>
    <w:p>
      <w:pPr>
        <w:pStyle w:val="TextBody"/>
        <w:bidi w:val="0"/>
        <w:spacing w:lineRule="auto" w:line="288" w:before="100" w:after="283"/>
        <w:ind w:left="0" w:right="0" w:hanging="360"/>
        <w:jc w:val="left"/>
        <w:rPr/>
      </w:pPr>
      <w:r>
        <w:rPr>
          <w:rFonts w:ascii="Arial;sans-serif" w:hAnsi="Arial;sans-serif"/>
          <w:b w:val="false"/>
          <w:color w:val="000000"/>
          <w:sz w:val="18"/>
        </w:rPr>
        <w:t>(3)Represents the increase (decrease) in net rent (gross rent less operating expenses) under the new leases versus expired leases on the 877,841</w:t>
      </w:r>
      <w:r>
        <w:rPr>
          <w:color w:val="000000"/>
          <w:shd w:fill="FFFFFF" w:val="clear"/>
        </w:rPr>
        <w:t xml:space="preserve"> </w:t>
      </w:r>
      <w:r>
        <w:rPr>
          <w:rFonts w:ascii="Arial;sans-serif" w:hAnsi="Arial;sans-serif"/>
          <w:b w:val="false"/>
          <w:color w:val="000000"/>
          <w:sz w:val="18"/>
          <w:shd w:fill="FFFFFF" w:val="clear"/>
        </w:rPr>
        <w:t>square feet of second generation leases that had been occupied within the 24 months preceding the execution of the new leases; excludes leases that management considers temporary because the client is not expected to occupy the space on a long-term basis. The calculation for the increase (decrease) of gross rent is based on current quarter expenses.</w:t>
      </w:r>
    </w:p>
    <w:p>
      <w:pPr>
        <w:pStyle w:val="TextBody"/>
        <w:bidi w:val="0"/>
        <w:spacing w:lineRule="auto" w:line="288" w:before="100" w:after="283"/>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(4)Represents signed leases for which lease revenue recognition has commenced in accordance with GAAP and signed leases for vacant space with future commencement dates.</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details the leasing activity and second generation leasing information for leases executed, including 100% of the unconsolidated joint venture properties, during the three and six months ended June 30, 2026: </w:t>
      </w:r>
    </w:p>
    <w:tbl>
      <w:tblPr>
        <w:tblW w:w="10205" w:type="dxa"/>
        <w:jc w:val="left"/>
        <w:tblInd w:w="0" w:type="dxa"/>
        <w:tblLayout w:type="fixed"/>
        <w:tblCellMar>
          <w:top w:w="28" w:type="dxa"/>
          <w:left w:w="28" w:type="dxa"/>
          <w:bottom w:w="28" w:type="dxa"/>
          <w:right w:w="28" w:type="dxa"/>
        </w:tblCellMar>
      </w:tblPr>
      <w:tblGrid>
        <w:gridCol w:w="1445"/>
        <w:gridCol w:w="1256"/>
        <w:gridCol w:w="1264"/>
        <w:gridCol w:w="109"/>
        <w:gridCol w:w="109"/>
        <w:gridCol w:w="109"/>
        <w:gridCol w:w="991"/>
        <w:gridCol w:w="935"/>
        <w:gridCol w:w="939"/>
        <w:gridCol w:w="109"/>
        <w:gridCol w:w="109"/>
        <w:gridCol w:w="109"/>
        <w:gridCol w:w="838"/>
        <w:gridCol w:w="778"/>
        <w:gridCol w:w="1105"/>
      </w:tblGrid>
      <w:tr>
        <w:trPr/>
        <w:tc>
          <w:tcPr>
            <w:tcW w:w="1445"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(Square Feet)</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 xml:space="preserve">generation leases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551,047 </w:t>
            </w:r>
          </w:p>
        </w:tc>
        <w:tc>
          <w:tcPr>
            <w:tcW w:w="9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745,798 </w:t>
            </w:r>
          </w:p>
        </w:tc>
        <w:tc>
          <w:tcPr>
            <w:tcW w:w="11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w:t>
            </w:r>
            <w:r>
              <w:rPr>
                <w:rFonts w:ascii="Arial;sans-serif" w:hAnsi="Arial;sans-serif"/>
                <w:b w:val="false"/>
                <w:color w:val="000000"/>
                <w:sz w:val="12"/>
              </w:rPr>
              <w:t>nd</w:t>
            </w:r>
            <w:r>
              <w:rPr>
                <w:color w:val="000000"/>
              </w:rPr>
              <w:t xml:space="preserve"> </w:t>
            </w:r>
            <w:r>
              <w:rPr>
                <w:rFonts w:ascii="Arial;sans-serif" w:hAnsi="Arial;sans-serif"/>
                <w:b w:val="false"/>
                <w:color w:val="000000"/>
                <w:sz w:val="18"/>
              </w:rPr>
              <w:t xml:space="preserve">generation leases with new clients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734,967 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1,317,235 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w:t>
            </w:r>
            <w:r>
              <w:rPr>
                <w:rFonts w:ascii="Arial;sans-serif" w:hAnsi="Arial;sans-serif"/>
                <w:b w:val="false"/>
                <w:color w:val="000000"/>
                <w:sz w:val="12"/>
              </w:rPr>
              <w:t>nd</w:t>
            </w:r>
            <w:r>
              <w:rPr>
                <w:color w:val="000000"/>
              </w:rPr>
              <w:t xml:space="preserve"> </w:t>
            </w:r>
            <w:r>
              <w:rPr>
                <w:rFonts w:ascii="Arial;sans-serif" w:hAnsi="Arial;sans-serif"/>
                <w:b w:val="false"/>
                <w:color w:val="000000"/>
                <w:sz w:val="18"/>
              </w:rPr>
              <w:t xml:space="preserve">generation leases renewals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469,147 </w:t>
            </w:r>
          </w:p>
        </w:tc>
        <w:tc>
          <w:tcPr>
            <w:tcW w:w="9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841,020 </w:t>
            </w:r>
          </w:p>
        </w:tc>
        <w:tc>
          <w:tcPr>
            <w:tcW w:w="11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Leases executed during the period, in square feet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1,755,161 </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2,904,053 </w:t>
            </w:r>
          </w:p>
        </w:tc>
        <w:tc>
          <w:tcPr>
            <w:tcW w:w="11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Second generation leasing information</w:t>
            </w:r>
            <w:r>
              <w:rPr>
                <w:rFonts w:ascii="Arial;sans-serif" w:hAnsi="Arial;sans-serif"/>
                <w:b w:val="false"/>
                <w:color w:val="000000"/>
                <w:sz w:val="18"/>
              </w:rPr>
              <w:t xml:space="preserve">: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Months</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Free 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Days</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Transaction Costs Per Square Foot </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$99.12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$109.65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costs per year of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 </w:t>
            </w:r>
          </w:p>
        </w:tc>
        <w:tc>
          <w:tcPr>
            <w:tcW w:w="9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 </w:t>
            </w:r>
          </w:p>
        </w:tc>
        <w:tc>
          <w:tcPr>
            <w:tcW w:w="11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__________________</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(1)First generation leases are defined as leases for development and redevelopment space that have not previously been leased.</w:t>
      </w:r>
    </w:p>
    <w:p>
      <w:pPr>
        <w:pStyle w:val="TextBody"/>
        <w:bidi w:val="0"/>
        <w:spacing w:lineRule="auto" w:line="288" w:before="100" w:after="283"/>
        <w:ind w:left="0" w:right="0" w:hanging="360"/>
        <w:jc w:val="left"/>
        <w:rPr/>
      </w:pPr>
      <w:r>
        <w:rPr>
          <w:rFonts w:ascii="Arial;sans-serif" w:hAnsi="Arial;sans-serif"/>
          <w:b w:val="false"/>
          <w:color w:val="000000"/>
          <w:sz w:val="18"/>
          <w:shd w:fill="FFFFFF" w:val="clear"/>
        </w:rPr>
        <w:t>(2)</w:t>
      </w:r>
      <w:r>
        <w:rPr>
          <w:rFonts w:ascii="Arial;sans-serif" w:hAnsi="Arial;sans-serif"/>
          <w:b w:val="false"/>
          <w:color w:val="000000"/>
          <w:sz w:val="18"/>
        </w:rPr>
        <w:t>Second generation leases are defined as leases for in-service spaces that have previously been leased.</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(3)Represents leases executed during the three months ended June 30, 2026 for which we either (1) commenced lease revenue recognition in such quarter or (2) will commence lease revenue recognition in subsequent quarters, in accordance with GAAP, and includes leases at properties currently under development/redevelopment.</w:t>
      </w:r>
    </w:p>
    <w:p>
      <w:pPr>
        <w:pStyle w:val="TextBody"/>
        <w:bidi w:val="0"/>
        <w:spacing w:lineRule="auto" w:line="288" w:before="100" w:after="283"/>
        <w:ind w:left="0" w:right="0" w:hanging="360"/>
        <w:jc w:val="left"/>
        <w:rPr/>
      </w:pPr>
      <w:r>
        <w:rPr>
          <w:rFonts w:ascii="Arial;sans-serif" w:hAnsi="Arial;sans-serif"/>
          <w:b w:val="false"/>
          <w:color w:val="000000"/>
          <w:sz w:val="18"/>
          <w:shd w:fill="FFFFFF" w:val="clear"/>
        </w:rPr>
        <w:t>(4)Total transaction costs include tenant improvements and leasing commissions but exclude free rent c</w:t>
      </w:r>
      <w:r>
        <w:rPr>
          <w:rFonts w:ascii="Arial;sans-serif" w:hAnsi="Arial;sans-serif"/>
          <w:b w:val="false"/>
          <w:color w:val="000000"/>
          <w:sz w:val="18"/>
        </w:rPr>
        <w:t xml:space="preserve">oncessions and other inducements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280" w:after="283"/>
        <w:ind w:left="0" w:right="0" w:firstLine="450"/>
        <w:jc w:val="left"/>
        <w:rPr>
          <w:rFonts w:ascii="Arial;sans-serif" w:hAnsi="Arial;sans-serif"/>
          <w:b w:val="false"/>
          <w:color w:val="000000"/>
          <w:sz w:val="20"/>
        </w:rPr>
      </w:pPr>
      <w:r>
        <w:rPr>
          <w:rFonts w:ascii="Arial;sans-serif" w:hAnsi="Arial;sans-serif"/>
          <w:b w:val="false"/>
          <w:color w:val="000000"/>
          <w:sz w:val="20"/>
        </w:rPr>
        <w:t>The table below details the vacancy activity in our portfolio, including 100% of the unconsolidated joint venture properties, that commenced revenue recognition during the three and six months ended June 30, 2026:</w:t>
      </w:r>
    </w:p>
    <w:tbl>
      <w:tblPr>
        <w:tblW w:w="10205" w:type="dxa"/>
        <w:jc w:val="left"/>
        <w:tblInd w:w="0" w:type="dxa"/>
        <w:tblLayout w:type="fixed"/>
        <w:tblCellMar>
          <w:top w:w="28" w:type="dxa"/>
          <w:left w:w="28" w:type="dxa"/>
          <w:bottom w:w="28" w:type="dxa"/>
          <w:right w:w="28" w:type="dxa"/>
        </w:tblCellMar>
      </w:tblPr>
      <w:tblGrid>
        <w:gridCol w:w="1685"/>
        <w:gridCol w:w="1436"/>
        <w:gridCol w:w="1445"/>
        <w:gridCol w:w="109"/>
        <w:gridCol w:w="109"/>
        <w:gridCol w:w="109"/>
        <w:gridCol w:w="936"/>
        <w:gridCol w:w="792"/>
        <w:gridCol w:w="796"/>
        <w:gridCol w:w="109"/>
        <w:gridCol w:w="109"/>
        <w:gridCol w:w="109"/>
        <w:gridCol w:w="850"/>
        <w:gridCol w:w="664"/>
        <w:gridCol w:w="947"/>
      </w:tblGrid>
      <w:tr>
        <w:trPr/>
        <w:tc>
          <w:tcPr>
            <w:tcW w:w="168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(Square Feet)</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Vacant space available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5,756,769 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6,342,127 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Vacant space from property dispositions/properties taken out of service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(389,363)</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Vacant space from properties placed (and partially placed) in-service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572,578 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602,862 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Leases expiring or terminated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1,629,883 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3,820,382 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space available for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7,959,230 </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10,376,008 </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 xml:space="preserve">generation leases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775,869 </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896,626 </w:t>
            </w:r>
          </w:p>
        </w:tc>
        <w:tc>
          <w:tcPr>
            <w:tcW w:w="9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w:t>
            </w:r>
            <w:r>
              <w:rPr>
                <w:rFonts w:ascii="Arial;sans-serif" w:hAnsi="Arial;sans-serif"/>
                <w:b w:val="false"/>
                <w:color w:val="000000"/>
                <w:sz w:val="12"/>
              </w:rPr>
              <w:t>nd</w:t>
            </w:r>
            <w:r>
              <w:rPr>
                <w:color w:val="000000"/>
              </w:rPr>
              <w:t xml:space="preserve"> </w:t>
            </w:r>
            <w:r>
              <w:rPr>
                <w:rFonts w:ascii="Arial;sans-serif" w:hAnsi="Arial;sans-serif"/>
                <w:b w:val="false"/>
                <w:color w:val="000000"/>
                <w:sz w:val="18"/>
              </w:rPr>
              <w:t xml:space="preserve">generation leases with new clients </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825,784 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1,619,957 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w:t>
            </w:r>
            <w:r>
              <w:rPr>
                <w:rFonts w:ascii="Arial;sans-serif" w:hAnsi="Arial;sans-serif"/>
                <w:b w:val="false"/>
                <w:color w:val="000000"/>
                <w:sz w:val="12"/>
              </w:rPr>
              <w:t>nd</w:t>
            </w:r>
            <w:r>
              <w:rPr>
                <w:color w:val="000000"/>
              </w:rPr>
              <w:t xml:space="preserve"> </w:t>
            </w:r>
            <w:r>
              <w:rPr>
                <w:rFonts w:ascii="Arial;sans-serif" w:hAnsi="Arial;sans-serif"/>
                <w:b w:val="false"/>
                <w:color w:val="000000"/>
                <w:sz w:val="18"/>
              </w:rPr>
              <w:t xml:space="preserve">generation lease renewals </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970,125 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2,471,973 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leases commenced during the period </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2,571,778 </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4,988,556 </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Vacant space available for lease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5,387,452 </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5,387,452 </w:t>
            </w:r>
          </w:p>
        </w:tc>
        <w:tc>
          <w:tcPr>
            <w:tcW w:w="9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__________________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(1)Total square feet from property dispositions during the six months ended June 30, 2026 consists of 260,762 square feet at Gateway Commons and 79,382 square feet at North First Business Park. Total square feet from properties taken out of service during the six months ended June 30, 2026 consists of 49,219 square feet at Santa Monica Business Park. </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(2)Total square feet from properties placed in service during the three months ended June 30, 2026 consists of 572,578 square feet at 290 Binney Street. Total square feet from properties placed in service during the six months ended June 30, 2026 consists of 572,578 square feet at 290 Binney Street and 30,284 square feet at Reston Next Retail.</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(3)First generation leases are defined as leases for development and redevelopment spaces that have not previously been leased.</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(4)Second generation leases are defined as leases for in-service spaces that have previously been leased.</w:t>
      </w:r>
    </w:p>
    <w:p>
      <w:pPr>
        <w:pStyle w:val="TextBody"/>
        <w:bidi w:val="0"/>
        <w:spacing w:lineRule="auto" w:line="288" w:before="100" w:after="283"/>
        <w:ind w:left="0" w:right="0" w:hanging="360"/>
        <w:jc w:val="left"/>
        <w:rPr>
          <w:rFonts w:ascii="Arial;sans-serif" w:hAnsi="Arial;sans-serif"/>
          <w:b w:val="false"/>
          <w:color w:val="000000"/>
          <w:sz w:val="18"/>
        </w:rPr>
      </w:pPr>
      <w:r>
        <w:rPr>
          <w:rFonts w:ascii="Arial;sans-serif" w:hAnsi="Arial;sans-serif"/>
          <w:b w:val="false"/>
          <w:color w:val="000000"/>
          <w:sz w:val="18"/>
        </w:rPr>
        <w:t>(5)Leases for 296,406 and 598,600 square feet were signed during the three and six months ended June 30, 2026, respectively.</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Investment Activity</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BXP fully placed in-service 290 Binney Street in Cambridge, Massachusetts. 290 Binney Street is a 16-story, 572,578 square foot laboratory/life sciences property that is 100% leased to AstraZeneca.</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BXP commenced the redevelopment of Reservoir Place, an approximately 363,000 square foot project located in Waltham, Massachusetts, that is 89% pre-leased to Boston Dynamics. Boston Dynamics plans to transform the property into a premier center for robotics and AI innovation.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part of BXP’s strategy to use residential entitlements to maximize the value of its land holdings, BXP raised private equity from an institutional investor and formed a joint venture that commenced the development of a 4.7-acre land parcel into a 359-unit multi-family residential project in Herndon, Virginia. BXP has a 20% ownership interest in the joint venture and is serving as the development manager.</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On July 28, 2026, BXP entered into a $1.2 billion construction loan for the development of 343 Madison Avenue in New York City, New York (see Note 14 to the Consolidated Financial Statements). The financing represents a significant milestone in the capitalization of the project and supports its ongoing construction. In addition, the loan significantly reduces BXP's remaining equity requirement to complete its development pipeline from approximately $2.1 billion to approximately $900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000000"/>
          <w:sz w:val="28"/>
        </w:rPr>
      </w:pPr>
      <w:r>
        <w:rPr>
          <w:rFonts w:ascii="Arial;sans-serif" w:hAnsi="Arial;sans-serif"/>
          <w:b w:val="false"/>
          <w:color w:val="000000"/>
          <w:sz w:val="28"/>
        </w:rPr>
        <w:t>Critical Accounting Estimates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Management’s Discussion and Analysis of Financial Condition and Results of Operations discuss our Consolidated Financial Statements, which have been prepared in accordance with GAAP. The preparation of these financial statements in conformity with GAAP requires management to make estimates and assumptions that affect the reported amounts of assets and liabilities and the disclosure of contingent liabilities at the date of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statements and the reported amounts of revenue and expenses during the reporting period. Actual results may differ from those estimates and assumptions.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Our Annual Report on Form 10-K for the year ended December 31, 2025 contains a discussion of our critical accounting estimates. There have been no significant changes in our critical accounting estimates since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000000"/>
          <w:sz w:val="28"/>
        </w:rPr>
      </w:pPr>
      <w:r>
        <w:rPr>
          <w:rFonts w:ascii="Arial;sans-serif" w:hAnsi="Arial;sans-serif"/>
          <w:b w:val="false"/>
          <w:color w:val="000000"/>
          <w:sz w:val="28"/>
        </w:rPr>
        <w:t>Results of Operations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At June 30, 2026 and 2025, we owned or had joint venture interests in a portfolio of 164 and 186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and six months ended June 30, 2026 and 2025 shows separately the changes attributable to the properties that were owned by us and in-service throughout each period compared (the “Same Property Portfolio”) and the changes attributable to the properties included in the Acquired, Placed In-Service, In or Held for Development or Redevelopment or Sold Portfolios.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our analysis of operating results, particularly to make comparisons of Net Operating Income (“NOI”)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NOI is a non-GAAP financial measure equal to net income attributable to BXP, Inc. and net income attributable to Boston Properties Limited Partnership, as applicable, the most directly comparable GAAP financial measures, plus (1) net income attributable to noncontrolling interests, interest expense, loss from early extinguishment of debt, impairment loss, loss on sales-type lease, depreciation and amortization expense, transaction costs, payroll and related costs from management services contracts and corporate general and administrative expense less (2) unrealized gain (loss) on non-real estate investments, gains from investments in securities, interest and other income (loss), gains on sales of real estate, income (loss) from unconsolidated joint ventures,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BXP,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We believe that in order to understand our operating results, NOI should be examined in conjunction with net income attributable to BXP, Inc. and net income attributable to Boston Properties Limited Partnership as presented in our Consolidated Financial Statements. NOI should not be considered as a substitute for net income attributable to BXP,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Gains on sales of real estate, impairment losses and 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impairment losses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depreciation expense upon the sale of these properties. For additional information see the Explanatory Note that immediately follows the cover page of this Quarterly Report on Form 10-Q. </w:t>
      </w:r>
    </w:p>
    <w:p>
      <w:pPr>
        <w:pStyle w:val="TextBody"/>
        <w:bidi w:val="0"/>
        <w:spacing w:lineRule="auto" w:line="288" w:before="180" w:after="100"/>
        <w:jc w:val="left"/>
        <w:rPr>
          <w:rFonts w:ascii="Arial;sans-serif" w:hAnsi="Arial;sans-serif"/>
          <w:b w:val="false"/>
          <w:color w:val="000000"/>
          <w:sz w:val="28"/>
        </w:rPr>
      </w:pPr>
      <w:r>
        <w:rPr>
          <w:rFonts w:ascii="Arial;sans-serif" w:hAnsi="Arial;sans-serif"/>
          <w:b w:val="false"/>
          <w:color w:val="000000"/>
          <w:sz w:val="28"/>
        </w:rPr>
        <w:t xml:space="preserve">Results of Operations for the Six Months Ended June 30, 2026 and 2025 </w:t>
      </w:r>
    </w:p>
    <w:p>
      <w:pPr>
        <w:pStyle w:val="TextBody"/>
        <w:bidi w:val="0"/>
        <w:spacing w:lineRule="auto" w:line="288" w:before="100" w:after="283"/>
        <w:ind w:left="0" w:right="0" w:firstLine="495"/>
        <w:jc w:val="left"/>
        <w:rPr/>
      </w:pPr>
      <w:r>
        <w:rPr>
          <w:rFonts w:ascii="Arial;sans-serif" w:hAnsi="Arial;sans-serif"/>
          <w:b w:val="false"/>
          <w:color w:val="000000"/>
          <w:sz w:val="20"/>
        </w:rPr>
        <w:t>Net income</w:t>
      </w:r>
      <w:r>
        <w:rPr>
          <w:color w:val="000000"/>
          <w:shd w:fill="FFFFFF" w:val="clear"/>
        </w:rPr>
        <w:t xml:space="preserve"> </w:t>
      </w:r>
      <w:r>
        <w:rPr>
          <w:rFonts w:ascii="Arial;sans-serif" w:hAnsi="Arial;sans-serif"/>
          <w:b w:val="false"/>
          <w:color w:val="000000"/>
          <w:sz w:val="20"/>
          <w:shd w:fill="FFFFFF" w:val="clear"/>
        </w:rPr>
        <w:t>attributable to BXP, Inc.</w:t>
      </w:r>
      <w:r>
        <w:rPr>
          <w:color w:val="000000"/>
        </w:rPr>
        <w:t xml:space="preserve"> </w:t>
      </w:r>
      <w:r>
        <w:rPr>
          <w:rFonts w:ascii="Arial;sans-serif" w:hAnsi="Arial;sans-serif"/>
          <w:b w:val="false"/>
          <w:color w:val="000000"/>
          <w:sz w:val="20"/>
        </w:rPr>
        <w:t>and net income attributable to Boston Properties Limited Partnership increased by approximately $20.0 million and $23.4 million, respectively, for the six months ended June 30, 2026 compared to 2025, as set forth in the following tables and for the reasons discussed below under the heading “</w:t>
      </w:r>
      <w:r>
        <w:rPr>
          <w:rFonts w:ascii="Arial;sans-serif" w:hAnsi="Arial;sans-serif"/>
          <w:b w:val="false"/>
          <w:i/>
          <w:color w:val="000000"/>
          <w:sz w:val="20"/>
        </w:rPr>
        <w:t>Comparison of the six months ended June 30, 2026 to the six months ended June 30, 2025”</w:t>
      </w:r>
      <w:r>
        <w:rPr>
          <w:color w:val="000000"/>
        </w:rPr>
        <w:t xml:space="preserve"> </w:t>
      </w:r>
      <w:r>
        <w:rPr>
          <w:rFonts w:ascii="Arial;sans-serif" w:hAnsi="Arial;sans-serif"/>
          <w:b w:val="false"/>
          <w:color w:val="000000"/>
          <w:sz w:val="20"/>
        </w:rPr>
        <w:t xml:space="preserve">within </w:t>
      </w:r>
      <w:r>
        <w:rPr>
          <w:color w:val="000000"/>
        </w:rPr>
        <w:t>“</w:t>
      </w:r>
      <w:r>
        <w:rPr>
          <w:rFonts w:ascii="Arial;sans-serif" w:hAnsi="Arial;sans-serif"/>
          <w:b w:val="false"/>
          <w:i/>
          <w:color w:val="000000"/>
          <w:sz w:val="20"/>
        </w:rPr>
        <w:t>Item 2—Management’s Discussion and Analysis of Financial Condition and Results of Operations.”</w:t>
      </w:r>
    </w:p>
    <w:p>
      <w:pPr>
        <w:pStyle w:val="TextBody"/>
        <w:bidi w:val="0"/>
        <w:spacing w:lineRule="auto" w:line="288" w:before="180" w:after="283"/>
        <w:ind w:left="0" w:right="0" w:firstLine="495"/>
        <w:jc w:val="left"/>
        <w:rPr/>
      </w:pP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following are reconciliations of (1) Net Income Attributable to BXP, Inc. to NOI and (2) Net Income Attributable to Boston Properties Limited Partnership to NOI for the six months ended June 30, 2026 and 2025. For a detailed discussion of NOI, including the reasons management believes NOI is useful to investors, see page 48</w:t>
      </w:r>
      <w:r>
        <w:rPr>
          <w:rFonts w:ascii="Arial;sans-serif" w:hAnsi="Arial;sans-serif"/>
          <w:b w:val="false"/>
          <w:color w:val="000000"/>
          <w:sz w:val="16"/>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BXP</w:t>
      </w:r>
    </w:p>
    <w:tbl>
      <w:tblPr>
        <w:tblW w:w="10205" w:type="dxa"/>
        <w:jc w:val="center"/>
        <w:tblInd w:w="0" w:type="dxa"/>
        <w:tblLayout w:type="fixed"/>
        <w:tblCellMar>
          <w:top w:w="28" w:type="dxa"/>
          <w:left w:w="28" w:type="dxa"/>
          <w:bottom w:w="28" w:type="dxa"/>
          <w:right w:w="28" w:type="dxa"/>
        </w:tblCellMar>
      </w:tblPr>
      <w:tblGrid>
        <w:gridCol w:w="1568"/>
        <w:gridCol w:w="1216"/>
        <w:gridCol w:w="1223"/>
        <w:gridCol w:w="109"/>
        <w:gridCol w:w="109"/>
        <w:gridCol w:w="109"/>
        <w:gridCol w:w="211"/>
        <w:gridCol w:w="976"/>
        <w:gridCol w:w="109"/>
        <w:gridCol w:w="109"/>
        <w:gridCol w:w="109"/>
        <w:gridCol w:w="109"/>
        <w:gridCol w:w="211"/>
        <w:gridCol w:w="976"/>
        <w:gridCol w:w="109"/>
        <w:gridCol w:w="109"/>
        <w:gridCol w:w="109"/>
        <w:gridCol w:w="109"/>
        <w:gridCol w:w="213"/>
        <w:gridCol w:w="728"/>
        <w:gridCol w:w="109"/>
        <w:gridCol w:w="109"/>
        <w:gridCol w:w="109"/>
        <w:gridCol w:w="109"/>
        <w:gridCol w:w="381"/>
        <w:gridCol w:w="381"/>
        <w:gridCol w:w="486"/>
      </w:tblGrid>
      <w:tr>
        <w:trPr/>
        <w:tc>
          <w:tcPr>
            <w:tcW w:w="156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121.65 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from investments in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70.87 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703.42 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(94.04)</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1,044,662 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1,025,878 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BPLP</w:t>
      </w:r>
    </w:p>
    <w:tbl>
      <w:tblPr>
        <w:tblW w:w="10205" w:type="dxa"/>
        <w:jc w:val="left"/>
        <w:tblInd w:w="0" w:type="dxa"/>
        <w:tblLayout w:type="fixed"/>
        <w:tblCellMar>
          <w:top w:w="28" w:type="dxa"/>
          <w:left w:w="28" w:type="dxa"/>
          <w:bottom w:w="28" w:type="dxa"/>
          <w:right w:w="28" w:type="dxa"/>
        </w:tblCellMar>
      </w:tblPr>
      <w:tblGrid>
        <w:gridCol w:w="1562"/>
        <w:gridCol w:w="1219"/>
        <w:gridCol w:w="1227"/>
        <w:gridCol w:w="109"/>
        <w:gridCol w:w="109"/>
        <w:gridCol w:w="109"/>
        <w:gridCol w:w="211"/>
        <w:gridCol w:w="976"/>
        <w:gridCol w:w="109"/>
        <w:gridCol w:w="109"/>
        <w:gridCol w:w="109"/>
        <w:gridCol w:w="109"/>
        <w:gridCol w:w="211"/>
        <w:gridCol w:w="976"/>
        <w:gridCol w:w="109"/>
        <w:gridCol w:w="109"/>
        <w:gridCol w:w="109"/>
        <w:gridCol w:w="109"/>
        <w:gridCol w:w="213"/>
        <w:gridCol w:w="728"/>
        <w:gridCol w:w="109"/>
        <w:gridCol w:w="109"/>
        <w:gridCol w:w="109"/>
        <w:gridCol w:w="109"/>
        <w:gridCol w:w="381"/>
        <w:gridCol w:w="381"/>
        <w:gridCol w:w="485"/>
      </w:tblGrid>
      <w:tr>
        <w:trPr/>
        <w:tc>
          <w:tcPr>
            <w:tcW w:w="156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Attributable to Boston Properties Limited Partnership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14.57 </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sales-type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121.65 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from investments in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703.42 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(94.04)</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1,044,662 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1,025,878 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80" w:after="100"/>
        <w:jc w:val="left"/>
        <w:rPr>
          <w:rFonts w:ascii="Arial;sans-serif" w:hAnsi="Arial;sans-serif"/>
          <w:b w:val="false"/>
          <w:color w:val="000000"/>
          <w:sz w:val="28"/>
          <w:shd w:fill="FFFFFF" w:val="clear"/>
        </w:rPr>
      </w:pPr>
      <w:r>
        <w:rPr>
          <w:rFonts w:ascii="Arial;sans-serif" w:hAnsi="Arial;sans-serif"/>
          <w:b w:val="false"/>
          <w:color w:val="000000"/>
          <w:sz w:val="28"/>
          <w:shd w:fill="FFFFFF" w:val="clear"/>
        </w:rPr>
        <w:t xml:space="preserve">Comparison of the six months ended June 30, 2026 to the six months ended June 30, 2025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table below shows selected operating information for the Same Property Portfolio and the Total Property Portfolio. The Same Property Portfolio consists of 138 properties totaling approximately 40.7 million net rentable square feet, excluding unconsolidated joint ventures. The Same Property Portfolio includes properties acquired or placed in-service on or prior to January 1, 2025 and owned and in service through June 30, 2026. The Total Property Portfolio includes the effects of the other properties either acquired, placed in-service, in or held for development or redevelopment after January 1, 2025 or disposed of on or prior to June 30, 2026. This table includes a reconciliation from the Same Property Portfolio to the Total Property Portfolio by also providing information for the six months ended June 30, 2026 and 2025 with respect to the properties that were acquired, placed in-service, in or held for development or redevelopment, or sold. We did not acquire any properties during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8160" w:type="dxa"/>
        <w:jc w:val="left"/>
        <w:tblInd w:w="0" w:type="dxa"/>
        <w:tblLayout w:type="fixed"/>
        <w:tblCellMar>
          <w:top w:w="28" w:type="dxa"/>
          <w:left w:w="28" w:type="dxa"/>
          <w:bottom w:w="28" w:type="dxa"/>
          <w:right w:w="28" w:type="dxa"/>
        </w:tblCellMar>
      </w:tblPr>
      <w:tblGrid>
        <w:gridCol w:w="360"/>
        <w:gridCol w:w="225"/>
        <w:gridCol w:w="226"/>
        <w:gridCol w:w="181"/>
        <w:gridCol w:w="766"/>
        <w:gridCol w:w="109"/>
        <w:gridCol w:w="109"/>
        <w:gridCol w:w="109"/>
        <w:gridCol w:w="109"/>
        <w:gridCol w:w="181"/>
        <w:gridCol w:w="766"/>
        <w:gridCol w:w="109"/>
        <w:gridCol w:w="109"/>
        <w:gridCol w:w="109"/>
        <w:gridCol w:w="109"/>
        <w:gridCol w:w="181"/>
        <w:gridCol w:w="571"/>
        <w:gridCol w:w="109"/>
        <w:gridCol w:w="109"/>
        <w:gridCol w:w="109"/>
        <w:gridCol w:w="109"/>
        <w:gridCol w:w="344"/>
        <w:gridCol w:w="347"/>
        <w:gridCol w:w="291"/>
        <w:gridCol w:w="109"/>
        <w:gridCol w:w="109"/>
        <w:gridCol w:w="109"/>
        <w:gridCol w:w="109"/>
        <w:gridCol w:w="109"/>
        <w:gridCol w:w="109"/>
        <w:gridCol w:w="109"/>
        <w:gridCol w:w="181"/>
        <w:gridCol w:w="571"/>
        <w:gridCol w:w="109"/>
        <w:gridCol w:w="109"/>
        <w:gridCol w:w="109"/>
        <w:gridCol w:w="109"/>
        <w:gridCol w:w="181"/>
        <w:gridCol w:w="376"/>
        <w:gridCol w:w="109"/>
        <w:gridCol w:w="109"/>
        <w:gridCol w:w="109"/>
        <w:gridCol w:w="109"/>
        <w:gridCol w:w="181"/>
        <w:gridCol w:w="496"/>
        <w:gridCol w:w="109"/>
        <w:gridCol w:w="109"/>
        <w:gridCol w:w="109"/>
        <w:gridCol w:w="109"/>
        <w:gridCol w:w="181"/>
        <w:gridCol w:w="571"/>
        <w:gridCol w:w="109"/>
        <w:gridCol w:w="109"/>
        <w:gridCol w:w="109"/>
        <w:gridCol w:w="109"/>
        <w:gridCol w:w="181"/>
        <w:gridCol w:w="376"/>
        <w:gridCol w:w="109"/>
        <w:gridCol w:w="109"/>
        <w:gridCol w:w="109"/>
        <w:gridCol w:w="109"/>
        <w:gridCol w:w="181"/>
        <w:gridCol w:w="571"/>
        <w:gridCol w:w="109"/>
        <w:gridCol w:w="327"/>
        <w:gridCol w:w="181"/>
        <w:gridCol w:w="766"/>
        <w:gridCol w:w="109"/>
        <w:gridCol w:w="327"/>
        <w:gridCol w:w="181"/>
        <w:gridCol w:w="766"/>
        <w:gridCol w:w="109"/>
        <w:gridCol w:w="327"/>
        <w:gridCol w:w="181"/>
        <w:gridCol w:w="571"/>
        <w:gridCol w:w="109"/>
        <w:gridCol w:w="327"/>
        <w:gridCol w:w="691"/>
        <w:gridCol w:w="342"/>
      </w:tblGrid>
      <w:tr>
        <w:trPr/>
        <w:tc>
          <w:tcPr>
            <w:tcW w:w="3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Same Property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w:t>
              <w:br/>
              <w:t>Placed In-Service</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in or Held for Development or Redevelopment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Sold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Property Portfolio</w:t>
            </w:r>
          </w:p>
        </w:tc>
        <w:tc>
          <w:tcPr>
            <w:tcW w:w="1360"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1" w:type="dxa"/>
            <w:gridSpan w:val="7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(dollars in thousands)</w:t>
            </w:r>
          </w:p>
        </w:tc>
        <w:tc>
          <w:tcPr>
            <w:tcW w:w="2548" w:type="dxa"/>
            <w:gridSpan w:val="12"/>
            <w:tcBorders/>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Rental Revenue: </w:t>
            </w:r>
            <w:r>
              <w:rPr>
                <w:rFonts w:ascii="Arial;sans-serif" w:hAnsi="Arial;sans-serif"/>
                <w:b w:val="false"/>
                <w:color w:val="000000"/>
                <w:sz w:val="9"/>
              </w:rPr>
              <w:t>(1)</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 (Excluding Termination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1,598,565 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Termination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1,842.43 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1,254.33 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1,614,221 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1,562,620 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1,642,060 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1,592,792 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Parking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6.45 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Total Rental Revenue </w:t>
            </w:r>
            <w:r>
              <w:rPr>
                <w:rFonts w:ascii="Arial;sans-serif" w:hAnsi="Arial;sans-serif"/>
                <w:b w:val="false"/>
                <w:color w:val="000000"/>
                <w:sz w:val="9"/>
              </w:rPr>
              <w:t>(1)</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1,681,203 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1,625,546 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1,710,099 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1,657,198 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Operating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660,904 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4.55 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Operating Income (Loss), Excluding Residential and Hotel </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1,020,299 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993,416 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1,034,092 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1,006,033 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4"/>
              </w:rPr>
              <w:t>Residential Net Operating Income</w:t>
            </w:r>
            <w:r>
              <w:rPr>
                <w:color w:val="000000"/>
              </w:rPr>
              <w:t xml:space="preserve"> </w:t>
            </w:r>
            <w:r>
              <w:rPr>
                <w:rFonts w:ascii="Arial;sans-serif" w:hAnsi="Arial;sans-serif"/>
                <w:b w:val="false"/>
                <w:color w:val="000000"/>
                <w:sz w:val="9"/>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87.94 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(68.41)</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4"/>
              </w:rPr>
              <w:t xml:space="preserve">Hotel Net Operating Income </w:t>
            </w:r>
            <w:r>
              <w:rPr>
                <w:rFonts w:ascii="Arial;sans-serif" w:hAnsi="Arial;sans-serif"/>
                <w:b w:val="false"/>
                <w:color w:val="000000"/>
                <w:sz w:val="9"/>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(10.60)</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Operating Income (Loss)</w:t>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1,030,549 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1,002,771 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27,778 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2.77 </w:t>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18,149 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(4,913)</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6,140 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17,303 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1,044,662 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1,025,878 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18,784 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1.83 </w:t>
            </w:r>
          </w:p>
        </w:tc>
        <w:tc>
          <w:tcPr>
            <w:tcW w:w="3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 investors with information regarding our performance that is not immediately apparent from the most directly comparable GAAP measures and allows investors to compare operating performance between periods.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(2)For a detailed discussion of NOI, including the reasons management believes NOI is useful to investors, see page 48. Residential Net Operating Income for the six months ended June 30, 2026 and 2025 is comprised of Residential Revenue of $8,135 and $24,880 less Residential Expenses of $4,216 and $12,475, respectively. Hotel Net Operating Income for the six months ended June 30, 2026 and 2025 is comprised of Hotel Revenue of $24,002 and $24,370 less Hotel Expenses of $17,351 and $16,930, respectively, per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Same Property Portfolio</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Lease Revenue (Excluding Termination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Lease revenue (excluding termination income) from the Same Property Portfolio increased by approximately $36.8 million for the six months ended June 30, 2026 compared to 2025. The increase was a result of our average revenue per square foot increasing by approximately $1.08, contributing approximately $19.5 million, and our average occupancy increasing from 88.1% to 89.1%, contributing approximately $17.3 million.</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Termination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increased by approximately $14.9 million for the six months ended June 30, 2026 compared to 2025.</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for the six months ended June 30, 2026 and 2025 related to 18 and three clients, respectively, across the Same Property Portfolio and totaled approximately $15.7 million and $0.8 million, respectively.</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Parking and Other Revenue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Parking and other revenue increased by approximately $4.1 million for the six months ended June 30, 2026 compared to 2025. Parking and other revenue increased by approximately $3.4 million and $0.7 million, respectively. The increase in parking revenue was primarily due to an increase in monthly parking. The increase in other revenue was primarily associated with an increase in insurance proceeds.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Real Estate Operating Expenses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Real estate operating expenses from the Same Property Portfolio increased by approximately $28.8 million, or 4.6%, for the six months ended June 30, 2026 compared to 2025. </w:t>
      </w:r>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Properties Placed In-Service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that were placed in-service or partially placed in-service between January 1, 2025 and June 30, 2026. </w:t>
      </w:r>
    </w:p>
    <w:tbl>
      <w:tblPr>
        <w:tblW w:w="11924"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85"/>
        <w:gridCol w:w="285"/>
        <w:gridCol w:w="286"/>
        <w:gridCol w:w="109"/>
        <w:gridCol w:w="109"/>
        <w:gridCol w:w="109"/>
        <w:gridCol w:w="470"/>
        <w:gridCol w:w="470"/>
        <w:gridCol w:w="471"/>
        <w:gridCol w:w="109"/>
        <w:gridCol w:w="109"/>
        <w:gridCol w:w="109"/>
        <w:gridCol w:w="374"/>
        <w:gridCol w:w="362"/>
        <w:gridCol w:w="211"/>
        <w:gridCol w:w="109"/>
        <w:gridCol w:w="109"/>
        <w:gridCol w:w="109"/>
        <w:gridCol w:w="196"/>
        <w:gridCol w:w="646"/>
        <w:gridCol w:w="109"/>
        <w:gridCol w:w="109"/>
        <w:gridCol w:w="109"/>
        <w:gridCol w:w="109"/>
        <w:gridCol w:w="196"/>
        <w:gridCol w:w="421"/>
        <w:gridCol w:w="109"/>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Quarter Initially Placed In-Service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Quarter Fully Placed In-Service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6"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(dollars in thousands)</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Reston Next Office Phase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6"/>
              </w:rPr>
            </w:pPr>
            <w:r>
              <w:rPr>
                <w:rFonts w:ascii="Arial;sans-serif" w:hAnsi="Arial;sans-serif"/>
                <w:b w:val="false"/>
                <w:color w:val="000000"/>
                <w:sz w:val="16"/>
              </w:rPr>
              <w:t>Reston Next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1050 Winter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290 Binney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572,578 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851,765 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Properties in or Held for Development or Redevelopment Portfolio</w:t>
      </w:r>
    </w:p>
    <w:p>
      <w:pPr>
        <w:pStyle w:val="TextBody"/>
        <w:bidi w:val="0"/>
        <w:spacing w:lineRule="auto" w:line="288" w:before="180" w:after="10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that were in or held for development or redevelopment between January 1, 2025 and June 30, 2026. </w:t>
      </w:r>
    </w:p>
    <w:tbl>
      <w:tblPr>
        <w:tblW w:w="11975" w:type="dxa"/>
        <w:jc w:val="left"/>
        <w:tblInd w:w="0" w:type="dxa"/>
        <w:tblLayout w:type="fixed"/>
        <w:tblCellMar>
          <w:top w:w="28" w:type="dxa"/>
          <w:left w:w="28" w:type="dxa"/>
          <w:bottom w:w="28" w:type="dxa"/>
          <w:right w:w="28" w:type="dxa"/>
        </w:tblCellMar>
      </w:tblPr>
      <w:tblGrid>
        <w:gridCol w:w="609"/>
        <w:gridCol w:w="377"/>
        <w:gridCol w:w="380"/>
        <w:gridCol w:w="109"/>
        <w:gridCol w:w="109"/>
        <w:gridCol w:w="109"/>
        <w:gridCol w:w="445"/>
        <w:gridCol w:w="445"/>
        <w:gridCol w:w="446"/>
        <w:gridCol w:w="109"/>
        <w:gridCol w:w="109"/>
        <w:gridCol w:w="109"/>
        <w:gridCol w:w="435"/>
        <w:gridCol w:w="436"/>
        <w:gridCol w:w="211"/>
        <w:gridCol w:w="109"/>
        <w:gridCol w:w="109"/>
        <w:gridCol w:w="109"/>
        <w:gridCol w:w="196"/>
        <w:gridCol w:w="556"/>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436"/>
        <w:gridCol w:w="109"/>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Commenced Held for Development / Redevelopment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u w:val="single"/>
              </w:rPr>
              <w:t xml:space="preserve">Held for Development or Redevelopment </w:t>
            </w:r>
            <w:r>
              <w:rPr>
                <w:rFonts w:ascii="Arial;sans-serif" w:hAnsi="Arial;sans-serif"/>
                <w:b/>
                <w:color w:val="000000"/>
                <w:sz w:val="10"/>
                <w:u w:val="single"/>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Lexington Office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1000 &amp; 1100 Winter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Kingstowne 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3"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Santa Monica Business Park </w:t>
            </w:r>
            <w:r>
              <w:rPr>
                <w:rFonts w:ascii="Arial;sans-serif" w:hAnsi="Arial;sans-serif"/>
                <w:b w:val="false"/>
                <w:color w:val="000000"/>
                <w:sz w:val="10"/>
              </w:rPr>
              <w:t>(2)</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1,148,000 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Reservoir Place </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363,000 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1,511,000 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 xml:space="preserve">These properties are no longer considered “in-service” because each property’s occupied percentage is less than 50% and we anticipate a future development/redevelopment of the property. A property will be considered held for development or redevelopment until the last client has vacated the property and the property is no longer revenue producing.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(2)This portion of Santa Monica Business Park is comprised of two buildings, 2850 Ocean Park and 2800 28th Street.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(3)Reservoir Place is an approximately 528,000 square foot office building, of which approximately 165,000 square feet remains in-service. Reservoir Place commenced redevelopment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Properties Sold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we sold between January 1, 2025 and June 30, 2026. </w:t>
      </w:r>
    </w:p>
    <w:tbl>
      <w:tblPr>
        <w:tblW w:w="11251" w:type="dxa"/>
        <w:jc w:val="left"/>
        <w:tblInd w:w="0" w:type="dxa"/>
        <w:tblLayout w:type="fixed"/>
        <w:tblCellMar>
          <w:top w:w="28" w:type="dxa"/>
          <w:left w:w="28" w:type="dxa"/>
          <w:bottom w:w="28" w:type="dxa"/>
          <w:right w:w="28" w:type="dxa"/>
        </w:tblCellMar>
      </w:tblPr>
      <w:tblGrid>
        <w:gridCol w:w="765"/>
        <w:gridCol w:w="224"/>
        <w:gridCol w:w="227"/>
        <w:gridCol w:w="109"/>
        <w:gridCol w:w="109"/>
        <w:gridCol w:w="109"/>
        <w:gridCol w:w="459"/>
        <w:gridCol w:w="266"/>
        <w:gridCol w:w="146"/>
        <w:gridCol w:w="109"/>
        <w:gridCol w:w="109"/>
        <w:gridCol w:w="109"/>
        <w:gridCol w:w="462"/>
        <w:gridCol w:w="409"/>
        <w:gridCol w:w="211"/>
        <w:gridCol w:w="109"/>
        <w:gridCol w:w="109"/>
        <w:gridCol w:w="109"/>
        <w:gridCol w:w="196"/>
        <w:gridCol w:w="556"/>
        <w:gridCol w:w="109"/>
        <w:gridCol w:w="109"/>
        <w:gridCol w:w="109"/>
        <w:gridCol w:w="109"/>
        <w:gridCol w:w="196"/>
        <w:gridCol w:w="646"/>
        <w:gridCol w:w="109"/>
        <w:gridCol w:w="109"/>
        <w:gridCol w:w="109"/>
        <w:gridCol w:w="109"/>
        <w:gridCol w:w="196"/>
        <w:gridCol w:w="661"/>
        <w:gridCol w:w="109"/>
        <w:gridCol w:w="109"/>
        <w:gridCol w:w="109"/>
        <w:gridCol w:w="109"/>
        <w:gridCol w:w="196"/>
        <w:gridCol w:w="421"/>
        <w:gridCol w:w="109"/>
        <w:gridCol w:w="109"/>
        <w:gridCol w:w="109"/>
        <w:gridCol w:w="109"/>
        <w:gridCol w:w="196"/>
        <w:gridCol w:w="646"/>
        <w:gridCol w:w="109"/>
        <w:gridCol w:w="109"/>
        <w:gridCol w:w="109"/>
        <w:gridCol w:w="109"/>
        <w:gridCol w:w="196"/>
        <w:gridCol w:w="66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Square Feet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17 Hartwell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Almaden Boulevard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October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Parcels at Broad Run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3625 Peterson 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North First Business Park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Shady Grove Parcel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221,000 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Proto Kendall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Signature at Reston Town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517,800 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Lofts at Atlantic Wharf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771,500 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Non-Strategic Office /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140 Kendrick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409,200 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Kingstowne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17,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Non-Strategic Office /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497,500 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1,490,000 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Rental revenue for the six months ended June 30, 2025 includes approximately $0.4 million of termination income.</w:t>
      </w:r>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Residential Net Operating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Net operating income for our residential same property increased by approximately $1.7 million for the six months ended June 30, 2026 compared to 2025.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reflects our occupancy and rental rate information, by region, for our residential same property for the six months ended June 30, 2026 and 2025. </w:t>
      </w:r>
    </w:p>
    <w:tbl>
      <w:tblPr>
        <w:tblW w:w="11048" w:type="dxa"/>
        <w:jc w:val="left"/>
        <w:tblInd w:w="0" w:type="dxa"/>
        <w:tblLayout w:type="fixed"/>
        <w:tblCellMar>
          <w:top w:w="28" w:type="dxa"/>
          <w:left w:w="28" w:type="dxa"/>
          <w:bottom w:w="28" w:type="dxa"/>
          <w:right w:w="28" w:type="dxa"/>
        </w:tblCellMar>
      </w:tblPr>
      <w:tblGrid>
        <w:gridCol w:w="309"/>
        <w:gridCol w:w="272"/>
        <w:gridCol w:w="275"/>
        <w:gridCol w:w="109"/>
        <w:gridCol w:w="109"/>
        <w:gridCol w:w="109"/>
        <w:gridCol w:w="196"/>
        <w:gridCol w:w="556"/>
        <w:gridCol w:w="109"/>
        <w:gridCol w:w="196"/>
        <w:gridCol w:w="556"/>
        <w:gridCol w:w="109"/>
        <w:gridCol w:w="214"/>
        <w:gridCol w:w="162"/>
        <w:gridCol w:w="357"/>
        <w:gridCol w:w="109"/>
        <w:gridCol w:w="109"/>
        <w:gridCol w:w="109"/>
        <w:gridCol w:w="196"/>
        <w:gridCol w:w="466"/>
        <w:gridCol w:w="109"/>
        <w:gridCol w:w="196"/>
        <w:gridCol w:w="466"/>
        <w:gridCol w:w="109"/>
        <w:gridCol w:w="193"/>
        <w:gridCol w:w="193"/>
        <w:gridCol w:w="275"/>
        <w:gridCol w:w="109"/>
        <w:gridCol w:w="109"/>
        <w:gridCol w:w="109"/>
        <w:gridCol w:w="233"/>
        <w:gridCol w:w="233"/>
        <w:gridCol w:w="256"/>
        <w:gridCol w:w="233"/>
        <w:gridCol w:w="233"/>
        <w:gridCol w:w="256"/>
        <w:gridCol w:w="188"/>
        <w:gridCol w:w="188"/>
        <w:gridCol w:w="285"/>
        <w:gridCol w:w="109"/>
        <w:gridCol w:w="109"/>
        <w:gridCol w:w="109"/>
        <w:gridCol w:w="233"/>
        <w:gridCol w:w="233"/>
        <w:gridCol w:w="256"/>
        <w:gridCol w:w="233"/>
        <w:gridCol w:w="233"/>
        <w:gridCol w:w="256"/>
        <w:gridCol w:w="204"/>
        <w:gridCol w:w="172"/>
        <w:gridCol w:w="301"/>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 xml:space="preserve">Average Monthly Rental Rate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Rental Rate Per Occupied Square Foot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Average Physical Occupancy</w:t>
            </w:r>
            <w:r>
              <w:rPr>
                <w:color w:val="000000"/>
              </w:rPr>
              <w:t xml:space="preserve">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Average Economic Occupancy</w:t>
            </w:r>
            <w:r>
              <w:rPr>
                <w:color w:val="000000"/>
              </w:rPr>
              <w:t xml:space="preserve"> </w:t>
            </w:r>
            <w:r>
              <w:rPr>
                <w:rFonts w:ascii="Arial;sans-serif" w:hAnsi="Arial;sans-serif"/>
                <w:b/>
                <w:color w:val="000000"/>
                <w:sz w:val="10"/>
              </w:rPr>
              <w:t>(3)</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7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Change (%)</w:t>
            </w:r>
          </w:p>
        </w:tc>
      </w:tr>
      <w:tr>
        <w:trPr/>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Francisco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(1)Average Monthly Rental Rate is calculated as the average of the quotients obtained by dividing (A) rental revenue as determined in accordance with GAAP, by (B) the number of occupied units for each month within the applicable fiscal period.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(2)Average Physical Occupancy is defined as (1) the average number of occupied units divided by (2) the total number of units, expressed as a percentage.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(3)Average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region as reported by others may vary materially from Market Rents used by us. Market Rents for a period are based on the average Market Rents during that period and do not reflect any impact for cash concessions.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 xml:space="preserve">Hotel Net Operating Income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Boston Marriott Cambridge hotel had net operating income of approximately $6.7 million for the six months ended June 30, 2026, representing a decrease of approximately $0.8 million compared to the six months ended June 30, 2025, which was partially attributable to an increase in operating expenses.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reflects our occupancy and rate information for the Boston Marriott Cambridge hotel for the six months ended June 30, 2026 and 2025.</w:t>
      </w:r>
    </w:p>
    <w:tbl>
      <w:tblPr>
        <w:tblW w:w="6258" w:type="dxa"/>
        <w:jc w:val="left"/>
        <w:tblInd w:w="0" w:type="dxa"/>
        <w:tblLayout w:type="fixed"/>
        <w:tblCellMar>
          <w:top w:w="28" w:type="dxa"/>
          <w:left w:w="28" w:type="dxa"/>
          <w:bottom w:w="28" w:type="dxa"/>
          <w:right w:w="28" w:type="dxa"/>
        </w:tblCellMar>
      </w:tblPr>
      <w:tblGrid>
        <w:gridCol w:w="613"/>
        <w:gridCol w:w="540"/>
        <w:gridCol w:w="541"/>
        <w:gridCol w:w="109"/>
        <w:gridCol w:w="109"/>
        <w:gridCol w:w="109"/>
        <w:gridCol w:w="211"/>
        <w:gridCol w:w="751"/>
        <w:gridCol w:w="286"/>
        <w:gridCol w:w="109"/>
        <w:gridCol w:w="109"/>
        <w:gridCol w:w="109"/>
        <w:gridCol w:w="211"/>
        <w:gridCol w:w="751"/>
        <w:gridCol w:w="286"/>
        <w:gridCol w:w="109"/>
        <w:gridCol w:w="109"/>
        <w:gridCol w:w="109"/>
        <w:gridCol w:w="218"/>
        <w:gridCol w:w="218"/>
        <w:gridCol w:w="651"/>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daily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Other Operating Revenue and Expense Items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Development and Management Services Revenue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Development and management services revenue decreased by approximately $1.8 million for the six months ended June 30, 2026 compared to 2025. Management services revenue and development services revenue decreased by approximately $1.6 million and $0.2 million, respectively. The decrease in management services revenue is primarily related to a leasing commission earned from an unconsolidated joint venture in the New York region in 2025 that did not recur in 2026.</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General and Administrative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General and administrative expense increased by approximately $15.0 million for the six months ended June 30, 2026 compared to 2025 primarily due to increases in compensation expense and other general and administrative expenses of approximately $13.6 million and $1.4 million, respectively. The increase in compensation expense includes an approximately $5.8 million non-cash increase related to the December 2025 issuance of the 2025 Outperformance Plan Awards (“2025 OPP Units”) and an approximately $1.6 million increase in the value of our deferred compensation plan.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Wages directly related to the development of rental properties are capitalized and included in real estate assets on our Consolidated Balance Sheets and amortized over the useful lives of the applicable asset or lease term. Capitalized wages for each of the six months ended June 30, 2026 and 2025 were approximately $8.6 million and $9.2 million, respectively. These costs are not included in the general and administrative expenses discussed above.</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Transaction Costs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Transaction costs decreased by approximately $1.1 million for the six months ended June 30, 2026 compared to 2025. In general, transaction costs relating to the formation of new joint ventures and the pursuit of other transactions are expensed as incurred.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Depreciation and Amortization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Depreciation and amortization expense increased by approximately $21.0 million and $21.1 million for the six months ended June 30, 2026 compared to 2025, for BXP and BPLP, respectively, as detailed below (in thousands).</w:t>
      </w:r>
    </w:p>
    <w:tbl>
      <w:tblPr>
        <w:tblW w:w="10324" w:type="dxa"/>
        <w:jc w:val="left"/>
        <w:tblInd w:w="0" w:type="dxa"/>
        <w:tblLayout w:type="fixed"/>
        <w:tblCellMar>
          <w:top w:w="28" w:type="dxa"/>
          <w:left w:w="28" w:type="dxa"/>
          <w:bottom w:w="28" w:type="dxa"/>
          <w:right w:w="28" w:type="dxa"/>
        </w:tblCellMar>
      </w:tblPr>
      <w:tblGrid>
        <w:gridCol w:w="924"/>
        <w:gridCol w:w="272"/>
        <w:gridCol w:w="275"/>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Portfolio</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BPLP</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847" w:type="dxa"/>
            <w:gridSpan w:val="24"/>
            <w:tcBorders/>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Same Property Portfolio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Properties Placed In-Service Portfolio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in or Held for Development or Redevelopment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Sold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464,944 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440,520 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Direct Reimbursements of Payroll and Related Costs From Management Services Contracts and Payroll and Related Costs From Management Service Contracts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Other Income and Expense Items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Income (Loss) from Unconsolidated Joint Ventures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the six months ended June 30, 2026 compared to 2025, income (loss) from unconsolidated joint ventures increased by approximately $38.4 million primarily due to approximately $42.4 million from gains on sales related to three transactions during the six months ended June 30, 2026 (See Note 5 to the Consolidated Financial Statements).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Gains on Sales of Real Estate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Gains on sales of real estate increased by approximately $2.0 million and $1.9 million for the six months ended June 30, 2026 compared to 2025, for BXP and BPLP, respectively, as detailed below. For additional information on the sales that occurred during the six months ended June 30, 2026, refer to Note 3 to the Consolidated Financial Statements. </w:t>
      </w:r>
    </w:p>
    <w:tbl>
      <w:tblPr>
        <w:tblW w:w="9926" w:type="dxa"/>
        <w:jc w:val="left"/>
        <w:tblInd w:w="0" w:type="dxa"/>
        <w:tblLayout w:type="fixed"/>
        <w:tblCellMar>
          <w:top w:w="28" w:type="dxa"/>
          <w:left w:w="28" w:type="dxa"/>
          <w:bottom w:w="28" w:type="dxa"/>
          <w:right w:w="28" w:type="dxa"/>
        </w:tblCellMar>
      </w:tblPr>
      <w:tblGrid>
        <w:gridCol w:w="612"/>
        <w:gridCol w:w="539"/>
        <w:gridCol w:w="543"/>
        <w:gridCol w:w="213"/>
        <w:gridCol w:w="213"/>
        <w:gridCol w:w="213"/>
        <w:gridCol w:w="369"/>
        <w:gridCol w:w="369"/>
        <w:gridCol w:w="371"/>
        <w:gridCol w:w="109"/>
        <w:gridCol w:w="109"/>
        <w:gridCol w:w="109"/>
        <w:gridCol w:w="459"/>
        <w:gridCol w:w="459"/>
        <w:gridCol w:w="461"/>
        <w:gridCol w:w="109"/>
        <w:gridCol w:w="109"/>
        <w:gridCol w:w="109"/>
        <w:gridCol w:w="368"/>
        <w:gridCol w:w="368"/>
        <w:gridCol w:w="351"/>
        <w:gridCol w:w="109"/>
        <w:gridCol w:w="109"/>
        <w:gridCol w:w="109"/>
        <w:gridCol w:w="109"/>
        <w:gridCol w:w="109"/>
        <w:gridCol w:w="436"/>
        <w:gridCol w:w="109"/>
        <w:gridCol w:w="196"/>
        <w:gridCol w:w="646"/>
        <w:gridCol w:w="109"/>
        <w:gridCol w:w="109"/>
        <w:gridCol w:w="109"/>
        <w:gridCol w:w="109"/>
        <w:gridCol w:w="196"/>
        <w:gridCol w:w="64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Gain (Loss) on Sale </w:t>
            </w:r>
            <w:r>
              <w:rPr>
                <w:rFonts w:ascii="Arial;sans-serif" w:hAnsi="Arial;sans-serif"/>
                <w:b/>
                <w:color w:val="000000"/>
                <w:sz w:val="10"/>
              </w:rPr>
              <w:t>(1)</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BXP</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BPLP</w:t>
            </w:r>
          </w:p>
        </w:tc>
        <w:tc>
          <w:tcPr>
            <w:tcW w:w="1323" w:type="dxa"/>
            <w:gridSpan w:val="6"/>
            <w:tcBorders/>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2026</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Land:</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North First Business Park</w:t>
            </w:r>
            <w:r>
              <w:rPr>
                <w:color w:val="000000"/>
              </w:rPr>
              <w:t xml:space="preserve"> </w:t>
            </w:r>
            <w:r>
              <w:rPr>
                <w:rFonts w:ascii="Arial;sans-serif" w:hAnsi="Arial;sans-serif"/>
                <w:b w:val="false"/>
                <w:color w:val="000000"/>
                <w:sz w:val="10"/>
              </w:rPr>
              <w:t>(2)</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Jose,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Shady Grove Parcel 1 </w:t>
            </w:r>
            <w:r>
              <w:rPr>
                <w:rFonts w:ascii="Arial;sans-serif" w:hAnsi="Arial;sans-serif"/>
                <w:b w:val="false"/>
                <w:color w:val="000000"/>
                <w:sz w:val="10"/>
              </w:rPr>
              <w:t xml:space="preserve">(2)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Rockville,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Residential:</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The Lofts at Atlantic Wharf </w:t>
            </w:r>
            <w:r>
              <w:rPr>
                <w:rFonts w:ascii="Arial;sans-serif" w:hAnsi="Arial;sans-serif"/>
                <w:b w:val="false"/>
                <w:color w:val="000000"/>
                <w:sz w:val="10"/>
              </w:rPr>
              <w:t>(3)</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Boston,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25, 2026</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Kingstowne Retail </w:t>
            </w:r>
            <w:r>
              <w:rPr>
                <w:rFonts w:ascii="Arial;sans-serif" w:hAnsi="Arial;sans-serif"/>
                <w:b w:val="false"/>
                <w:color w:val="000000"/>
                <w:sz w:val="10"/>
              </w:rPr>
              <w:t>(3)</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Alexandria, VA</w:t>
            </w:r>
          </w:p>
        </w:tc>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17, 2026</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366,300 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2025</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Land:</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17 Hartwell Avenue </w:t>
            </w:r>
            <w:r>
              <w:rPr>
                <w:rFonts w:ascii="Arial;sans-serif" w:hAnsi="Arial;sans-serif"/>
                <w:b w:val="false"/>
                <w:color w:val="000000"/>
                <w:sz w:val="10"/>
              </w:rPr>
              <w:t>(3)</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Lexington, MA</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(1)For the six months ended June 30, 2026, the total excludes approximately $0.3 million of loss in connection with the sale of our entire 50% ownership interest in the joint venture entity that owned Gateway Commons as a result of our outstanding receivable balance for development and construction management fees that were forfeited (see Note 5 to the Consolidated Financial Statements), and $0.1 million of loss related to sales that occurred in prior periods. </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(2)We had previously recognized an impairment loss for this property.</w:t>
      </w:r>
    </w:p>
    <w:p>
      <w:pPr>
        <w:pStyle w:val="TextBody"/>
        <w:bidi w:val="0"/>
        <w:spacing w:lineRule="auto" w:line="276"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fair value of the real estate disposed exceeded the carrying value.</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Interest and Other Income (Loss)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and other income (loss) decreased by approximately $0.8 million for the six months ended June 30, 2026 compared to 2025, due primarily to lower interest income partially offset by a reserve related to the unpaid default interest on one of our related party notes receivable during the six months ended June 30, 2025 of approximately $4.3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Gains from Investments in Securities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Gains from investments in securities for the six months ended June 30, 2026 and 2025 related to investments that we have made to reduce our market risk relating to deferred compensation plans that we maintain for BXP’s officers and former non-employee directors. Under their respective deferred compensation plans, eligible officers and non-employee directors are permitted to defer a portion of their current compensation on a pre-tax basis and receive a tax-deferred return on the amounts deferred based on the performance of specific investments selected by participating officers and non-employee directors. In order to reduce our market risk relating to these plans, we typically acquire, similar or identical investments as those selected by each officer or non-employee director and hold them in a separate account that is unrestricted as to its use. This enables us to generally match our liabilities to participants under our deferred compensation plans with equivalent assets and thereby limit our market risk. The performance of these investments is recorded as gains from investments in securities. During the six months ended June 30, 2026 and 2025, we recognized gains of approximately $3.8 million and $2.2 million, respectively, on these investments. By comparison, our general and administrative expense increased by approximately $3.8 million and $2.2 million during the six months ended June 30, 2026 and 2025, respectively, as a result of increases in our liability under our deferred compensation plans that were associated with the performance of the specific investments selected by participating officers and former non-employee directors of BXP.</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Unrealized Gain (Loss) on Non-Real Estate Investments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invest in non-real estate investments, which primarily consist of environmentally-focused investment funds. During the six months ended June 30, 2026 and 2025, we recognized an unrealized gain (loss) of approximately $0.1 million and $(0.5) million, respectively, due to the observable changes in the fair value of the investments.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Loss on Sales-Type Lease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six months ended June 30, 2025, we recognized approximately $2.5 million in additional costs, which had previously been contingent, related to a ground lease for land at our Reston Next property located in Reston, Virginia. We entered into the ground lease in 2020 with a third-party hotel developer and amended it in 2022. The amendment resulted in the derecognition of the assets related to the ground lease and the classification of the ground lease as a sales-type lease resulting in the recognition of a gain on sales-type lease of approximately $10.1 million.</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Impairment Loss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On May 27, 2026, we entered into an agreement to sell our leasehold interest and improvements thereon commonly known as the Sumner Square to a third party and on May 29, 2026, the sale met our “held for sale” criteria. Following the classification of the assets as “held for sale,” the assets are written down to the lower of carrying value or estimated fair value, less the costs to sell. As a result, BXP and BPLP recognized a non-cash impairment loss of approximately $18.0 million and $16.8 million, respectively, during the six months ended June 30, 2026 (See Notes 2, 3 and 14 to the Consolidated Financial Statements).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Loss From Early Extinguishment of Debt</w:t>
      </w:r>
    </w:p>
    <w:p>
      <w:pPr>
        <w:pStyle w:val="TextBody"/>
        <w:bidi w:val="0"/>
        <w:spacing w:lineRule="auto" w:line="288" w:before="100" w:after="283"/>
        <w:ind w:left="0" w:right="0" w:firstLine="495"/>
        <w:jc w:val="left"/>
        <w:rPr/>
      </w:pPr>
      <w:r>
        <w:rPr>
          <w:rFonts w:ascii="Arial;sans-serif" w:hAnsi="Arial;sans-serif"/>
          <w:b w:val="false"/>
          <w:color w:val="000000"/>
          <w:sz w:val="20"/>
        </w:rPr>
        <w:t xml:space="preserve">On March 28, 2025, BPLP amended and restated its revolving credit agreement. </w:t>
      </w:r>
      <w:r>
        <w:rPr>
          <w:rFonts w:ascii="Arial;sans-serif" w:hAnsi="Arial;sans-serif"/>
          <w:b w:val="false"/>
          <w:color w:val="000000"/>
          <w:sz w:val="20"/>
          <w:shd w:fill="FFFFFF" w:val="clear"/>
        </w:rPr>
        <w:t>As a result of</w:t>
      </w:r>
      <w:r>
        <w:rPr>
          <w:color w:val="000000"/>
        </w:rPr>
        <w:t xml:space="preserve"> </w:t>
      </w:r>
      <w:r>
        <w:rPr>
          <w:rFonts w:ascii="Arial;sans-serif" w:hAnsi="Arial;sans-serif"/>
          <w:b w:val="false"/>
          <w:color w:val="000000"/>
          <w:sz w:val="20"/>
        </w:rPr>
        <w:t>the amendment and restatement, during the six months</w:t>
      </w:r>
      <w:r>
        <w:rPr>
          <w:color w:val="000000"/>
          <w:shd w:fill="FFFFFF" w:val="clear"/>
        </w:rPr>
        <w:t xml:space="preserve"> </w:t>
      </w:r>
      <w:r>
        <w:rPr>
          <w:rFonts w:ascii="Arial;sans-serif" w:hAnsi="Arial;sans-serif"/>
          <w:b w:val="false"/>
          <w:color w:val="000000"/>
          <w:sz w:val="20"/>
          <w:shd w:fill="FFFFFF" w:val="clear"/>
        </w:rPr>
        <w:t xml:space="preserve">ended June 30, 2025, </w:t>
      </w:r>
      <w:r>
        <w:rPr>
          <w:rFonts w:ascii="Arial;sans-serif" w:hAnsi="Arial;sans-serif"/>
          <w:b w:val="false"/>
          <w:color w:val="000000"/>
          <w:sz w:val="20"/>
        </w:rPr>
        <w:t>we recognized a loss from early extinguishment of debt of approximately $0.3 million related to unamortized origination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Interest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expense decreased by approximately $20.7 million for the six months ended June 30, 2026 compared to 2025, as detailed below.</w:t>
      </w:r>
    </w:p>
    <w:tbl>
      <w:tblPr>
        <w:tblW w:w="10205" w:type="dxa"/>
        <w:jc w:val="left"/>
        <w:tblInd w:w="0" w:type="dxa"/>
        <w:tblLayout w:type="fixed"/>
        <w:tblCellMar>
          <w:top w:w="28" w:type="dxa"/>
          <w:left w:w="28" w:type="dxa"/>
          <w:bottom w:w="28" w:type="dxa"/>
          <w:right w:w="28" w:type="dxa"/>
        </w:tblCellMar>
      </w:tblPr>
      <w:tblGrid>
        <w:gridCol w:w="1944"/>
        <w:gridCol w:w="1651"/>
        <w:gridCol w:w="1656"/>
        <w:gridCol w:w="109"/>
        <w:gridCol w:w="109"/>
        <w:gridCol w:w="109"/>
        <w:gridCol w:w="872"/>
        <w:gridCol w:w="3110"/>
        <w:gridCol w:w="645"/>
      </w:tblGrid>
      <w:tr>
        <w:trPr/>
        <w:tc>
          <w:tcPr>
            <w:tcW w:w="194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Change in interest expense for the six months ended June 30, 2026 compared to June 30, 2025</w:t>
            </w:r>
          </w:p>
        </w:tc>
      </w:tr>
      <w:tr>
        <w:trPr/>
        <w:tc>
          <w:tcPr>
            <w:tcW w:w="5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to interest expense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Issuance of $1.0 billion in aggregate principal of 2.000% exchangeable senior notes due 2030 on September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 of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2,062 </w:t>
            </w:r>
          </w:p>
        </w:tc>
        <w:tc>
          <w:tcPr>
            <w:tcW w:w="64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Unsecured commercial paper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interest expense (excluding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increases 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12,740 </w:t>
            </w:r>
          </w:p>
        </w:tc>
        <w:tc>
          <w:tcPr>
            <w:tcW w:w="6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to interest expense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$1.0 billion in aggregate principal of 3.650% senior notes due 2026 on February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(15,348)</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 xml:space="preserve">Decrease in interest associated with unsecured term loans and the unsecured credit facility, net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(7,477)</w:t>
            </w:r>
          </w:p>
        </w:tc>
        <w:tc>
          <w:tcPr>
            <w:tcW w:w="64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capitalized interest related to development projects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(6,894)</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Mortgage loan financings</w:t>
            </w:r>
            <w:r>
              <w:rPr>
                <w:color w:val="000000"/>
              </w:rPr>
              <w:t xml:space="preserve">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(2,282)</w:t>
            </w:r>
          </w:p>
        </w:tc>
        <w:tc>
          <w:tcPr>
            <w:tcW w:w="64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$850 million in aggregate principal of the 3.200% senior notes due 2025 on January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interest due to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decreases 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(33,449)</w:t>
            </w:r>
          </w:p>
        </w:tc>
        <w:tc>
          <w:tcPr>
            <w:tcW w:w="6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(20,709)</w:t>
            </w:r>
          </w:p>
        </w:tc>
        <w:tc>
          <w:tcPr>
            <w:tcW w:w="6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76" w:before="0" w:after="0"/>
        <w:ind w:left="0" w:right="0" w:hanging="360"/>
        <w:jc w:val="left"/>
        <w:rPr/>
      </w:pPr>
      <w:r>
        <w:rPr>
          <w:rFonts w:ascii="Arial;sans-serif" w:hAnsi="Arial;sans-serif"/>
          <w:b w:val="false"/>
          <w:color w:val="000000"/>
          <w:sz w:val="18"/>
        </w:rPr>
        <w:t>(1)Includes</w:t>
      </w:r>
      <w:r>
        <w:rPr>
          <w:rFonts w:ascii="Arial;sans-serif" w:hAnsi="Arial;sans-serif"/>
          <w:b w:val="false"/>
          <w:color w:val="000000"/>
          <w:sz w:val="18"/>
          <w:shd w:fill="FFFFFF" w:val="clear"/>
        </w:rPr>
        <w:t xml:space="preserve">, if applicable, fair value and swap adjustments (See Note </w:t>
      </w:r>
      <w:r>
        <w:rPr>
          <w:rFonts w:ascii="Arial;sans-serif" w:hAnsi="Arial;sans-serif"/>
          <w:b w:val="false"/>
          <w:color w:val="000000"/>
          <w:sz w:val="18"/>
        </w:rPr>
        <w:t>7</w:t>
      </w:r>
      <w:r>
        <w:rPr>
          <w:color w:val="000000"/>
          <w:shd w:fill="FFFFFF" w:val="clear"/>
        </w:rPr>
        <w:t xml:space="preserve"> </w:t>
      </w:r>
      <w:r>
        <w:rPr>
          <w:rFonts w:ascii="Arial;sans-serif" w:hAnsi="Arial;sans-serif"/>
          <w:b w:val="false"/>
          <w:color w:val="000000"/>
          <w:sz w:val="18"/>
          <w:shd w:fill="FFFFFF" w:val="clear"/>
        </w:rPr>
        <w:t>to the Consolidated Financial Statements).</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six months ended June 30, 2026 and 2025 was approximately $29.4 million and $22.5 million, respectively. These costs are not included in the interest expense referenced above.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June 30, 2026, our variable rate debt consisted of (1) the $100.0 million unsecured term loan facility (“2024 Unsecured Term Loan”), (2) BPLP’s $2.95 billion unsecured credit facility (“2025 Credit Facility”) and (3) BPLP’s $750.0 million unsecured commercial paper program (“Commercial Paper Program”). The 2025 Credit Facility consists of (1) a revolving line of credit (the “Revolving Facility”) of $2.25 billion and (2) an unsecured term loan facility (the “Term Loan Facility”) of $700.0 million. As of June 30, 2026, there were $100.0 million, $700.0 million and $750.0 million outstanding under the 2024 Unsecured Term Loan, 2025 Credit Facility and Commercial Paper Program, respectively.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we have an aggregate of $800.0 million of mortgage notes collateralized by Santa Monica Business Park and 325 Main Street, 355 Main Street, 90 Broadway and Cambridge East Garage (also known as Kendall Center Green Garage) properties that bear interest at variable rates. However, $600.0 million of this debt has been hedged with interest rate swaps to fix SOFR, the base rate for the mortgage collateralized by 325 Main Street, 355 Main Street, 90 Broadway and Cambridge East Garage (also known as Kendall Center Green Garage) properties, for the applicable debt term. </w:t>
      </w:r>
    </w:p>
    <w:p>
      <w:pPr>
        <w:pStyle w:val="TextBody"/>
        <w:bidi w:val="0"/>
        <w:spacing w:lineRule="auto" w:line="288" w:before="180" w:after="283"/>
        <w:ind w:left="0" w:right="0" w:firstLine="495"/>
        <w:jc w:val="left"/>
        <w:rPr/>
      </w:pPr>
      <w:r>
        <w:rPr>
          <w:rFonts w:ascii="Arial;sans-serif" w:hAnsi="Arial;sans-serif"/>
          <w:b w:val="false"/>
          <w:color w:val="000000"/>
          <w:sz w:val="20"/>
        </w:rPr>
        <w:t>For a summary of our consolidated debt as of June 30, 2026 refer to the heading “</w:t>
      </w:r>
      <w:r>
        <w:rPr>
          <w:rFonts w:ascii="Arial;sans-serif" w:hAnsi="Arial;sans-serif"/>
          <w:b w:val="false"/>
          <w:i/>
          <w:color w:val="000000"/>
          <w:sz w:val="20"/>
        </w:rPr>
        <w:t>Liquidity and Capital Resources—Debt”</w:t>
      </w:r>
      <w:r>
        <w:rPr>
          <w:color w:val="000000"/>
        </w:rPr>
        <w:t xml:space="preserve"> </w:t>
      </w:r>
      <w:r>
        <w:rPr>
          <w:rFonts w:ascii="Arial;sans-serif" w:hAnsi="Arial;sans-serif"/>
          <w:b w:val="false"/>
          <w:color w:val="000000"/>
          <w:sz w:val="20"/>
        </w:rPr>
        <w:t>within “</w:t>
      </w:r>
      <w:r>
        <w:rPr>
          <w:rFonts w:ascii="Arial;sans-serif" w:hAnsi="Arial;sans-serif"/>
          <w:b w:val="false"/>
          <w:i/>
          <w:color w:val="000000"/>
          <w:sz w:val="20"/>
        </w:rPr>
        <w:t>Item 2—Management’s Discussion and Analysis of Financial Condition and Results of Operations.</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Noncontrolling Interests in Property Partnerships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Noncontrolling interests in property partnerships increased by approximately $7.1 million for the six months ended June 30, 2026 compared to 2025, as detailed below. </w:t>
      </w:r>
    </w:p>
    <w:tbl>
      <w:tblPr>
        <w:tblW w:w="10205" w:type="dxa"/>
        <w:jc w:val="center"/>
        <w:tblInd w:w="0" w:type="dxa"/>
        <w:tblLayout w:type="fixed"/>
        <w:tblCellMar>
          <w:top w:w="28" w:type="dxa"/>
          <w:left w:w="28" w:type="dxa"/>
          <w:bottom w:w="28" w:type="dxa"/>
          <w:right w:w="28" w:type="dxa"/>
        </w:tblCellMar>
      </w:tblPr>
      <w:tblGrid>
        <w:gridCol w:w="1286"/>
        <w:gridCol w:w="1110"/>
        <w:gridCol w:w="1118"/>
        <w:gridCol w:w="109"/>
        <w:gridCol w:w="109"/>
        <w:gridCol w:w="109"/>
        <w:gridCol w:w="352"/>
        <w:gridCol w:w="1255"/>
        <w:gridCol w:w="182"/>
        <w:gridCol w:w="182"/>
        <w:gridCol w:w="182"/>
        <w:gridCol w:w="182"/>
        <w:gridCol w:w="352"/>
        <w:gridCol w:w="1255"/>
        <w:gridCol w:w="182"/>
        <w:gridCol w:w="182"/>
        <w:gridCol w:w="182"/>
        <w:gridCol w:w="182"/>
        <w:gridCol w:w="352"/>
        <w:gridCol w:w="1079"/>
        <w:gridCol w:w="263"/>
      </w:tblGrid>
      <w:tr>
        <w:trPr/>
        <w:tc>
          <w:tcPr>
            <w:tcW w:w="128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5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Noncontrolling Interests in Property Partnerships for the six months ended June 30,</w:t>
            </w:r>
          </w:p>
        </w:tc>
      </w:tr>
      <w:tr>
        <w:trPr/>
        <w:tc>
          <w:tcPr>
            <w:tcW w:w="35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767 Fifth Avenue (the General Motors Building)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7 Times Square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601 Lexington Avenue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 Federal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Atlantic Wharf Office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343 Madison Avenue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300 Binney Street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290 Binney Street </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45,990 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38,849 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7,141 </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(1)The increase was primarily due to a decrease in repairs and maintenance expense.</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(2)The decrease was primarily due to the expiration of a tax credit.</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(3)On August 27, 2025, we acquired our partner’s 45% ownership interest.</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(4)Property was fully placed in-service on April 30, 2026.</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Noncontrolling Interest—Common Units of the Operating Partnership</w:t>
      </w:r>
    </w:p>
    <w:p>
      <w:pPr>
        <w:pStyle w:val="TextBody"/>
        <w:bidi w:val="0"/>
        <w:spacing w:lineRule="auto" w:line="288" w:before="100" w:after="283"/>
        <w:ind w:left="0" w:right="0" w:firstLine="495"/>
        <w:jc w:val="left"/>
        <w:rPr/>
      </w:pPr>
      <w:r>
        <w:rPr>
          <w:rFonts w:ascii="Arial;sans-serif" w:hAnsi="Arial;sans-serif"/>
          <w:b w:val="false"/>
          <w:color w:val="000000"/>
          <w:sz w:val="20"/>
        </w:rPr>
        <w:t xml:space="preserve">For BXP, noncontrolling interest—common units of the Operating Partnership increased by approximately $2.3 million for the </w:t>
      </w:r>
      <w:r>
        <w:rPr>
          <w:rFonts w:ascii="Arial;sans-serif" w:hAnsi="Arial;sans-serif"/>
          <w:b w:val="false"/>
          <w:color w:val="000000"/>
          <w:sz w:val="20"/>
          <w:shd w:fill="FFFFFF" w:val="clear"/>
        </w:rPr>
        <w:t>six months</w:t>
      </w:r>
      <w:r>
        <w:rPr>
          <w:color w:val="000000"/>
        </w:rPr>
        <w:t xml:space="preserve"> </w:t>
      </w:r>
      <w:r>
        <w:rPr>
          <w:rFonts w:ascii="Arial;sans-serif" w:hAnsi="Arial;sans-serif"/>
          <w:b w:val="false"/>
          <w:color w:val="000000"/>
          <w:sz w:val="20"/>
        </w:rPr>
        <w:t xml:space="preserve">ended June 30, 2026 compared to 2025 due to an increase in allocable income. Due to our ownership structure, there is no corresponding line item on BPLP’s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Arial;sans-serif" w:hAnsi="Arial;sans-serif"/>
          <w:b w:val="false"/>
          <w:color w:val="000000"/>
          <w:sz w:val="28"/>
        </w:rPr>
      </w:pPr>
      <w:r>
        <w:rPr>
          <w:rFonts w:ascii="Arial;sans-serif" w:hAnsi="Arial;sans-serif"/>
          <w:b w:val="false"/>
          <w:color w:val="000000"/>
          <w:sz w:val="28"/>
        </w:rPr>
        <w:t>Results of Operations for the Three Months Ended June 30, 2026 and 2025</w:t>
      </w:r>
    </w:p>
    <w:p>
      <w:pPr>
        <w:pStyle w:val="TextBody"/>
        <w:bidi w:val="0"/>
        <w:spacing w:lineRule="auto" w:line="288" w:before="100" w:after="283"/>
        <w:ind w:left="0" w:right="0" w:firstLine="480"/>
        <w:jc w:val="left"/>
        <w:rPr/>
      </w:pPr>
      <w:r>
        <w:rPr>
          <w:rFonts w:ascii="Arial;sans-serif" w:hAnsi="Arial;sans-serif"/>
          <w:b w:val="false"/>
          <w:color w:val="000000"/>
          <w:sz w:val="20"/>
        </w:rPr>
        <w:t>Net income attributable to BXP, Inc. and net income attributable to Boston Properties Limited Partnership decreased approximately $20.4 million and $21.5 million, respectively, for the three months ended June 30, 2026 compared to 2025, as detailed in the following tables and for the reasons discussed below under the heading “</w:t>
      </w:r>
      <w:r>
        <w:rPr>
          <w:rFonts w:ascii="Arial;sans-serif" w:hAnsi="Arial;sans-serif"/>
          <w:b w:val="false"/>
          <w:i/>
          <w:color w:val="000000"/>
          <w:sz w:val="20"/>
        </w:rPr>
        <w:t>Comparison of the three months ended June 30, 2026 to the three months ended June 30, 2025” within “Item 2—Management’s Discussion and Analysis of Financial Condition and Results of Operations.</w:t>
      </w:r>
      <w:r>
        <w:rPr>
          <w:color w:val="000000"/>
        </w:rPr>
        <w:t>”</w:t>
      </w:r>
    </w:p>
    <w:p>
      <w:pPr>
        <w:pStyle w:val="TextBody"/>
        <w:bidi w:val="0"/>
        <w:spacing w:lineRule="auto" w:line="288" w:before="180" w:after="283"/>
        <w:ind w:left="0" w:right="0" w:firstLine="495"/>
        <w:jc w:val="left"/>
        <w:rPr/>
      </w:pP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 xml:space="preserve">following are reconciliations of (1) Net </w:t>
      </w:r>
      <w:r>
        <w:rPr>
          <w:rFonts w:ascii="Arial;sans-serif" w:hAnsi="Arial;sans-serif"/>
          <w:b w:val="false"/>
          <w:color w:val="000000"/>
          <w:sz w:val="20"/>
        </w:rPr>
        <w:t>Income</w:t>
      </w:r>
      <w:r>
        <w:rPr>
          <w:color w:val="000000"/>
          <w:shd w:fill="FFFFFF" w:val="clear"/>
        </w:rPr>
        <w:t xml:space="preserve"> </w:t>
      </w:r>
      <w:r>
        <w:rPr>
          <w:rFonts w:ascii="Arial;sans-serif" w:hAnsi="Arial;sans-serif"/>
          <w:b w:val="false"/>
          <w:color w:val="000000"/>
          <w:sz w:val="20"/>
          <w:shd w:fill="FFFFFF" w:val="clear"/>
        </w:rPr>
        <w:t xml:space="preserve">Attributable to BXP, Inc. to NOI and (2) Net </w:t>
      </w:r>
      <w:r>
        <w:rPr>
          <w:rFonts w:ascii="Arial;sans-serif" w:hAnsi="Arial;sans-serif"/>
          <w:b w:val="false"/>
          <w:color w:val="000000"/>
          <w:sz w:val="20"/>
        </w:rPr>
        <w:t>Income</w:t>
      </w:r>
      <w:r>
        <w:rPr>
          <w:color w:val="000000"/>
          <w:shd w:fill="FFFFFF" w:val="clear"/>
        </w:rPr>
        <w:t xml:space="preserve"> </w:t>
      </w:r>
      <w:r>
        <w:rPr>
          <w:rFonts w:ascii="Arial;sans-serif" w:hAnsi="Arial;sans-serif"/>
          <w:b w:val="false"/>
          <w:color w:val="000000"/>
          <w:sz w:val="20"/>
          <w:shd w:fill="FFFFFF" w:val="clear"/>
        </w:rPr>
        <w:t>Attributable to Boston Properties Limited Partnership</w:t>
      </w:r>
      <w:r>
        <w:rPr>
          <w:color w:val="000000"/>
        </w:rPr>
        <w:t xml:space="preserve"> </w:t>
      </w:r>
      <w:r>
        <w:rPr>
          <w:rFonts w:ascii="Arial;sans-serif" w:hAnsi="Arial;sans-serif"/>
          <w:b w:val="false"/>
          <w:color w:val="000000"/>
          <w:sz w:val="20"/>
        </w:rPr>
        <w:t>to NOI for the three months ended June 30, 2026 and 2025. For a detailed discussion of NOI, including the reasons management believes NOI is useful to investors, see page 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BXP</w:t>
      </w:r>
    </w:p>
    <w:tbl>
      <w:tblPr>
        <w:tblW w:w="10205" w:type="dxa"/>
        <w:jc w:val="center"/>
        <w:tblInd w:w="0" w:type="dxa"/>
        <w:tblLayout w:type="fixed"/>
        <w:tblCellMar>
          <w:top w:w="28" w:type="dxa"/>
          <w:left w:w="28" w:type="dxa"/>
          <w:bottom w:w="28" w:type="dxa"/>
          <w:right w:w="28" w:type="dxa"/>
        </w:tblCellMar>
      </w:tblPr>
      <w:tblGrid>
        <w:gridCol w:w="1655"/>
        <w:gridCol w:w="1305"/>
        <w:gridCol w:w="1312"/>
        <w:gridCol w:w="109"/>
        <w:gridCol w:w="109"/>
        <w:gridCol w:w="109"/>
        <w:gridCol w:w="211"/>
        <w:gridCol w:w="826"/>
        <w:gridCol w:w="109"/>
        <w:gridCol w:w="109"/>
        <w:gridCol w:w="109"/>
        <w:gridCol w:w="109"/>
        <w:gridCol w:w="211"/>
        <w:gridCol w:w="826"/>
        <w:gridCol w:w="109"/>
        <w:gridCol w:w="109"/>
        <w:gridCol w:w="109"/>
        <w:gridCol w:w="109"/>
        <w:gridCol w:w="211"/>
        <w:gridCol w:w="765"/>
        <w:gridCol w:w="109"/>
        <w:gridCol w:w="109"/>
        <w:gridCol w:w="109"/>
        <w:gridCol w:w="109"/>
        <w:gridCol w:w="380"/>
        <w:gridCol w:w="384"/>
        <w:gridCol w:w="484"/>
      </w:tblGrid>
      <w:tr>
        <w:trPr/>
        <w:tc>
          <w:tcPr>
            <w:tcW w:w="165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29.96 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92.31 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from investments in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68.65 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(61.95)</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(117.37)</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538,655 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514,080 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4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BPLP</w:t>
      </w:r>
    </w:p>
    <w:tbl>
      <w:tblPr>
        <w:tblW w:w="10205" w:type="dxa"/>
        <w:jc w:val="left"/>
        <w:tblInd w:w="0" w:type="dxa"/>
        <w:tblLayout w:type="fixed"/>
        <w:tblCellMar>
          <w:top w:w="28" w:type="dxa"/>
          <w:left w:w="28" w:type="dxa"/>
          <w:bottom w:w="28" w:type="dxa"/>
          <w:right w:w="28" w:type="dxa"/>
        </w:tblCellMar>
      </w:tblPr>
      <w:tblGrid>
        <w:gridCol w:w="1648"/>
        <w:gridCol w:w="1308"/>
        <w:gridCol w:w="1316"/>
        <w:gridCol w:w="109"/>
        <w:gridCol w:w="109"/>
        <w:gridCol w:w="109"/>
        <w:gridCol w:w="211"/>
        <w:gridCol w:w="826"/>
        <w:gridCol w:w="109"/>
        <w:gridCol w:w="109"/>
        <w:gridCol w:w="109"/>
        <w:gridCol w:w="109"/>
        <w:gridCol w:w="211"/>
        <w:gridCol w:w="826"/>
        <w:gridCol w:w="109"/>
        <w:gridCol w:w="109"/>
        <w:gridCol w:w="109"/>
        <w:gridCol w:w="109"/>
        <w:gridCol w:w="211"/>
        <w:gridCol w:w="765"/>
        <w:gridCol w:w="109"/>
        <w:gridCol w:w="109"/>
        <w:gridCol w:w="109"/>
        <w:gridCol w:w="109"/>
        <w:gridCol w:w="380"/>
        <w:gridCol w:w="384"/>
        <w:gridCol w:w="484"/>
      </w:tblGrid>
      <w:tr>
        <w:trPr/>
        <w:tc>
          <w:tcPr>
            <w:tcW w:w="164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(in thousands)</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(21.36)</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29.96 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w:t>
            </w:r>
          </w:p>
        </w:tc>
        <w:tc>
          <w:tcPr>
            <w:tcW w:w="4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92.31 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from investments in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68.65 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(62.05)</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(117.37)</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 (“NOI”)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538,655 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514,080 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4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80" w:after="100"/>
        <w:jc w:val="left"/>
        <w:rPr>
          <w:rFonts w:ascii="Arial;sans-serif" w:hAnsi="Arial;sans-serif"/>
          <w:b w:val="false"/>
          <w:color w:val="000000"/>
          <w:sz w:val="28"/>
        </w:rPr>
      </w:pPr>
      <w:r>
        <w:rPr>
          <w:rFonts w:ascii="Arial;sans-serif" w:hAnsi="Arial;sans-serif"/>
          <w:b w:val="false"/>
          <w:color w:val="000000"/>
          <w:sz w:val="28"/>
        </w:rPr>
        <w:t xml:space="preserve">Comparison of the three months ended June 30, 2026 to the three months ended June 30, 2025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table below shows selected operating information for the Same Property Portfolio and the Total Property Portfolio. The Same Property Portfolio consists of 138 properties totaling approximately 40.7 million net rentable square feet, excluding unconsolidated joint ventures. The Same Property Portfolio includes properties acquired or placed in-service on or prior to April 1, 2025 and owned and in-service through June 30, 2026. The Total Property Portfolio includes the effects of the other properties either acquired, placed in-service, in or held for development or redevelopment after April 1, 2025 or disposed of on or prior to June 30, 2026. This table includes a reconciliation from the Same Property Portfolio to the Total Property Portfolio by also providing information for the three months ended June 30, 2026 and 2025 with respect to the properties that were acquired, placed in-service, in or held for development or redevelopment, or sold. We did not acquire any properties during the three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7290" w:type="dxa"/>
        <w:jc w:val="left"/>
        <w:tblInd w:w="0" w:type="dxa"/>
        <w:tblLayout w:type="fixed"/>
        <w:tblCellMar>
          <w:top w:w="28" w:type="dxa"/>
          <w:left w:w="28" w:type="dxa"/>
          <w:bottom w:w="28" w:type="dxa"/>
          <w:right w:w="28" w:type="dxa"/>
        </w:tblCellMar>
      </w:tblPr>
      <w:tblGrid>
        <w:gridCol w:w="360"/>
        <w:gridCol w:w="225"/>
        <w:gridCol w:w="226"/>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284"/>
        <w:gridCol w:w="287"/>
        <w:gridCol w:w="291"/>
        <w:gridCol w:w="109"/>
        <w:gridCol w:w="109"/>
        <w:gridCol w:w="109"/>
        <w:gridCol w:w="109"/>
        <w:gridCol w:w="109"/>
        <w:gridCol w:w="109"/>
        <w:gridCol w:w="109"/>
        <w:gridCol w:w="181"/>
        <w:gridCol w:w="571"/>
        <w:gridCol w:w="109"/>
        <w:gridCol w:w="109"/>
        <w:gridCol w:w="109"/>
        <w:gridCol w:w="109"/>
        <w:gridCol w:w="181"/>
        <w:gridCol w:w="376"/>
        <w:gridCol w:w="109"/>
        <w:gridCol w:w="109"/>
        <w:gridCol w:w="109"/>
        <w:gridCol w:w="109"/>
        <w:gridCol w:w="181"/>
        <w:gridCol w:w="496"/>
        <w:gridCol w:w="109"/>
        <w:gridCol w:w="109"/>
        <w:gridCol w:w="109"/>
        <w:gridCol w:w="109"/>
        <w:gridCol w:w="181"/>
        <w:gridCol w:w="496"/>
        <w:gridCol w:w="109"/>
        <w:gridCol w:w="109"/>
        <w:gridCol w:w="109"/>
        <w:gridCol w:w="109"/>
        <w:gridCol w:w="181"/>
        <w:gridCol w:w="376"/>
        <w:gridCol w:w="109"/>
        <w:gridCol w:w="109"/>
        <w:gridCol w:w="109"/>
        <w:gridCol w:w="109"/>
        <w:gridCol w:w="181"/>
        <w:gridCol w:w="496"/>
        <w:gridCol w:w="109"/>
        <w:gridCol w:w="327"/>
        <w:gridCol w:w="181"/>
        <w:gridCol w:w="646"/>
        <w:gridCol w:w="109"/>
        <w:gridCol w:w="327"/>
        <w:gridCol w:w="181"/>
        <w:gridCol w:w="646"/>
        <w:gridCol w:w="109"/>
        <w:gridCol w:w="327"/>
        <w:gridCol w:w="181"/>
        <w:gridCol w:w="571"/>
        <w:gridCol w:w="109"/>
        <w:gridCol w:w="327"/>
        <w:gridCol w:w="571"/>
        <w:gridCol w:w="342"/>
      </w:tblGrid>
      <w:tr>
        <w:trPr/>
        <w:tc>
          <w:tcPr>
            <w:tcW w:w="3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Same Property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w:t>
              <w:br/>
              <w:t>Placed In-Service</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in or Held for</w:t>
              <w:br/>
              <w:t>Development or</w:t>
              <w:br/>
              <w:t>Redevelopment</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Properties Sold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Property Portfolio</w:t>
            </w:r>
          </w:p>
        </w:tc>
        <w:tc>
          <w:tcPr>
            <w:tcW w:w="1240"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1" w:type="dxa"/>
            <w:gridSpan w:val="7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(dollars in thousands)</w:t>
            </w:r>
          </w:p>
        </w:tc>
        <w:tc>
          <w:tcPr>
            <w:tcW w:w="2428" w:type="dxa"/>
            <w:gridSpan w:val="12"/>
            <w:tcBorders/>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Rental Revenue: </w:t>
            </w:r>
            <w:r>
              <w:rPr>
                <w:rFonts w:ascii="Arial;sans-serif" w:hAnsi="Arial;sans-serif"/>
                <w:b w:val="false"/>
                <w:color w:val="000000"/>
                <w:sz w:val="9"/>
              </w:rPr>
              <w:t>(1)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 (Excluding Termination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Termination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405.90 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211.11 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805,575 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779,020 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793,745 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Parking and Other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8.45 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8.55 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Total Rental Revenue </w:t>
            </w:r>
            <w:r>
              <w:rPr>
                <w:rFonts w:ascii="Arial;sans-serif" w:hAnsi="Arial;sans-serif"/>
                <w:b w:val="false"/>
                <w:color w:val="000000"/>
                <w:sz w:val="9"/>
              </w:rPr>
              <w:t>(1)</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842,059 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812,662 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865,581 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4.51 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Operating Income (Loss), Excluding Residential and Hotel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515,872 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502,718 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5.71 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4"/>
              </w:rPr>
              <w:t xml:space="preserve">Residential Net Operating Income </w:t>
            </w:r>
            <w:r>
              <w:rPr>
                <w:rFonts w:ascii="Arial;sans-serif" w:hAnsi="Arial;sans-serif"/>
                <w:b w:val="false"/>
                <w:color w:val="000000"/>
                <w:sz w:val="9"/>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203.80 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(71.83)</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4"/>
              </w:rPr>
              <w:t xml:space="preserve">Hotel Net Operating Income </w:t>
            </w:r>
            <w:r>
              <w:rPr>
                <w:rFonts w:ascii="Arial;sans-serif" w:hAnsi="Arial;sans-serif"/>
                <w:b w:val="false"/>
                <w:color w:val="000000"/>
                <w:sz w:val="9"/>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Operating Income (Loss)</w:t>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523,081 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502,375 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20,706 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4.12 </w:t>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17,584 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8,766 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538,655 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514,080 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24,575 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4.78 </w:t>
            </w:r>
          </w:p>
        </w:tc>
        <w:tc>
          <w:tcPr>
            <w:tcW w:w="3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 investors with information regarding our performance that is not immediately apparent from the most directly comparable GAAP measures and allows investors to compare operating performance between periods.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(2)For a detailed discussion of NOI, including the reasons management believes NOI is useful to investors, see page 48. Residential Net Operating Income for the three months ended June 30, 2026 and 2025 is comprised of Residential Revenue of $3,683 and $12,532 less Residential Expenses of $2,006 and $6,578, respectively. Hotel Net Operating Income for the three months ended June 30, 2026 and 2025 is comprised of Hotel Revenue of $14,901 and $14,773 less Hotel Expenses of $9,369 and $9,365, respectively, per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Same Property Portfolio</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Lease Revenue (Excluding Termination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Lease revenue (excluding termination income) from the Same Property Portfolio increased by approximately $24.3 million for the three months ended June 30, 2026 compared to 2025. The increase resulted from our average revenue per square foot increasing by approximately $1.47, contributing approximately $13.2 million, and our average occupancy increasing from 88.0% to 89.2%, contributing approximately $11.1 million.</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 xml:space="preserve">Termination Income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increased by approximately $2.3 million for the three months ended June 30, 2026 compared to 2025.</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Termination income for the three months ended June 30, 2026 and 2025 related to 13 and two clients, respectively, across the Same Property Portfolio and totaled approximately $2.8 million and $0.6 million, respectively.</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Parking and Other Revenue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Parking and other revenue increased by approximately $2.8 million for the three months ended June 30, 2026 compared to 2025. Parking and other revenue increased by approximately $2.0 million and $0.8 million, respectively. The increase in parking revenue was primarily due to an increase in monthly parking. The increase in other revenue was primarily associated with an increase in insurance proceeds.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Real Estate Operating Expenses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Real estate operating expenses from the Same Property Portfolio increased by approximately $9.9 million, or 3.1%, for the three months ended June 30, 2026 compared to 2025.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Properties Placed In-Service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that were placed in-service or partially placed in-service between April 1, 2025 and June 30, 2026. </w:t>
      </w:r>
    </w:p>
    <w:tbl>
      <w:tblPr>
        <w:tblW w:w="1214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85"/>
        <w:gridCol w:w="285"/>
        <w:gridCol w:w="286"/>
        <w:gridCol w:w="109"/>
        <w:gridCol w:w="109"/>
        <w:gridCol w:w="109"/>
        <w:gridCol w:w="470"/>
        <w:gridCol w:w="470"/>
        <w:gridCol w:w="471"/>
        <w:gridCol w:w="109"/>
        <w:gridCol w:w="109"/>
        <w:gridCol w:w="109"/>
        <w:gridCol w:w="374"/>
        <w:gridCol w:w="362"/>
        <w:gridCol w:w="211"/>
        <w:gridCol w:w="109"/>
        <w:gridCol w:w="109"/>
        <w:gridCol w:w="109"/>
        <w:gridCol w:w="196"/>
        <w:gridCol w:w="646"/>
        <w:gridCol w:w="109"/>
        <w:gridCol w:w="109"/>
        <w:gridCol w:w="109"/>
        <w:gridCol w:w="109"/>
        <w:gridCol w:w="196"/>
        <w:gridCol w:w="421"/>
        <w:gridCol w:w="109"/>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Quarter Initially Placed In-Service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Quarter Fully Placed In-Service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1"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Reston Next Office Phase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Reston Next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1050 Winter Street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290 Binney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572,578 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851,765 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Properties In or Held for Development or Redevelopment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that were in or held for development or redevelopment between April 1, 2025 and June 30, 2026. </w:t>
      </w:r>
    </w:p>
    <w:tbl>
      <w:tblPr>
        <w:tblW w:w="11724" w:type="dxa"/>
        <w:jc w:val="left"/>
        <w:tblInd w:w="0" w:type="dxa"/>
        <w:tblLayout w:type="fixed"/>
        <w:tblCellMar>
          <w:top w:w="28" w:type="dxa"/>
          <w:left w:w="28" w:type="dxa"/>
          <w:bottom w:w="28" w:type="dxa"/>
          <w:right w:w="28" w:type="dxa"/>
        </w:tblCellMar>
      </w:tblPr>
      <w:tblGrid>
        <w:gridCol w:w="609"/>
        <w:gridCol w:w="377"/>
        <w:gridCol w:w="380"/>
        <w:gridCol w:w="109"/>
        <w:gridCol w:w="109"/>
        <w:gridCol w:w="109"/>
        <w:gridCol w:w="445"/>
        <w:gridCol w:w="445"/>
        <w:gridCol w:w="446"/>
        <w:gridCol w:w="109"/>
        <w:gridCol w:w="109"/>
        <w:gridCol w:w="109"/>
        <w:gridCol w:w="435"/>
        <w:gridCol w:w="436"/>
        <w:gridCol w:w="211"/>
        <w:gridCol w:w="109"/>
        <w:gridCol w:w="109"/>
        <w:gridCol w:w="109"/>
        <w:gridCol w:w="196"/>
        <w:gridCol w:w="556"/>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09"/>
        <w:gridCol w:w="109"/>
        <w:gridCol w:w="109"/>
        <w:gridCol w:w="109"/>
        <w:gridCol w:w="196"/>
        <w:gridCol w:w="556"/>
        <w:gridCol w:w="109"/>
        <w:gridCol w:w="109"/>
        <w:gridCol w:w="109"/>
        <w:gridCol w:w="109"/>
        <w:gridCol w:w="196"/>
        <w:gridCol w:w="436"/>
        <w:gridCol w:w="109"/>
        <w:gridCol w:w="109"/>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Commenced Held for Development / Redevelopment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u w:val="single"/>
              </w:rPr>
              <w:t xml:space="preserve">Held for Development or Redevelopment </w:t>
            </w:r>
            <w:r>
              <w:rPr>
                <w:rFonts w:ascii="Arial;sans-serif" w:hAnsi="Arial;sans-serif"/>
                <w:b/>
                <w:color w:val="000000"/>
                <w:sz w:val="10"/>
                <w:u w:val="single"/>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6"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Lexington Office Park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1000 &amp; 1100 Winter Street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Kingstowne One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Santa Monica Business Park </w:t>
            </w:r>
            <w:r>
              <w:rPr>
                <w:rFonts w:ascii="Arial;sans-serif" w:hAnsi="Arial;sans-serif"/>
                <w:b w:val="false"/>
                <w:color w:val="000000"/>
                <w:sz w:val="10"/>
              </w:rPr>
              <w:t>(2)</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1,148,000 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Reservoir Place </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363,000 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1,511,000 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 xml:space="preserve">These properties are no longer considered “in-service” because each property’s occupied percentage is less than 50% and we anticipate a future development/redevelopment of the property. A property will be considered held for development or redevelopment until the last client has vacated the property and the property is no longer revenue producing.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(2)This portion of Santa Monica Business Park is comprised of two buildings, 2850 Ocean Park and 2800 28th Street.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(3)Reservoir Place is an approximately 528,000 square foot office building, of which approximately 165,000 square feet remains in-service. Reservoir Place commenced redevelopment during the three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Properties Sold Portfolio</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lists the properties we sold between April 1, 2025 and June 30, 2026. </w:t>
      </w:r>
    </w:p>
    <w:tbl>
      <w:tblPr>
        <w:tblW w:w="10921" w:type="dxa"/>
        <w:jc w:val="left"/>
        <w:tblInd w:w="0" w:type="dxa"/>
        <w:tblLayout w:type="fixed"/>
        <w:tblCellMar>
          <w:top w:w="28" w:type="dxa"/>
          <w:left w:w="28" w:type="dxa"/>
          <w:bottom w:w="28" w:type="dxa"/>
          <w:right w:w="28" w:type="dxa"/>
        </w:tblCellMar>
      </w:tblPr>
      <w:tblGrid>
        <w:gridCol w:w="765"/>
        <w:gridCol w:w="224"/>
        <w:gridCol w:w="227"/>
        <w:gridCol w:w="109"/>
        <w:gridCol w:w="109"/>
        <w:gridCol w:w="109"/>
        <w:gridCol w:w="459"/>
        <w:gridCol w:w="266"/>
        <w:gridCol w:w="146"/>
        <w:gridCol w:w="109"/>
        <w:gridCol w:w="109"/>
        <w:gridCol w:w="109"/>
        <w:gridCol w:w="442"/>
        <w:gridCol w:w="429"/>
        <w:gridCol w:w="211"/>
        <w:gridCol w:w="109"/>
        <w:gridCol w:w="109"/>
        <w:gridCol w:w="109"/>
        <w:gridCol w:w="196"/>
        <w:gridCol w:w="421"/>
        <w:gridCol w:w="109"/>
        <w:gridCol w:w="109"/>
        <w:gridCol w:w="109"/>
        <w:gridCol w:w="109"/>
        <w:gridCol w:w="196"/>
        <w:gridCol w:w="646"/>
        <w:gridCol w:w="109"/>
        <w:gridCol w:w="109"/>
        <w:gridCol w:w="109"/>
        <w:gridCol w:w="109"/>
        <w:gridCol w:w="196"/>
        <w:gridCol w:w="661"/>
        <w:gridCol w:w="109"/>
        <w:gridCol w:w="109"/>
        <w:gridCol w:w="109"/>
        <w:gridCol w:w="109"/>
        <w:gridCol w:w="196"/>
        <w:gridCol w:w="406"/>
        <w:gridCol w:w="109"/>
        <w:gridCol w:w="109"/>
        <w:gridCol w:w="109"/>
        <w:gridCol w:w="109"/>
        <w:gridCol w:w="196"/>
        <w:gridCol w:w="556"/>
        <w:gridCol w:w="109"/>
        <w:gridCol w:w="109"/>
        <w:gridCol w:w="109"/>
        <w:gridCol w:w="109"/>
        <w:gridCol w:w="196"/>
        <w:gridCol w:w="57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17 Hartwell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Almaden Boulevard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October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Parcels at Broad Run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3625 Peterson 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North First Business Park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Shady Grove Parcel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221,000 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Proto Kendall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Signature at Reston Town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517,800 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The Lofts at Atlantic Wharf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771,500 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Non-Strategic Office /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140 Kendrick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409,200 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Kingstowne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17,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Non-Strategic Office /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497,500 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1,490,000 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Rental revenue for the three months ended June 30, 2025 includes approximately $0.4 million of termination income.</w:t>
      </w:r>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Residential Net Operating Income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Net operating income for our residential same property increased by approximately $1.1 million for the three months ended June 30, 2026 compared to 2025.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reflects our occupancy and rental rate information, by region, for our residential same property for the three months ended June 30, 2026 and 2025. </w:t>
      </w:r>
    </w:p>
    <w:tbl>
      <w:tblPr>
        <w:tblW w:w="11050" w:type="dxa"/>
        <w:jc w:val="left"/>
        <w:tblInd w:w="0" w:type="dxa"/>
        <w:tblLayout w:type="fixed"/>
        <w:tblCellMar>
          <w:top w:w="28" w:type="dxa"/>
          <w:left w:w="28" w:type="dxa"/>
          <w:bottom w:w="28" w:type="dxa"/>
          <w:right w:w="28" w:type="dxa"/>
        </w:tblCellMar>
      </w:tblPr>
      <w:tblGrid>
        <w:gridCol w:w="309"/>
        <w:gridCol w:w="272"/>
        <w:gridCol w:w="275"/>
        <w:gridCol w:w="109"/>
        <w:gridCol w:w="109"/>
        <w:gridCol w:w="109"/>
        <w:gridCol w:w="196"/>
        <w:gridCol w:w="556"/>
        <w:gridCol w:w="109"/>
        <w:gridCol w:w="196"/>
        <w:gridCol w:w="556"/>
        <w:gridCol w:w="109"/>
        <w:gridCol w:w="214"/>
        <w:gridCol w:w="162"/>
        <w:gridCol w:w="357"/>
        <w:gridCol w:w="109"/>
        <w:gridCol w:w="109"/>
        <w:gridCol w:w="109"/>
        <w:gridCol w:w="196"/>
        <w:gridCol w:w="466"/>
        <w:gridCol w:w="109"/>
        <w:gridCol w:w="196"/>
        <w:gridCol w:w="466"/>
        <w:gridCol w:w="109"/>
        <w:gridCol w:w="193"/>
        <w:gridCol w:w="193"/>
        <w:gridCol w:w="275"/>
        <w:gridCol w:w="109"/>
        <w:gridCol w:w="109"/>
        <w:gridCol w:w="109"/>
        <w:gridCol w:w="233"/>
        <w:gridCol w:w="233"/>
        <w:gridCol w:w="256"/>
        <w:gridCol w:w="233"/>
        <w:gridCol w:w="233"/>
        <w:gridCol w:w="256"/>
        <w:gridCol w:w="189"/>
        <w:gridCol w:w="187"/>
        <w:gridCol w:w="287"/>
        <w:gridCol w:w="109"/>
        <w:gridCol w:w="109"/>
        <w:gridCol w:w="109"/>
        <w:gridCol w:w="233"/>
        <w:gridCol w:w="233"/>
        <w:gridCol w:w="256"/>
        <w:gridCol w:w="233"/>
        <w:gridCol w:w="233"/>
        <w:gridCol w:w="256"/>
        <w:gridCol w:w="204"/>
        <w:gridCol w:w="172"/>
        <w:gridCol w:w="301"/>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 xml:space="preserve">Average Monthly Rental Rate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Average Rental Rate Per Occupied Square Foot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 xml:space="preserve">Average Physical Occupancy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 xml:space="preserve">Average Economic Occupancy </w:t>
            </w:r>
            <w:r>
              <w:rPr>
                <w:rFonts w:ascii="Arial;sans-serif" w:hAnsi="Arial;sans-serif"/>
                <w:b/>
                <w:color w:val="000000"/>
                <w:sz w:val="10"/>
              </w:rPr>
              <w:t>(3)</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7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Change (%)</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Francisco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(1)Average Monthly Rental Rate is calculated as the average of the quotients obtained by dividing (A) rental revenue as determined in accordance with GAAP, by (B) the number of occupied units, for each month within the applicable fiscal period.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(2)Average Physical Occupancy is defined as (1) the average number of occupied units divided by (2) the total number of units, expressed as a percentage.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(3)Average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Average Economic Occupancy are based on the current market rates set by the managers of our residential properties based on their experience in renting their residential property’s units and publicly available market data. Actual market rents and trends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such rents for a region as reported by others may vary materially from Market Rents used by us. Market Rents for a period are based on the average Market Rents during that period and do not reflect any impact for cash concessions. </w:t>
      </w:r>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 xml:space="preserve">Hotel Net Operating Income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Boston Marriott Cambridge hotel had Net Operating Income of approximately $5.5 million for the three months ended June 30, 2026, representing an increase of approximately $0.1 million compared to the three months ended June 30, 2025.</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reflects our occupancy and rate information for the Boston Marriott Cambridge hotel for the three months ended June 30, 2026 and 2025.</w:t>
      </w:r>
    </w:p>
    <w:tbl>
      <w:tblPr>
        <w:tblW w:w="6258" w:type="dxa"/>
        <w:jc w:val="left"/>
        <w:tblInd w:w="0" w:type="dxa"/>
        <w:tblLayout w:type="fixed"/>
        <w:tblCellMar>
          <w:top w:w="28" w:type="dxa"/>
          <w:left w:w="28" w:type="dxa"/>
          <w:bottom w:w="28" w:type="dxa"/>
          <w:right w:w="28" w:type="dxa"/>
        </w:tblCellMar>
      </w:tblPr>
      <w:tblGrid>
        <w:gridCol w:w="613"/>
        <w:gridCol w:w="540"/>
        <w:gridCol w:w="541"/>
        <w:gridCol w:w="109"/>
        <w:gridCol w:w="109"/>
        <w:gridCol w:w="109"/>
        <w:gridCol w:w="211"/>
        <w:gridCol w:w="751"/>
        <w:gridCol w:w="286"/>
        <w:gridCol w:w="109"/>
        <w:gridCol w:w="109"/>
        <w:gridCol w:w="109"/>
        <w:gridCol w:w="211"/>
        <w:gridCol w:w="751"/>
        <w:gridCol w:w="286"/>
        <w:gridCol w:w="109"/>
        <w:gridCol w:w="109"/>
        <w:gridCol w:w="109"/>
        <w:gridCol w:w="218"/>
        <w:gridCol w:w="218"/>
        <w:gridCol w:w="651"/>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6"/>
              </w:rPr>
              <w:br/>
            </w:r>
            <w:r>
              <w:rPr>
                <w:rFonts w:ascii="Arial;sans-serif" w:hAnsi="Arial;sans-serif"/>
                <w:b/>
                <w:color w:val="000000"/>
                <w:sz w:val="16"/>
              </w:rPr>
              <w:t>Change (%)</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daily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Other Operating Revenue and Expense Items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Development and Management Services Revenue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Development and management services revenue decreased by approximately $1.2 million for the three months ended June 30, 2026 compared to 2025. Development services revenue and management services revenue decreased by approximately $0.7 million and $0.5 million, respectively. The decrease in development services revenue is primarily related to decreases in fees associated with tenant improvement projects in the Boston and New York regions. The decrease in management services revenue is primarily related to a leasing commission earned from an unconsolidated joint venture in the New York region in 2025 that did not recur in 2026.</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General and Administrative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General and administrative expense increased by approximately $7.9 million for the three months ended June 30, 2026 compared to 2025 primarily due to increases in compensation expense and other general and administrative expenses of approximately $7.4 million and $0.5 million, respectively. The increase in compensation expense includes an approximately $2.9 million non-cash increase related to the December 2025 issuance of the 2025 OPP Units and an approximately $1.8 million increase in the value of our deferred compensation plan. </w:t>
      </w:r>
    </w:p>
    <w:p>
      <w:pPr>
        <w:pStyle w:val="TextBody"/>
        <w:bidi w:val="0"/>
        <w:spacing w:lineRule="auto" w:line="288" w:before="180" w:after="283"/>
        <w:ind w:left="0" w:right="0" w:firstLine="495"/>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Wages directly related to the development of rental properties are capitalized and included in real estate assets on our Consolidated Balance Sheets and amortized over the useful lives of the applicable asset or lease term. Capitalized wages for the three months ended June 30, 2026 and 2025 were approximately $4.6 million and $4.7 million, respectively. These costs are not included in the general and administrative expenses discussed above.</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Transaction Costs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Transaction costs decreased by approximately $0.4 million for the three months ended June 30, 2026 compared to 2025. In general, transaction costs relating to the formation of new joint ventures and the pursuit of other transactions are expensed as incurred.</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Depreciation and Amortization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Depreciation and amortization expense increased by approximately $13.2 million for the three months ended June 30, 2026 compared to 2025, for BXP and BPLP, as detailed below (in thousands).</w:t>
      </w:r>
    </w:p>
    <w:tbl>
      <w:tblPr>
        <w:tblW w:w="10324" w:type="dxa"/>
        <w:jc w:val="left"/>
        <w:tblInd w:w="0" w:type="dxa"/>
        <w:tblLayout w:type="fixed"/>
        <w:tblCellMar>
          <w:top w:w="28" w:type="dxa"/>
          <w:left w:w="28" w:type="dxa"/>
          <w:bottom w:w="28" w:type="dxa"/>
          <w:right w:w="28" w:type="dxa"/>
        </w:tblCellMar>
      </w:tblPr>
      <w:tblGrid>
        <w:gridCol w:w="924"/>
        <w:gridCol w:w="272"/>
        <w:gridCol w:w="275"/>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Portfolio</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BPLP</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847" w:type="dxa"/>
            <w:gridSpan w:val="24"/>
            <w:tcBorders/>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Same Property Portfolio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Properties Placed In-Service Portfolio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in or Held for Development or Redevelopment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Sold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222,116 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280" w:after="100"/>
        <w:jc w:val="left"/>
        <w:rPr>
          <w:rFonts w:ascii="Arial;sans-serif" w:hAnsi="Arial;sans-serif"/>
          <w:b/>
          <w:color w:val="0869AD"/>
          <w:sz w:val="20"/>
        </w:rPr>
      </w:pPr>
      <w:r>
        <w:rPr>
          <w:rFonts w:ascii="Arial;sans-serif" w:hAnsi="Arial;sans-serif"/>
          <w:b/>
          <w:color w:val="0869AD"/>
          <w:sz w:val="20"/>
        </w:rPr>
        <w:t>Direct Reimbursements of Payroll and Related Costs From Management Services Contracts and Payroll and Related Costs From Management Service Contracts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pStyle w:val="TextBody"/>
        <w:bidi w:val="0"/>
        <w:spacing w:lineRule="auto" w:line="288" w:before="280" w:after="100"/>
        <w:jc w:val="left"/>
        <w:rPr>
          <w:rFonts w:ascii="Arial;sans-serif" w:hAnsi="Arial;sans-serif"/>
          <w:b w:val="false"/>
          <w:color w:val="32A7DC"/>
          <w:sz w:val="24"/>
        </w:rPr>
      </w:pPr>
      <w:r>
        <w:rPr>
          <w:rFonts w:ascii="Arial;sans-serif" w:hAnsi="Arial;sans-serif"/>
          <w:b w:val="false"/>
          <w:color w:val="32A7DC"/>
          <w:sz w:val="24"/>
        </w:rPr>
        <w:t>Other Income and Expense Items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Loss from Unconsolidated Joint Ventures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compared to 2025, loss from unconsolidated joint ventures decreased by approximately $0.9 million primarily due to the approximately $0.8 million gain on sale of real estate in connection with the sale of 13150 Worldgate Drive, during the three months ended June 30, 2026 (See Note 5 to the Consolidated Financial Statements).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Gains on Sales of Real Estate</w:t>
      </w:r>
    </w:p>
    <w:p>
      <w:pPr>
        <w:pStyle w:val="TextBody"/>
        <w:bidi w:val="0"/>
        <w:spacing w:lineRule="auto" w:line="288" w:before="100" w:after="283"/>
        <w:ind w:left="0" w:right="0" w:firstLine="490"/>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compared to 2025, gains on sales of real estate for BXP and BPLP decreased by approximately $11.4 million and $11.5 million, respectively, as detailed below (dollars in thousands). For additional information on the sale that occurred during the three months ended June 30, 2026, refer to Note 3 to the Consolidated Financial Statements. </w:t>
      </w:r>
    </w:p>
    <w:tbl>
      <w:tblPr>
        <w:tblW w:w="9023" w:type="dxa"/>
        <w:jc w:val="left"/>
        <w:tblInd w:w="0" w:type="dxa"/>
        <w:tblLayout w:type="fixed"/>
        <w:tblCellMar>
          <w:top w:w="28" w:type="dxa"/>
          <w:left w:w="28" w:type="dxa"/>
          <w:bottom w:w="28" w:type="dxa"/>
          <w:right w:w="28" w:type="dxa"/>
        </w:tblCellMar>
      </w:tblPr>
      <w:tblGrid>
        <w:gridCol w:w="553"/>
        <w:gridCol w:w="486"/>
        <w:gridCol w:w="490"/>
        <w:gridCol w:w="109"/>
        <w:gridCol w:w="109"/>
        <w:gridCol w:w="109"/>
        <w:gridCol w:w="277"/>
        <w:gridCol w:w="277"/>
        <w:gridCol w:w="278"/>
        <w:gridCol w:w="112"/>
        <w:gridCol w:w="112"/>
        <w:gridCol w:w="112"/>
        <w:gridCol w:w="419"/>
        <w:gridCol w:w="419"/>
        <w:gridCol w:w="421"/>
        <w:gridCol w:w="109"/>
        <w:gridCol w:w="109"/>
        <w:gridCol w:w="109"/>
        <w:gridCol w:w="349"/>
        <w:gridCol w:w="349"/>
        <w:gridCol w:w="351"/>
        <w:gridCol w:w="109"/>
        <w:gridCol w:w="109"/>
        <w:gridCol w:w="109"/>
        <w:gridCol w:w="109"/>
        <w:gridCol w:w="109"/>
        <w:gridCol w:w="436"/>
        <w:gridCol w:w="109"/>
        <w:gridCol w:w="196"/>
        <w:gridCol w:w="646"/>
        <w:gridCol w:w="109"/>
        <w:gridCol w:w="109"/>
        <w:gridCol w:w="109"/>
        <w:gridCol w:w="109"/>
        <w:gridCol w:w="196"/>
        <w:gridCol w:w="64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Gain on Sale </w:t>
            </w:r>
            <w:r>
              <w:rPr>
                <w:rFonts w:ascii="Arial;sans-serif" w:hAnsi="Arial;sans-serif"/>
                <w:b/>
                <w:color w:val="000000"/>
                <w:sz w:val="10"/>
              </w:rPr>
              <w:t>(1)</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BXP</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BPLP</w:t>
            </w:r>
          </w:p>
        </w:tc>
        <w:tc>
          <w:tcPr>
            <w:tcW w:w="1323" w:type="dxa"/>
            <w:gridSpan w:val="6"/>
            <w:tcBorders/>
          </w:tcPr>
          <w:p>
            <w:pPr>
              <w:pStyle w:val="TableContents"/>
              <w:bidi w:val="0"/>
              <w:spacing w:before="0" w:after="283"/>
              <w:jc w:val="left"/>
              <w:rPr>
                <w:sz w:val="4"/>
                <w:szCs w:val="4"/>
              </w:rPr>
            </w:pPr>
            <w:r>
              <w:rPr>
                <w:sz w:val="4"/>
                <w:szCs w:val="4"/>
              </w:rPr>
            </w:r>
          </w:p>
        </w:tc>
      </w:tr>
      <w:tr>
        <w:trPr/>
        <w:tc>
          <w:tcPr>
            <w:tcW w:w="15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6"/>
              </w:rPr>
            </w:pPr>
            <w:r>
              <w:rPr>
                <w:rFonts w:ascii="Arial;sans-serif" w:hAnsi="Arial;sans-serif"/>
                <w:b w:val="false"/>
                <w:color w:val="000000"/>
                <w:sz w:val="16"/>
              </w:rPr>
              <w:t>Kingstowne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Alexandria, VA</w:t>
            </w:r>
          </w:p>
        </w:tc>
        <w:tc>
          <w:tcPr>
            <w:tcW w:w="15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17, 2026</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88,300 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17 Hartwell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Lexington, MA</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fair value of the real estate disposed exceeded the carrying value. For the three months ended June 30, 2026, amounts exclude approximately $32,000 of loss related to sales that occurred in prior periods.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Interest and Other Income (Loss)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and other income (loss) decreased by approximately $1.9 million for the three months ended June 30, 2026 compared to 2025, due primarily to lower interest income partially offset by a reserve related to the unpaid default interest on one of our related party notes receivable during the three months ended June 30, 2025 of approximately $1.2 million.</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Gains from Investments in Securities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Gains from investments in securities for the three months ended June 30, 2026 and 2025 related to investments that we have made to reduce our market risk relating to deferred compensation plans that we maintain for BXP’s officers and former non-employee directors. Under their respective deferred compensation plans, eligible officers and non-employee directors are permitted to defer a portion of their current compensation on a pre-tax basis and receive a tax-deferred return on the amounts deferred based on the performance of specific investments selected by participating officers and non-employee directors. In order to reduce our market risk relating to these plans, we typically acquire similar or identical investments as those selected by each officer or non-employee director and hold them in a separate account that is unrestricted as to its use. This enables us to generally match our liabilities to participants under our deferred compensation plans with equivalent assets and thereby limit our market risk. The performance of these investments is recorded as gains from investments in securities. During the three months ended June 30, 2026 and 2025, we recognized gains of approximately $4.4 million and $2.6 million, respectively, on these investments. By comparison, our general and administrative expense increased by approximately $4.4 million and $2.6 million during the three months ended June 30, 2026 and 2025, respectively, as a result of increases in our liability under our deferred compensation plans that were associated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performance of the specific investments selected by participating officers and former non-employee directors of BXP.</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Unrealized Loss on Non-Real Estate Investments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invest in non-real estate investments, which primarily consist of environmentally-focused investment funds. During the three months ended June 30, 2026 and 2025, we recognized an unrealized loss of approximately $75,000 and $39,000, respectively, due to the observable changes in the fair value of the investments.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Impairment Loss</w:t>
      </w:r>
    </w:p>
    <w:p>
      <w:pPr>
        <w:pStyle w:val="TextBody"/>
        <w:bidi w:val="0"/>
        <w:spacing w:lineRule="auto" w:line="276" w:before="0" w:after="0"/>
        <w:ind w:left="0" w:right="0" w:firstLine="495"/>
        <w:jc w:val="left"/>
        <w:rPr>
          <w:rFonts w:ascii="Arial;sans-serif" w:hAnsi="Arial;sans-serif"/>
          <w:b w:val="false"/>
          <w:color w:val="000000"/>
          <w:sz w:val="20"/>
        </w:rPr>
      </w:pPr>
      <w:r>
        <w:rPr>
          <w:rFonts w:ascii="Arial;sans-serif" w:hAnsi="Arial;sans-serif"/>
          <w:b w:val="false"/>
          <w:color w:val="000000"/>
          <w:sz w:val="20"/>
        </w:rPr>
        <w:t>On May 27, 2026, we entered into an agreement to sell our leasehold interest and improvements thereon commonly known as the Sumner Square to a third party and on May 29, 2026, the sale met our “held for sale” criteria. Following the classification of the assets as “held for sale,” the assets are written down to the lower of carrying value or estimated fair value, less the costs to sell. As a result, BXP and BPLP recognized a non-cash impairment loss of approximately $18.0 million and $16.8 million, respectively, during the three months ended June 30, 2026 (See Notes 2, 3 and 14 to the Consolidated Financial Statements).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Interest Expense</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expense decreased by approximately $9.4 million for the three months ended June 30, 2026 compared to 2025, as detailed below.</w:t>
      </w:r>
    </w:p>
    <w:tbl>
      <w:tblPr>
        <w:tblW w:w="10205" w:type="dxa"/>
        <w:jc w:val="left"/>
        <w:tblInd w:w="0" w:type="dxa"/>
        <w:tblLayout w:type="fixed"/>
        <w:tblCellMar>
          <w:top w:w="28" w:type="dxa"/>
          <w:left w:w="28" w:type="dxa"/>
          <w:bottom w:w="28" w:type="dxa"/>
          <w:right w:w="28" w:type="dxa"/>
        </w:tblCellMar>
      </w:tblPr>
      <w:tblGrid>
        <w:gridCol w:w="1903"/>
        <w:gridCol w:w="1615"/>
        <w:gridCol w:w="1619"/>
        <w:gridCol w:w="109"/>
        <w:gridCol w:w="109"/>
        <w:gridCol w:w="109"/>
        <w:gridCol w:w="987"/>
        <w:gridCol w:w="3026"/>
        <w:gridCol w:w="728"/>
      </w:tblGrid>
      <w:tr>
        <w:trPr/>
        <w:tc>
          <w:tcPr>
            <w:tcW w:w="1903"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Change in interest expense for the three months ended June 30, 2026 compared to June 30, 2025</w:t>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to interest expense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Issuance of $1.0 billion in aggregate principal of 2.000% exchangeable senior notes due 2030 on September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 of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72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interest expense (excluding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increases 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6,091 </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to interest expense due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$1.0 billion in aggregate principal of 3.650% senior notes due 2026 on February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(9,210)</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 xml:space="preserve">Decrease in interest associated with unsecured term loans and the unsecured credit facility, net </w:t>
            </w:r>
            <w:r>
              <w:rPr>
                <w:rFonts w:ascii="Arial;sans-serif" w:hAnsi="Arial;sans-serif"/>
                <w:b w:val="false"/>
                <w:color w:val="000000"/>
                <w:sz w:val="13"/>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(3,593)</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w:t>
            </w:r>
          </w:p>
        </w:tc>
        <w:tc>
          <w:tcPr>
            <w:tcW w:w="72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capitalized interest related to development projects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 xml:space="preserve">Mortgage loan financings </w:t>
            </w:r>
            <w:r>
              <w:rPr>
                <w:rFonts w:ascii="Arial;sans-serif" w:hAnsi="Arial;sans-serif"/>
                <w:b w:val="false"/>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w:t>
            </w:r>
          </w:p>
        </w:tc>
        <w:tc>
          <w:tcPr>
            <w:tcW w:w="72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interest due to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decreases 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(15,449)</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(9,358)</w:t>
            </w:r>
          </w:p>
        </w:tc>
        <w:tc>
          <w:tcPr>
            <w:tcW w:w="7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76" w:before="0" w:after="0"/>
        <w:ind w:left="0" w:right="0" w:hanging="360"/>
        <w:jc w:val="left"/>
        <w:rPr/>
      </w:pPr>
      <w:r>
        <w:rPr>
          <w:rFonts w:ascii="Arial;sans-serif" w:hAnsi="Arial;sans-serif"/>
          <w:b w:val="false"/>
          <w:color w:val="000000"/>
          <w:sz w:val="18"/>
        </w:rPr>
        <w:t>(1)Includes</w:t>
      </w:r>
      <w:r>
        <w:rPr>
          <w:rFonts w:ascii="Arial;sans-serif" w:hAnsi="Arial;sans-serif"/>
          <w:b w:val="false"/>
          <w:color w:val="000000"/>
          <w:sz w:val="18"/>
          <w:shd w:fill="FFFFFF" w:val="clear"/>
        </w:rPr>
        <w:t xml:space="preserve">, if applicable, fair value and swap adjustments (See Note </w:t>
      </w:r>
      <w:r>
        <w:rPr>
          <w:rFonts w:ascii="Arial;sans-serif" w:hAnsi="Arial;sans-serif"/>
          <w:b w:val="false"/>
          <w:color w:val="000000"/>
          <w:sz w:val="18"/>
        </w:rPr>
        <w:t>7</w:t>
      </w:r>
      <w:r>
        <w:rPr>
          <w:color w:val="000000"/>
          <w:shd w:fill="FFFFFF" w:val="clear"/>
        </w:rPr>
        <w:t xml:space="preserve"> </w:t>
      </w:r>
      <w:r>
        <w:rPr>
          <w:rFonts w:ascii="Arial;sans-serif" w:hAnsi="Arial;sans-serif"/>
          <w:b w:val="false"/>
          <w:color w:val="000000"/>
          <w:sz w:val="18"/>
          <w:shd w:fill="FFFFFF" w:val="clear"/>
        </w:rPr>
        <w:t>to the Consolidated Financial Statements).</w:t>
      </w:r>
    </w:p>
    <w:p>
      <w:pPr>
        <w:pStyle w:val="TextBody"/>
        <w:bidi w:val="0"/>
        <w:spacing w:lineRule="auto" w:line="288" w:before="3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June 30, 2026 and 2025 was approximately $12.9 million and $12.1 million, respectively. These costs are not included in the interest expense referenced above.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June 30, 2026, our variable rate debt consisted of (1) the $100.0 million 2024 Unsecured Term Loan, (2) BPLP’s $2.95 billion 2025 Credit Facility and (3) BPLP’s $750.0 million Commercial Paper Program. The 2025 Credit Facility consists of (1) the Revolving Facility of $2.25 billion and (2) the Term Loan Facility of $700.0 million. As of June 30, 2026, there were $100.0 million, $700.0 million and $750.0 million outstanding under the 2024 Unsecured Term Loan, 2025 Credit Facility and Commercial Paper Program,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we have an aggregate of $800.0 million of mortgage notes collateralized by Santa Monica Business Park and 325 Main Street, 355 Main Street, 90 Broadway and Cambridge East Garage (also known as Kendall Center Green Garage) properties that bear interest at variable rates. However, $600.0 million of this debt has been hedged with interest rate swaps to fix SOFR, the base rate for the mortgage collateralized by 325 Main Street, 355 Main Street, 90 Broadway and Cambridge East Garage (also known as Kendall Center Green Garage) properties, for the applicable debt term. </w:t>
      </w:r>
    </w:p>
    <w:p>
      <w:pPr>
        <w:pStyle w:val="TextBody"/>
        <w:bidi w:val="0"/>
        <w:spacing w:lineRule="auto" w:line="288" w:before="180" w:after="283"/>
        <w:ind w:left="0" w:right="0" w:firstLine="495"/>
        <w:jc w:val="left"/>
        <w:rPr/>
      </w:pPr>
      <w:r>
        <w:rPr>
          <w:rFonts w:ascii="Arial;sans-serif" w:hAnsi="Arial;sans-serif"/>
          <w:b w:val="false"/>
          <w:color w:val="000000"/>
          <w:sz w:val="20"/>
        </w:rPr>
        <w:t>For a summary of our consolidated debt as of June 30, 2026 refer to the heading “</w:t>
      </w:r>
      <w:r>
        <w:rPr>
          <w:rFonts w:ascii="Arial;sans-serif" w:hAnsi="Arial;sans-serif"/>
          <w:b w:val="false"/>
          <w:i/>
          <w:color w:val="000000"/>
          <w:sz w:val="20"/>
        </w:rPr>
        <w:t>Liquidity and Capital Resources—Debt”</w:t>
      </w:r>
      <w:r>
        <w:rPr>
          <w:color w:val="000000"/>
        </w:rPr>
        <w:t xml:space="preserve"> </w:t>
      </w:r>
      <w:r>
        <w:rPr>
          <w:rFonts w:ascii="Arial;sans-serif" w:hAnsi="Arial;sans-serif"/>
          <w:b w:val="false"/>
          <w:color w:val="000000"/>
          <w:sz w:val="20"/>
        </w:rPr>
        <w:t>within “</w:t>
      </w:r>
      <w:r>
        <w:rPr>
          <w:rFonts w:ascii="Arial;sans-serif" w:hAnsi="Arial;sans-serif"/>
          <w:b w:val="false"/>
          <w:i/>
          <w:color w:val="000000"/>
          <w:sz w:val="20"/>
        </w:rPr>
        <w:t>Item 2—Management’s Discussion and Analysis of Financial Condition and Results of Operations.</w:t>
      </w:r>
      <w:r>
        <w:rPr>
          <w:color w:val="000000"/>
        </w:rPr>
        <w:t>”</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Noncontrolling Interests in Property Partnerships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Noncontrolling interests in property partnerships increased by approximately $6.0 million for the three months ended June 30, 2026 compared to 2025, as detailed below. </w:t>
      </w:r>
    </w:p>
    <w:tbl>
      <w:tblPr>
        <w:tblW w:w="10205" w:type="dxa"/>
        <w:jc w:val="center"/>
        <w:tblInd w:w="0" w:type="dxa"/>
        <w:tblLayout w:type="fixed"/>
        <w:tblCellMar>
          <w:top w:w="28" w:type="dxa"/>
          <w:left w:w="28" w:type="dxa"/>
          <w:bottom w:w="28" w:type="dxa"/>
          <w:right w:w="28" w:type="dxa"/>
        </w:tblCellMar>
      </w:tblPr>
      <w:tblGrid>
        <w:gridCol w:w="1263"/>
        <w:gridCol w:w="1088"/>
        <w:gridCol w:w="1096"/>
        <w:gridCol w:w="109"/>
        <w:gridCol w:w="109"/>
        <w:gridCol w:w="109"/>
        <w:gridCol w:w="356"/>
        <w:gridCol w:w="1269"/>
        <w:gridCol w:w="183"/>
        <w:gridCol w:w="183"/>
        <w:gridCol w:w="183"/>
        <w:gridCol w:w="183"/>
        <w:gridCol w:w="356"/>
        <w:gridCol w:w="1269"/>
        <w:gridCol w:w="183"/>
        <w:gridCol w:w="183"/>
        <w:gridCol w:w="183"/>
        <w:gridCol w:w="183"/>
        <w:gridCol w:w="356"/>
        <w:gridCol w:w="1091"/>
        <w:gridCol w:w="270"/>
      </w:tblGrid>
      <w:tr>
        <w:trPr/>
        <w:tc>
          <w:tcPr>
            <w:tcW w:w="126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Noncontrolling Interests in Property Partnerships for the three months ended June 30,</w:t>
            </w:r>
          </w:p>
        </w:tc>
      </w:tr>
      <w:tr>
        <w:trPr/>
        <w:tc>
          <w:tcPr>
            <w:tcW w:w="34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767 Fifth Avenue (the General Motors Building)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7 Times Square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(1,888)</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601 Lexington Avenue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100 Federal Street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Atlantic Wharf Office Building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343 Madison Avenue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300 Binney Street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290 Binney Street </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26,121 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20,100 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6,021 </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(1)The increase was primarily due to a decrease in repairs and maintenance expense.</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(2)The decrease was primarily due to the expiration of a tax credit.</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(3)On August 27, 2025, we acquired our partner’s 45% ownership interest.</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(4)Property was fully placed in-service on April 30, 2026.</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Noncontrolling Interest—Common Units of the Operating Partnership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BXP, noncontrolling interest—common units of the Operating Partnership decreased by approximately $2.3 million for the three months ended June 30, 2026 compared to 2025 primarily due to a decrease in allocable income, which was primarily the result of recognizing a greater gain on sales of real estate during the three months ended June 30, 2025, as well as a decrease in the noncontrolling interest’s ownership percentage. Due to our ownership structure, there is no corresponding line item on BPLP’s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000000"/>
          <w:sz w:val="28"/>
        </w:rPr>
      </w:pPr>
      <w:r>
        <w:rPr>
          <w:rFonts w:ascii="Arial;sans-serif" w:hAnsi="Arial;sans-serif"/>
          <w:b w:val="false"/>
          <w:color w:val="000000"/>
          <w:sz w:val="28"/>
        </w:rPr>
        <w:t xml:space="preserve">Liquidity and Capital Resources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General</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Our principal liquidity needs for the next twelve months and beyond are to:</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normal recurring expenses;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meet debt service and principal repayment obligations on maturing debt, including:</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$100.0 million of principal outstanding on the 2024 Unsecured Term Loan maturing September 26, 2026, for which we have two, one-year extension options, subject to customary conditions;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$1.0 billion of 2.750% unsecured senior notes due October 1, 2026;</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$2.3 billion of mortgage debt that is secured by 767 Fifth Avenue in New York City (BXP holds a 60% ownership interest) and matures on June 9, 2027;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amounts that become due under the Commercial Paper Program;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capital calls from our unconsolidated joint venture investments to fund development costs, capital improvements, leasing costs and debt service and principal repayments;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mezzanine debt obligations;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development and redevelopment costs;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capital expenditures, including major renovations, tenant improvements and leasing costs;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fund possible acquisitions of properties, either directly or indirectly through the acquisition of equity interests; and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make the minimum distribution required to enable BXP to maintain its REIT qualification under the Code.</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We expect to satisfy these needs using one or more of the following:</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cash flow from operations;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distributions of cash flows from joint ventures;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cash and cash equivalent balances;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borrowings under BPLP’s Revolving Facility, unsecured term loans, short-term bridge facilities and construction loans (which may require guarantees by BPLP);</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proceeds from the sales of real estate and interests in joint ventures owning real estate, including proceeds generated from BXP’s asset sales program;</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long-term secured and unsecured indebtedness (including unsecured exchangeable indebtedness);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private equity sources, including institutional investors;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 xml:space="preserve">third-party fees generated by our property management, leasing, development and construction businesses; and </w:t>
      </w:r>
    </w:p>
    <w:p>
      <w:pPr>
        <w:pStyle w:val="TextBody"/>
        <w:bidi w:val="0"/>
        <w:spacing w:lineRule="auto" w:line="288" w:before="100" w:after="240"/>
        <w:ind w:left="0" w:right="0" w:hanging="360"/>
        <w:jc w:val="left"/>
        <w:rPr/>
      </w:pPr>
      <w:r>
        <w:rPr>
          <w:color w:val="000000"/>
        </w:rPr>
        <w:t>•</w:t>
      </w:r>
      <w:r>
        <w:rPr>
          <w:rFonts w:ascii="Arial;sans-serif" w:hAnsi="Arial;sans-serif"/>
          <w:b w:val="false"/>
          <w:color w:val="000000"/>
          <w:sz w:val="20"/>
        </w:rPr>
        <w:t>issuances of BXP equity securities and/or preferred or common units of partnership interests in BPLP.</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draw on multiple financing sources to fund our long-term capital needs. We use BPLP’s Revolving Facility primarily as a bridge facility to fund acquisition opportunities, refinance outstanding indebtedness, fund short-term development costs and for working capital. We also use BPLP’s Revolving Facility to backstop the Commercial Paper Program. Although we may seek to fund our development projects with construction loans, which may require guarantees by BPLP, the source of financing for each particular project ultimately depends on several factors, including, among others, the project’s size and duration, whether the project is funded and owned by a joint venture, the extent of pre-leasing, our available cash and access to cost effective capital at the given time.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interest earned on cash deposits and, from time to time, the sale of assets. We believe these capital sources will continue to meet our short-term liquidity needs. An adverse change in one or more sources of capital may have a material adverse effect on our net cash flows and our ability to repay or refinance existing indebtedness as it matures.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Balance Sheet &amp; Financing Activity</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As of July 31, 2026, we had available cash of approximately $345.7 million (of which approximately $93.3 million was attributable to our consolidated joint venture partners). Our liquidity and capital resources depend on a wide range of factors. We believe that our access to capital and our strong liquidity, including the approximately $1.3 billion available under BPLP’s Revolving Facility (after deducting the $750.0 million being used as a backstop for the Commercial Paper Program), and our available cash, are generally sufficient to fund our near-term capital needs on existing development and redevelopment projects, repay our maturing indebtedness when due (if not refinanced or extended), satisfy our REIT distribution requirements (see “REIT Tax Distribution Considerations” below) and still allow us to act opportunistically on attractive investment opportunities. Specifically with respect to the mortgage debt secured by 767 Fifth Avenue, we expect to refinance the loan in the commercial mortgage market and have received several lender quotes to refinance the debt at or prior to its maturity. However, there can be no assurance that we will be able to refinance the loans on terms favorable to us, or at all.</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From January 1, 2025 through August 5, 2026, we completed 19 sales transactions of which our share of the aggregate gross sales price was approximately $1.5 billion and our share of the net proceeds was approximately $1.3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may seek to enhance our liquidity to fund our current and future development activity, pursue attractive investment opportunities and refinance or repay indebtedness. Depending on then-current interest rates, the overall conditions in the public and private debt and equity markets, and our existing and expected leverage at the time, we may decide to access one or more of these capital sources. Doing so may result in greater cash and cash equivalents pending our use of the proceeds. </w:t>
      </w:r>
    </w:p>
    <w:p>
      <w:pPr>
        <w:pStyle w:val="TextBody"/>
        <w:bidi w:val="0"/>
        <w:spacing w:lineRule="auto" w:line="288" w:before="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have not sold any shares under BXP’s $1.0 billion “at the market” equity offering program.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Construction &amp; Redevelopment Activities</w:t>
      </w:r>
    </w:p>
    <w:p>
      <w:pPr>
        <w:pStyle w:val="TextBody"/>
        <w:bidi w:val="0"/>
        <w:spacing w:lineRule="auto" w:line="288" w:before="4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June 30, 2026, we have six properties under development or redevelopment. Our share of the estimated total investment for these projects is approximately $3.3 billion, of which approximately $900 million remained to be invested after the closing of a $1.2 billion construction loan secured by 343 Madison Avenue on July 28, 2026 (See Note 14 to the Consolidated Financial Statements). The commercial space in the pipeline, which excludes residential units, was approximately 65% pre-leased as of July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information on properties under construction/redevelopment as of June 30, 2026 (dollars in thousands):</w:t>
      </w:r>
    </w:p>
    <w:tbl>
      <w:tblPr>
        <w:tblW w:w="14758" w:type="dxa"/>
        <w:jc w:val="left"/>
        <w:tblInd w:w="0" w:type="dxa"/>
        <w:tblLayout w:type="fixed"/>
        <w:tblCellMar>
          <w:top w:w="28" w:type="dxa"/>
          <w:left w:w="28" w:type="dxa"/>
          <w:bottom w:w="28" w:type="dxa"/>
          <w:right w:w="28" w:type="dxa"/>
        </w:tblCellMar>
      </w:tblPr>
      <w:tblGrid>
        <w:gridCol w:w="562"/>
        <w:gridCol w:w="349"/>
        <w:gridCol w:w="350"/>
        <w:gridCol w:w="109"/>
        <w:gridCol w:w="109"/>
        <w:gridCol w:w="109"/>
        <w:gridCol w:w="305"/>
        <w:gridCol w:w="305"/>
        <w:gridCol w:w="306"/>
        <w:gridCol w:w="109"/>
        <w:gridCol w:w="109"/>
        <w:gridCol w:w="109"/>
        <w:gridCol w:w="338"/>
        <w:gridCol w:w="338"/>
        <w:gridCol w:w="300"/>
        <w:gridCol w:w="109"/>
        <w:gridCol w:w="109"/>
        <w:gridCol w:w="109"/>
        <w:gridCol w:w="235"/>
        <w:gridCol w:w="235"/>
        <w:gridCol w:w="236"/>
        <w:gridCol w:w="109"/>
        <w:gridCol w:w="109"/>
        <w:gridCol w:w="109"/>
        <w:gridCol w:w="519"/>
        <w:gridCol w:w="352"/>
        <w:gridCol w:w="251"/>
        <w:gridCol w:w="109"/>
        <w:gridCol w:w="109"/>
        <w:gridCol w:w="109"/>
        <w:gridCol w:w="196"/>
        <w:gridCol w:w="736"/>
        <w:gridCol w:w="109"/>
        <w:gridCol w:w="109"/>
        <w:gridCol w:w="109"/>
        <w:gridCol w:w="109"/>
        <w:gridCol w:w="196"/>
        <w:gridCol w:w="871"/>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210"/>
        <w:gridCol w:w="196"/>
        <w:gridCol w:w="434"/>
        <w:gridCol w:w="372"/>
      </w:tblGrid>
      <w:tr>
        <w:trPr/>
        <w:tc>
          <w:tcPr>
            <w:tcW w:w="56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Financings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Construction/Redevelopment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Stabilization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Investment to Date </w:t>
            </w:r>
            <w:r>
              <w:rPr>
                <w:rFonts w:ascii="Arial;sans-serif" w:hAnsi="Arial;sans-serif"/>
                <w:b/>
                <w:color w:val="000000"/>
                <w:sz w:val="9"/>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Estimated Total Investment </w:t>
            </w:r>
            <w:r>
              <w:rPr>
                <w:rFonts w:ascii="Arial;sans-serif" w:hAnsi="Arial;sans-serif"/>
                <w:b/>
                <w:color w:val="000000"/>
                <w:sz w:val="9"/>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Total Available </w:t>
            </w:r>
            <w:r>
              <w:rPr>
                <w:rFonts w:ascii="Arial;sans-serif" w:hAnsi="Arial;sans-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Outstanding at June 30, 2026 </w:t>
            </w:r>
          </w:p>
          <w:p>
            <w:pPr>
              <w:pStyle w:val="TableContents"/>
              <w:bidi w:val="0"/>
              <w:spacing w:lineRule="auto" w:line="240" w:before="0" w:after="0"/>
              <w:jc w:val="center"/>
              <w:rPr>
                <w:rFonts w:ascii="Arial;sans-serif" w:hAnsi="Arial;sans-serif"/>
                <w:b/>
                <w:color w:val="000000"/>
                <w:sz w:val="9"/>
              </w:rPr>
            </w:pP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Estimated Future Equity Requirement </w:t>
            </w:r>
            <w:r>
              <w:rPr>
                <w:rFonts w:ascii="Arial;sans-serif" w:hAnsi="Arial;sans-serif"/>
                <w:b/>
                <w:color w:val="000000"/>
                <w:sz w:val="9"/>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Percentage Leased </w:t>
            </w:r>
            <w:r>
              <w:rPr>
                <w:rFonts w:ascii="Arial;sans-serif" w:hAnsi="Arial;sans-serif"/>
                <w:b/>
                <w:color w:val="000000"/>
                <w:sz w:val="9"/>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5"/>
              </w:rPr>
              <w:t xml:space="preserve">Reservoir Place (Redevelopment) </w:t>
            </w:r>
            <w:r>
              <w:rPr>
                <w:rFonts w:ascii="Arial;sans-serif" w:hAnsi="Arial;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Waltham, 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725 12th Street (Redevelopment)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Q4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Washington, 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320,000 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109,553 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5"/>
              </w:rPr>
              <w:t xml:space="preserve">343 Madison Avenue </w:t>
            </w:r>
            <w:r>
              <w:rPr>
                <w:rFonts w:ascii="Arial;sans-serif" w:hAnsi="Arial;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1,971,000 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1,541,377 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Office Properties under Construction/Redevelopment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1,613,000 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551,130 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2,407,600 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1,856,470 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66 </w:t>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042" w:type="dxa"/>
            <w:gridSpan w:val="15"/>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5"/>
                <w:u w:val="single"/>
              </w:rPr>
              <w:t xml:space="preserve">Residential </w:t>
            </w:r>
            <w:r>
              <w:rPr>
                <w:rFonts w:ascii="Arial;sans-serif" w:hAnsi="Arial;sans-serif"/>
                <w:b/>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17 Hartwell Avenue (312 units) (20% ownership)</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Lexington, 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347,000 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17 Hartwell Avenue -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121 Broadway Street (439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Cambridge, 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121 Broadway Street -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290 Coles Street (670 Units) (19.46% ownership)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Q3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Jersey City,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693,000 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Arial;sans-serif" w:hAnsi="Arial;sans-serif"/>
                <w:b w:val="false"/>
                <w:color w:val="000000"/>
                <w:sz w:val="12"/>
              </w:rPr>
            </w:pPr>
            <w:r>
              <w:rPr>
                <w:rFonts w:ascii="Arial;sans-serif" w:hAnsi="Arial;sans-serif"/>
                <w:b w:val="false"/>
                <w:color w:val="000000"/>
                <w:sz w:val="12"/>
              </w:rPr>
              <w:t>(9)</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290 Coles Street -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Worldgate Drive (359 units) (20% ownership)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Q2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Herndon, 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347,000 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Residential Properties under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1,893,650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434,179 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748,800 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242,948 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807"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5"/>
              </w:rPr>
              <w:t xml:space="preserve">Total Properties under Construction/Redevelopment </w:t>
            </w:r>
            <w:r>
              <w:rPr>
                <w:rFonts w:ascii="Arial;sans-serif" w:hAnsi="Arial;sans-serif"/>
                <w:b/>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3,506,650 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985,309 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3,156,400 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89,808 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16,027 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2,099,418 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65 </w:t>
            </w:r>
          </w:p>
        </w:tc>
        <w:tc>
          <w:tcPr>
            <w:tcW w:w="4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(11)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 xml:space="preserve">(1)Represents our share.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 xml:space="preserve">(2)Each of Investment to Date, Estimated Total Investment and Estimated Future Equity Requirement represent our share of acquisition expenses, as applicable, and reflects our share of the estimated net revenue/expenses that we expect to incur prior to stabilization of the project, including any amounts actually received or paid through June 30, 2026.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(3)Includes approximately $94.7 million of unpaid but accrued construction costs and leasing commissions.</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(4)Excludes approximately $94.7 million of unpaid but accrued construction costs and leasing commissions.</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 xml:space="preserve">(5)Represents percentage leased as of July 31, 2026, including leases with future commencement dates. </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(6)Reservoir Place is an approximately 528,000 square foot office building, of which approximately 165,000 square feet remains in-service (see Note 3 to the Consolidated Financial Statements).</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(7)On July 28, 2026, we closed on a $1.2 billion construction loan reducing our future equity spend for this project to approximately $341 million (see Note 14 to the Consolidated Financial Statements).</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(8)Residential Projects are shown in gross square feet.</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(9)Total Available Financing and Outstanding at June 30, 2026 includes our share of the $225 million construction loan and $65 million of preferred equity. We provided the preferred equity, which accrues at a 13% internal rate of return and has been fully funded.</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(10)In connection with the development of 290 Binney Street (see Note 3 to the Consolidated Financial Statements), we have the sole obligation to construct an underground electrical vault for an estimated gross cost of $183.9 million. We have entered into a contract to sell the electrical vault to a third-party for a fixed price of $84.1 million upon completion.  The net investment of $99.8 million will be included in our outside basis in 290 Binney Street. We have invested $147.1 million for the vault as of June 30, 2026.</w:t>
      </w:r>
    </w:p>
    <w:p>
      <w:pPr>
        <w:pStyle w:val="TextBody"/>
        <w:bidi w:val="0"/>
        <w:spacing w:lineRule="auto" w:line="288" w:before="0" w:after="0"/>
        <w:ind w:left="0" w:right="0" w:hanging="360"/>
        <w:jc w:val="left"/>
        <w:rPr>
          <w:rFonts w:ascii="Arial;sans-serif" w:hAnsi="Arial;sans-serif"/>
          <w:b w:val="false"/>
          <w:color w:val="000000"/>
          <w:sz w:val="17"/>
        </w:rPr>
      </w:pPr>
      <w:r>
        <w:rPr>
          <w:rFonts w:ascii="Arial;sans-serif" w:hAnsi="Arial;sans-serif"/>
          <w:b w:val="false"/>
          <w:color w:val="000000"/>
          <w:sz w:val="17"/>
        </w:rPr>
        <w:t>(11)Percentage leased excludes residential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 xml:space="preserve">REIT Tax Distribution Considerations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Dividend</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a REIT, BXP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Holders of common and LTIP units (other than unearned MYLTIP units and 2025 OPP Units) of limited partnership interest in BPLP receive the same distribution per unit that is paid per share of BXP common stock.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 xml:space="preserve">Sales </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If we sell assets at a gain and cannot efficiently use the proceeds in a tax deferred manner for either our development activities or acquisitions, we will,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From time to time in select cases, whether due to a change in use, structuring issues to comply with applicable REIT regulations or other reasons, we may sell an asset that is held by a taxable REIT subsidiary (“TRS”). Such a sale by a TRS would be subject to federal and local taxes. </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Cash Flow Summary</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summary discussion of our cash flows is based on the Consolidated Statements of Cash Flows and is not meant to be an all-inclusive discussion of the changes in our cash flows for the periods presented below.</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Cash and cash equivalents and cash held in escrows aggregated approximately $553.5 million and $527.8 million at June 30, 2026 and 2025, respectively, representing an increase of approximately $25.6 million. The following table sets forth changes in cash flows:</w:t>
      </w:r>
    </w:p>
    <w:tbl>
      <w:tblPr>
        <w:tblW w:w="7795" w:type="dxa"/>
        <w:jc w:val="left"/>
        <w:tblInd w:w="0" w:type="dxa"/>
        <w:tblLayout w:type="fixed"/>
        <w:tblCellMar>
          <w:top w:w="28" w:type="dxa"/>
          <w:left w:w="28" w:type="dxa"/>
          <w:bottom w:w="28" w:type="dxa"/>
          <w:right w:w="28" w:type="dxa"/>
        </w:tblCellMar>
      </w:tblPr>
      <w:tblGrid>
        <w:gridCol w:w="1326"/>
        <w:gridCol w:w="1163"/>
        <w:gridCol w:w="1171"/>
        <w:gridCol w:w="213"/>
        <w:gridCol w:w="867"/>
        <w:gridCol w:w="109"/>
        <w:gridCol w:w="109"/>
        <w:gridCol w:w="109"/>
        <w:gridCol w:w="109"/>
        <w:gridCol w:w="211"/>
        <w:gridCol w:w="856"/>
        <w:gridCol w:w="109"/>
        <w:gridCol w:w="109"/>
        <w:gridCol w:w="109"/>
        <w:gridCol w:w="109"/>
        <w:gridCol w:w="211"/>
        <w:gridCol w:w="75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660" w:type="dxa"/>
            <w:gridSpan w:val="3"/>
            <w:vMerge w:val="continue"/>
            <w:tcBorders/>
            <w:tcMar>
              <w:top w:w="0" w:type="dxa"/>
              <w:left w:w="0" w:type="dxa"/>
              <w:bottom w:w="0" w:type="dxa"/>
              <w:right w:w="0" w:type="dxa"/>
            </w:tcMar>
            <w:vAlign w:val="center"/>
          </w:tcPr>
          <w:p>
            <w:pPr>
              <w:pStyle w:val="Normal"/>
              <w:bidi w:val="0"/>
              <w:jc w:val="left"/>
              <w:rPr/>
            </w:pPr>
            <w:r>
              <w:rPr/>
            </w:r>
          </w:p>
        </w:tc>
        <w:tc>
          <w:tcPr>
            <w:tcW w:w="11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660" w:type="dxa"/>
            <w:gridSpan w:val="3"/>
            <w:vMerge w:val="continue"/>
            <w:tcBorders/>
            <w:tcMar>
              <w:top w:w="0" w:type="dxa"/>
              <w:left w:w="0" w:type="dxa"/>
              <w:bottom w:w="0" w:type="dxa"/>
              <w:right w:w="0" w:type="dxa"/>
            </w:tcMar>
            <w:vAlign w:val="center"/>
          </w:tcPr>
          <w:p>
            <w:pPr>
              <w:pStyle w:val="Normal"/>
              <w:bidi w:val="0"/>
              <w:jc w:val="left"/>
              <w:rPr/>
            </w:pPr>
            <w:r>
              <w:rPr/>
            </w:r>
          </w:p>
        </w:tc>
        <w:tc>
          <w:tcPr>
            <w:tcW w:w="4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Our principal source of cash flow is related to the operation of our properties. The weighted-average term of our in-place leases, including leases signed by our unconsolidated joint ventures, excluding residential units, was approximately 7.7 years as of June 30, 2026, with occupancy rates historically in the range of approximately 86% to 92%. Generally, our properties generate a relatively consistent stream of cash flows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pStyle w:val="TextBody"/>
        <w:bidi w:val="0"/>
        <w:spacing w:lineRule="auto" w:line="288" w:before="180" w:after="283"/>
        <w:ind w:left="0" w:right="0" w:firstLine="495"/>
        <w:jc w:val="left"/>
        <w:rPr/>
      </w:pPr>
      <w:r>
        <w:rPr>
          <w:rFonts w:ascii="Arial;sans-serif" w:hAnsi="Arial;sans-serif"/>
          <w:b w:val="false"/>
          <w:color w:val="000000"/>
          <w:sz w:val="20"/>
        </w:rPr>
        <w:t xml:space="preserve">Cash is used in investing activities to fund acquisitions, development, net investments in unconsolidated joint ventures and maintenance and repositioning capital expenditures. Cash is provided by investing activities from sales of real estate and sales of investments in unconsolidated joint ventures. Cash used in investing activities for the </w:t>
      </w:r>
      <w:r>
        <w:rPr>
          <w:rFonts w:ascii="Arial;sans-serif" w:hAnsi="Arial;sans-serif"/>
          <w:b w:val="false"/>
          <w:color w:val="000000"/>
          <w:sz w:val="20"/>
          <w:shd w:fill="FFFFFF" w:val="clear"/>
        </w:rPr>
        <w:t>six months</w:t>
      </w:r>
      <w:r>
        <w:rPr>
          <w:color w:val="000000"/>
        </w:rPr>
        <w:t xml:space="preserve"> </w:t>
      </w:r>
      <w:r>
        <w:rPr>
          <w:rFonts w:ascii="Arial;sans-serif" w:hAnsi="Arial;sans-serif"/>
          <w:b w:val="false"/>
          <w:color w:val="000000"/>
          <w:sz w:val="20"/>
        </w:rPr>
        <w:t>ended June 30, 2026 and June 30, 2025 is detailed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9144" w:type="dxa"/>
        <w:jc w:val="left"/>
        <w:tblInd w:w="0" w:type="dxa"/>
        <w:tblLayout w:type="fixed"/>
        <w:tblCellMar>
          <w:top w:w="28" w:type="dxa"/>
          <w:left w:w="28" w:type="dxa"/>
          <w:bottom w:w="28" w:type="dxa"/>
          <w:right w:w="28" w:type="dxa"/>
        </w:tblCellMar>
      </w:tblPr>
      <w:tblGrid>
        <w:gridCol w:w="2279"/>
        <w:gridCol w:w="2005"/>
        <w:gridCol w:w="2016"/>
        <w:gridCol w:w="211"/>
        <w:gridCol w:w="916"/>
        <w:gridCol w:w="109"/>
        <w:gridCol w:w="109"/>
        <w:gridCol w:w="109"/>
        <w:gridCol w:w="109"/>
        <w:gridCol w:w="211"/>
        <w:gridCol w:w="916"/>
        <w:gridCol w:w="154"/>
      </w:tblGrid>
      <w:tr>
        <w:trPr/>
        <w:tc>
          <w:tcPr>
            <w:tcW w:w="2279"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Construction in progress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Building, pre-development and other capital improvements </w:t>
            </w:r>
            <w:r>
              <w:rPr>
                <w:rFonts w:ascii="Arial;sans-serif" w:hAnsi="Arial;sans-serif"/>
                <w:b w:val="false"/>
                <w:color w:val="000000"/>
                <w:sz w:val="13"/>
              </w:rPr>
              <w:t>(2)</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Tenant improvements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Proceeds from sales of real estate </w:t>
            </w:r>
            <w:r>
              <w:rPr>
                <w:rFonts w:ascii="Arial;sans-serif" w:hAnsi="Arial;sans-serif"/>
                <w:b w:val="false"/>
                <w:color w:val="000000"/>
                <w:sz w:val="13"/>
              </w:rPr>
              <w:t>(3)</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Capital contributions to unconsolidated joint ventures </w:t>
            </w:r>
            <w:r>
              <w:rPr>
                <w:rFonts w:ascii="Arial;sans-serif" w:hAnsi="Arial;sans-serif"/>
                <w:b w:val="false"/>
                <w:color w:val="000000"/>
                <w:sz w:val="13"/>
              </w:rPr>
              <w:t>(4)</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Capital distributions from unconsolidated joint ventures </w:t>
            </w:r>
            <w:r>
              <w:rPr>
                <w:rFonts w:ascii="Arial;sans-serif" w:hAnsi="Arial;sans-serif"/>
                <w:b w:val="false"/>
                <w:color w:val="000000"/>
                <w:sz w:val="13"/>
              </w:rPr>
              <w:t>(5)</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Proceeds from sales of investments in unconsolidated joint ventures </w:t>
            </w:r>
            <w:r>
              <w:rPr>
                <w:rFonts w:ascii="Arial;sans-serif" w:hAnsi="Arial;sans-serif"/>
                <w:b w:val="false"/>
                <w:color w:val="000000"/>
                <w:sz w:val="13"/>
              </w:rPr>
              <w:t>(6)</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non-real estate investments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Issuance of notes receivables (including related party)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securities,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170"/>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(348,881)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(612,404)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Cash used in investing activities changed primarily due to the following:</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(1)</w:t>
      </w:r>
      <w:r>
        <w:rPr>
          <w:rFonts w:ascii="Arial;sans-serif" w:hAnsi="Arial;sans-serif"/>
          <w:b w:val="false"/>
          <w:color w:val="000000"/>
          <w:sz w:val="20"/>
        </w:rPr>
        <w:t xml:space="preserve">Construction in progress for the six months ended June 30, 2026 included ongoing expenditures associated with Reston Next Retail and 290 Binney Street, which were fully placed in-service during the six months ended June 30, 2026. In addition, we incurred costs associated with our development/redevelopment of 121 Broadway Street, 725 12th Street, 343 Madison Avenue and Reservoir Place.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Construction in progress for the six months ended June 30, 2025 included ongoing expenditures associated                                 with Reston Next Office Phase II, Reston Next Retail and 1050 Winter Street, which were partially placed in-service during the six months ended June 30, 2025. In addition, we incurred costs associated with our development/redevelopment of 290 Binney Street, 121 Broadway and 725 12th Street. </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(2)</w:t>
      </w:r>
      <w:r>
        <w:rPr>
          <w:rFonts w:ascii="Arial;sans-serif" w:hAnsi="Arial;sans-serif"/>
          <w:b w:val="false"/>
          <w:color w:val="000000"/>
          <w:sz w:val="20"/>
        </w:rPr>
        <w:t xml:space="preserve">Building, pre-development and other capital improvements for the six months ended June 30, 2025 included approximately $39.4 million of pre-development expenditures associated with the 343 Madison Avenue project. Beginning July 31, 2025, costs associated with the continued development of 343 Madison Avenue are included within construction in progress. </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(3)</w:t>
      </w:r>
      <w:r>
        <w:rPr>
          <w:rFonts w:ascii="Arial;sans-serif" w:hAnsi="Arial;sans-serif"/>
          <w:b w:val="false"/>
          <w:color w:val="000000"/>
          <w:sz w:val="20"/>
        </w:rPr>
        <w:t>Proceeds from sales of real estate for the six months ended June 30, 2026 were primarily from four transactions (See Note 3 to the Consolidated Financial Statements).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Proceeds from sale of real estate for the six months ended June 30, 2025 consisted of approximately $21.8     million of proceeds from the sale of the land at 17 Hartwell Avenue. On June 27, 2025, we entered into a new joint venture for the redevelopment of 17 Hartwell Avenue.</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(4)</w:t>
      </w:r>
      <w:r>
        <w:rPr>
          <w:rFonts w:ascii="Arial;sans-serif" w:hAnsi="Arial;sans-serif"/>
          <w:b w:val="false"/>
          <w:color w:val="000000"/>
          <w:sz w:val="20"/>
        </w:rPr>
        <w:t>Capital contributions to unconsolidated joint ventures for the six months ended June 30, 2026 consisted primarily of cash contributions of approximately $35.5 million, $9.8 million, $6.1 million, $6.0 million and $4.4 million to our 290 Coles Street, 360 Park Avenue South, 17 Hartwell Avenue, 200 Fifth Avenue and 13150 Worldgate Drive joint ventures, respectively. On June 4, 2026, we entered into a new joint venture for the development of 13150 Worldgate Drive (See Note 5 to the Consolidated Financial Statements).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Capital contributions to unconsolidated joint ventures for the six months ended June 30, 2025 consisted primarily of cash contributions of approximately $21.6 million, $21.2 million, $16.6 million and $11.1 million to our 290 Coles Street, 751 Gateway, 360 Park Avenue South and 200 Fifth Avenue joint ventures, respectively. On March 5, 2025, we entered into a new joint venture for the development of 290 Coles Street.</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(5)</w:t>
      </w:r>
      <w:r>
        <w:rPr>
          <w:rFonts w:ascii="Arial;sans-serif" w:hAnsi="Arial;sans-serif"/>
          <w:b w:val="false"/>
          <w:color w:val="000000"/>
          <w:sz w:val="20"/>
        </w:rPr>
        <w:t>Capital distributions from unconsolidated joint ventures for the six months ended June 30, 2026 consisted of cash distributions, resulting from excess net proceeds from ABXP Worldgate Investments LLC’s sale of 13150 Worldgate Drive (See Note 5 to the Consolidated Financial Statements).</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(6)</w:t>
      </w:r>
      <w:r>
        <w:rPr>
          <w:rFonts w:ascii="Arial;sans-serif" w:hAnsi="Arial;sans-serif"/>
          <w:b w:val="false"/>
          <w:color w:val="000000"/>
          <w:sz w:val="20"/>
        </w:rPr>
        <w:t xml:space="preserve">Proceeds from sales of investments in unconsolidated joint ventures for the six months ended June 30, 2026 were primarily from two transactions (See Note 5 to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pPr>
      <w:r>
        <w:rPr>
          <w:rFonts w:ascii="Arial;sans-serif" w:hAnsi="Arial;sans-serif"/>
          <w:b w:val="false"/>
          <w:color w:val="000000"/>
          <w:sz w:val="20"/>
        </w:rPr>
        <w:t xml:space="preserve">Cash used in financing activities for the six months ended June 30, 2026 totaled approximately $1.3 billion. This amount consisted primarily of the repayment of BPLP’s $1.0 billion in aggregate principal amount of its 3.650% unsecured senior notes due February 1, 2026 and the payment of our regular dividends and distributions to our shareholders and unitholders. Future debt payments are discussed below under the heading </w:t>
      </w:r>
      <w:r>
        <w:rPr>
          <w:color w:val="000000"/>
        </w:rPr>
        <w:t>“</w:t>
      </w:r>
      <w:r>
        <w:rPr>
          <w:rFonts w:ascii="Arial;sans-serif" w:hAnsi="Arial;sans-serif"/>
          <w:b w:val="false"/>
          <w:i/>
          <w:color w:val="000000"/>
          <w:sz w:val="20"/>
        </w:rPr>
        <w:t>Debt.</w:t>
      </w:r>
      <w:r>
        <w:rPr>
          <w:color w:val="000000"/>
        </w:rPr>
        <w:t>”</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Capitalization</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tbl>
      <w:tblPr>
        <w:tblW w:w="10205" w:type="dxa"/>
        <w:jc w:val="left"/>
        <w:tblInd w:w="0" w:type="dxa"/>
        <w:tblLayout w:type="fixed"/>
        <w:tblCellMar>
          <w:top w:w="28" w:type="dxa"/>
          <w:left w:w="28" w:type="dxa"/>
          <w:bottom w:w="28" w:type="dxa"/>
          <w:right w:w="28" w:type="dxa"/>
        </w:tblCellMar>
      </w:tblPr>
      <w:tblGrid>
        <w:gridCol w:w="1363"/>
        <w:gridCol w:w="1026"/>
        <w:gridCol w:w="1026"/>
        <w:gridCol w:w="109"/>
        <w:gridCol w:w="109"/>
        <w:gridCol w:w="109"/>
        <w:gridCol w:w="651"/>
        <w:gridCol w:w="624"/>
        <w:gridCol w:w="625"/>
        <w:gridCol w:w="109"/>
        <w:gridCol w:w="109"/>
        <w:gridCol w:w="109"/>
        <w:gridCol w:w="666"/>
        <w:gridCol w:w="603"/>
        <w:gridCol w:w="604"/>
        <w:gridCol w:w="109"/>
        <w:gridCol w:w="109"/>
        <w:gridCol w:w="109"/>
        <w:gridCol w:w="223"/>
        <w:gridCol w:w="1147"/>
        <w:gridCol w:w="287"/>
        <w:gridCol w:w="109"/>
        <w:gridCol w:w="109"/>
        <w:gridCol w:w="161"/>
      </w:tblGrid>
      <w:tr>
        <w:trPr/>
        <w:tc>
          <w:tcPr>
            <w:tcW w:w="136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 Units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Equivalent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Equivalent Value </w:t>
            </w:r>
            <w:r>
              <w:rPr>
                <w:rFonts w:ascii="Arial;sans-serif" w:hAnsi="Arial;sans-serif"/>
                <w:b/>
                <w:color w:val="000000"/>
                <w:sz w:val="12"/>
              </w:rPr>
              <w:t>(1)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159,522 </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159,522 </w:t>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10,577,904 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Operating Partnership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17,971 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17,971 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1,191,657 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177,493 </w:t>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11,769,561 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Consolidated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15,618,563 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BXP’s share of unconsolidated joint venture debt </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1,102,142 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Partners’ share of Consolidated Debt </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1,365,355 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15,355,350 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27,388,124 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Market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27,124,911 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Debt/Consolidated 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57.03 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Debt/BXP’s Share of Market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56.61 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(1)Values are based on the closing price per share of BXP’s common stock on the New York Stock Exchange on June 30, 2026 of $66.31.</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(2)Includes long-term incentive plan units (including 2012 OPP Units and 2013 - 2023 MYLTIP Units but excluding the 2024 - 2026 MYLTIP Units and 2025 OPP Units because the performance periods had not ended as of June 30, 2026).</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(3)See page 80 for additional information.</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(4)See page 78 for additional information.</w:t>
      </w:r>
    </w:p>
    <w:p>
      <w:pPr>
        <w:pStyle w:val="TextBody"/>
        <w:bidi w:val="0"/>
        <w:spacing w:before="100" w:after="283"/>
        <w:ind w:left="0" w:right="0" w:firstLine="495"/>
        <w:jc w:val="left"/>
        <w:rPr/>
      </w:pPr>
      <w:r>
        <w:rPr/>
      </w:r>
    </w:p>
    <w:p>
      <w:pPr>
        <w:pStyle w:val="TextBody"/>
        <w:bidi w:val="0"/>
        <w:spacing w:lineRule="auto" w:line="288" w:before="0" w:after="200"/>
        <w:ind w:left="0" w:right="0" w:firstLine="450"/>
        <w:jc w:val="left"/>
        <w:rPr>
          <w:rFonts w:ascii="Arial;sans-serif" w:hAnsi="Arial;sans-serif"/>
          <w:b w:val="false"/>
          <w:color w:val="000000"/>
          <w:sz w:val="20"/>
        </w:rPr>
      </w:pPr>
      <w:r>
        <w:rPr>
          <w:rFonts w:ascii="Arial;sans-serif" w:hAnsi="Arial;sans-serif"/>
          <w:b w:val="false"/>
          <w:color w:val="000000"/>
          <w:sz w:val="20"/>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pStyle w:val="TextBody"/>
        <w:bidi w:val="0"/>
        <w:spacing w:lineRule="auto" w:line="288" w:before="0" w:after="200"/>
        <w:ind w:left="0" w:right="0" w:firstLine="720"/>
        <w:jc w:val="left"/>
        <w:rPr>
          <w:rFonts w:ascii="Arial;sans-serif" w:hAnsi="Arial;sans-serif"/>
          <w:b w:val="false"/>
          <w:color w:val="000000"/>
          <w:sz w:val="20"/>
        </w:rPr>
      </w:pPr>
      <w:r>
        <w:rPr>
          <w:rFonts w:ascii="Arial;sans-serif" w:hAnsi="Arial;sans-serif"/>
          <w:b w:val="false"/>
          <w:color w:val="000000"/>
          <w:sz w:val="20"/>
        </w:rPr>
        <w:t>(1)     our consolidated debt; plus</w:t>
      </w:r>
    </w:p>
    <w:p>
      <w:pPr>
        <w:pStyle w:val="TextBody"/>
        <w:bidi w:val="0"/>
        <w:spacing w:lineRule="auto" w:line="288" w:before="0" w:after="200"/>
        <w:ind w:left="0" w:right="0" w:firstLine="720"/>
        <w:jc w:val="left"/>
        <w:rPr>
          <w:rFonts w:ascii="Arial;sans-serif" w:hAnsi="Arial;sans-serif"/>
          <w:b w:val="false"/>
          <w:color w:val="000000"/>
          <w:sz w:val="20"/>
        </w:rPr>
      </w:pPr>
      <w:r>
        <w:rPr>
          <w:rFonts w:ascii="Arial;sans-serif" w:hAnsi="Arial;sans-serif"/>
          <w:b w:val="false"/>
          <w:color w:val="000000"/>
          <w:sz w:val="20"/>
        </w:rPr>
        <w:t>(2)     the product of (x) the closing price per share of BXP common stock on June 30, 2026, as reported by the New York Stock Exchange, multiplied by (y) the sum of:</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 xml:space="preserve">(i)     the number of outstanding shares of common stock of BXP, </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(ii)     the number of outstanding OP Units in BPLP (excluding OP Units held by BXP),</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(iii)     the number of OP Units issuable upon conversion of all outstanding LTIP Units, assuming all conditions have been met for the conversion of the LTIP Units, and</w:t>
      </w:r>
    </w:p>
    <w:p>
      <w:pPr>
        <w:pStyle w:val="TextBody"/>
        <w:bidi w:val="0"/>
        <w:spacing w:lineRule="auto" w:line="288" w:before="0" w:after="200"/>
        <w:ind w:left="0" w:right="0" w:hanging="720"/>
        <w:jc w:val="left"/>
        <w:rPr>
          <w:rFonts w:ascii="Arial;sans-serif" w:hAnsi="Arial;sans-serif"/>
          <w:b w:val="false"/>
          <w:color w:val="000000"/>
          <w:sz w:val="20"/>
        </w:rPr>
      </w:pPr>
      <w:r>
        <w:rPr>
          <w:rFonts w:ascii="Arial;sans-serif" w:hAnsi="Arial;sans-serif"/>
          <w:b w:val="false"/>
          <w:color w:val="000000"/>
          <w:sz w:val="20"/>
        </w:rPr>
        <w:t>(iv)     the number of OP Units issuable upon conversion of 2012 OPP Units, and 2013 - 2023 MYLTIP Units that were issued in the form of LTIP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20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calculation of consolidated market capitalization does not include LTIP Units issued in the form of 2012 and 2025 OPP Units or MYLTIP Units unless and until certain performance thresholds are achieved and they are earned. Because their performance periods have not yet ended, the 2024 - 2026 MYLTIP Units and 2025 OPP Units are not included in this calculation as of June 30, 2026. </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pStyle w:val="TextBody"/>
        <w:bidi w:val="0"/>
        <w:spacing w:lineRule="auto" w:line="288" w:before="180" w:after="283"/>
        <w:ind w:left="0" w:right="0" w:firstLine="450"/>
        <w:jc w:val="left"/>
        <w:rPr/>
      </w:pPr>
      <w:r>
        <w:rPr>
          <w:rFonts w:ascii="Arial;sans-serif" w:hAnsi="Arial;sans-serif"/>
          <w:b w:val="false"/>
          <w:color w:val="000000"/>
          <w:sz w:val="20"/>
        </w:rPr>
        <w:t>For a discussion of our unconsolidated joint venture indebtedness, see “</w:t>
      </w:r>
      <w:r>
        <w:rPr>
          <w:rFonts w:ascii="Arial;sans-serif" w:hAnsi="Arial;sans-serif"/>
          <w:b w:val="false"/>
          <w:i/>
          <w:color w:val="000000"/>
          <w:sz w:val="20"/>
        </w:rPr>
        <w:t>Liquidity and Capital Resources—Investment in Unconsolidated Joint Ventures - Secured Debt” w</w:t>
      </w:r>
      <w:r>
        <w:rPr>
          <w:rFonts w:ascii="Arial;sans-serif" w:hAnsi="Arial;sans-serif"/>
          <w:b w:val="false"/>
          <w:color w:val="000000"/>
          <w:sz w:val="20"/>
        </w:rPr>
        <w:t>ithin “</w:t>
      </w:r>
      <w:r>
        <w:rPr>
          <w:rFonts w:ascii="Arial;sans-serif" w:hAnsi="Arial;sans-serif"/>
          <w:b w:val="false"/>
          <w:i/>
          <w:color w:val="000000"/>
          <w:sz w:val="20"/>
        </w:rPr>
        <w:t>Item 2—Management’s Discussion and Analysis of Financial Condition and Results of Operations</w:t>
      </w:r>
      <w:r>
        <w:rPr>
          <w:color w:val="000000"/>
        </w:rPr>
        <w:t xml:space="preserve">” </w:t>
      </w:r>
      <w:r>
        <w:rPr>
          <w:rFonts w:ascii="Arial;sans-serif" w:hAnsi="Arial;sans-serif"/>
          <w:b w:val="false"/>
          <w:color w:val="000000"/>
          <w:sz w:val="20"/>
        </w:rPr>
        <w:t xml:space="preserve">and for a discussion of our consolidated joint venture indebtedness see </w:t>
      </w:r>
      <w:r>
        <w:rPr>
          <w:color w:val="000000"/>
        </w:rPr>
        <w:t>“</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 xml:space="preserve">Debt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summarizes certain information with respect to our indebtedness outstanding as of June 30, 2026 and 2025 (dollars in thousands). </w:t>
      </w:r>
    </w:p>
    <w:tbl>
      <w:tblPr>
        <w:tblW w:w="10205" w:type="dxa"/>
        <w:jc w:val="left"/>
        <w:tblInd w:w="0" w:type="dxa"/>
        <w:tblLayout w:type="fixed"/>
        <w:tblCellMar>
          <w:top w:w="28" w:type="dxa"/>
          <w:left w:w="28" w:type="dxa"/>
          <w:bottom w:w="28" w:type="dxa"/>
          <w:right w:w="28" w:type="dxa"/>
        </w:tblCellMar>
      </w:tblPr>
      <w:tblGrid>
        <w:gridCol w:w="837"/>
        <w:gridCol w:w="735"/>
        <w:gridCol w:w="739"/>
        <w:gridCol w:w="109"/>
        <w:gridCol w:w="109"/>
        <w:gridCol w:w="109"/>
        <w:gridCol w:w="308"/>
        <w:gridCol w:w="308"/>
        <w:gridCol w:w="367"/>
        <w:gridCol w:w="109"/>
        <w:gridCol w:w="109"/>
        <w:gridCol w:w="109"/>
        <w:gridCol w:w="308"/>
        <w:gridCol w:w="308"/>
        <w:gridCol w:w="450"/>
        <w:gridCol w:w="109"/>
        <w:gridCol w:w="109"/>
        <w:gridCol w:w="109"/>
        <w:gridCol w:w="530"/>
        <w:gridCol w:w="518"/>
        <w:gridCol w:w="520"/>
        <w:gridCol w:w="109"/>
        <w:gridCol w:w="109"/>
        <w:gridCol w:w="109"/>
        <w:gridCol w:w="211"/>
        <w:gridCol w:w="976"/>
        <w:gridCol w:w="109"/>
        <w:gridCol w:w="109"/>
        <w:gridCol w:w="109"/>
        <w:gridCol w:w="109"/>
        <w:gridCol w:w="211"/>
        <w:gridCol w:w="976"/>
        <w:gridCol w:w="159"/>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GAAP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6/30/2025</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Unsecured Senior Notes </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Unsecured Senior Notes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3.495 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6.924 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4.628 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3.505 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21,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3.343 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1115"/>
        <w:gridCol w:w="743"/>
        <w:gridCol w:w="745"/>
        <w:gridCol w:w="120"/>
        <w:gridCol w:w="120"/>
        <w:gridCol w:w="120"/>
        <w:gridCol w:w="308"/>
        <w:gridCol w:w="308"/>
        <w:gridCol w:w="367"/>
        <w:gridCol w:w="109"/>
        <w:gridCol w:w="109"/>
        <w:gridCol w:w="109"/>
        <w:gridCol w:w="308"/>
        <w:gridCol w:w="308"/>
        <w:gridCol w:w="366"/>
        <w:gridCol w:w="109"/>
        <w:gridCol w:w="109"/>
        <w:gridCol w:w="109"/>
        <w:gridCol w:w="483"/>
        <w:gridCol w:w="316"/>
        <w:gridCol w:w="317"/>
        <w:gridCol w:w="109"/>
        <w:gridCol w:w="109"/>
        <w:gridCol w:w="109"/>
        <w:gridCol w:w="211"/>
        <w:gridCol w:w="1081"/>
        <w:gridCol w:w="109"/>
        <w:gridCol w:w="109"/>
        <w:gridCol w:w="109"/>
        <w:gridCol w:w="109"/>
        <w:gridCol w:w="211"/>
        <w:gridCol w:w="1081"/>
        <w:gridCol w:w="160"/>
      </w:tblGrid>
      <w:tr>
        <w:trPr/>
        <w:tc>
          <w:tcPr>
            <w:tcW w:w="111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GAAP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6/30/2025</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15,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5.842 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15,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9,850,000 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discount and deferred financing costs, net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8,811,158 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9,800,577 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Unsecured Exchangeable Senior Notes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deferred financing costs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Unsecured Commercial Paper </w:t>
            </w:r>
            <w:r>
              <w:rPr>
                <w:rFonts w:ascii="Arial;sans-serif" w:hAnsi="Arial;sans-serif"/>
                <w:b/>
                <w:color w:val="000000"/>
                <w:sz w:val="12"/>
              </w:rPr>
              <w:t>(4)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Unsecured Line of Credit (Revolving Credit Facility) </w:t>
            </w:r>
            <w:r>
              <w:rPr>
                <w:rFonts w:ascii="Arial;sans-serif" w:hAnsi="Arial;sans-serif"/>
                <w:b/>
                <w:color w:val="000000"/>
                <w:sz w:val="12"/>
              </w:rPr>
              <w:t>(5)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29,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Unsecured Term Loans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2024 Unsecured Term Loan </w:t>
            </w:r>
            <w:r>
              <w:rPr>
                <w:rFonts w:ascii="Arial;sans-serif" w:hAnsi="Arial;sans-serif"/>
                <w:b w:val="false"/>
                <w:color w:val="000000"/>
                <w:sz w:val="12"/>
              </w:rPr>
              <w:t>(6)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Unsecured Term Loan Facility </w:t>
            </w:r>
            <w:r>
              <w:rPr>
                <w:rFonts w:ascii="Arial;sans-serif" w:hAnsi="Arial;sans-serif"/>
                <w:b w:val="false"/>
                <w:color w:val="000000"/>
                <w:sz w:val="12"/>
              </w:rPr>
              <w:t>(7)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30,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Deferred financing costs and fair value adjustments, net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796,640 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Mortgage Notes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767 Fifth Avenue (the General Motors Building) (60% ownership) </w:t>
            </w:r>
            <w:r>
              <w:rPr>
                <w:rFonts w:ascii="Arial;sans-serif" w:hAnsi="Arial;sans-serif"/>
                <w:b w:val="false"/>
                <w:color w:val="000000"/>
                <w:sz w:val="12"/>
              </w:rPr>
              <w:t>(2)(8)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9,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Santa Monica Business Park </w:t>
            </w:r>
            <w:r>
              <w:rPr>
                <w:rFonts w:ascii="Arial;sans-serif" w:hAnsi="Arial;sans-serif"/>
                <w:b w:val="false"/>
                <w:color w:val="000000"/>
                <w:sz w:val="12"/>
              </w:rPr>
              <w:t>(2)(9)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8,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90 Broadway, 325 Main Street, 355 Main Street, and Cambridge East Garage (also known as Kendall Center Green Garage) </w:t>
            </w:r>
            <w:r>
              <w:rPr>
                <w:rFonts w:ascii="Arial;sans-serif" w:hAnsi="Arial;sans-serif"/>
                <w:b w:val="false"/>
                <w:color w:val="000000"/>
                <w:sz w:val="12"/>
              </w:rPr>
              <w:t>(2)(10)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26,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901 New York Avenue </w:t>
            </w:r>
            <w:r>
              <w:rPr>
                <w:rFonts w:ascii="Arial;sans-serif" w:hAnsi="Arial;sans-serif"/>
                <w:b w:val="false"/>
                <w:color w:val="000000"/>
                <w:sz w:val="12"/>
              </w:rPr>
              <w:t>(11)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601 Lexington Avenue (55% ownership) </w:t>
            </w:r>
            <w:r>
              <w:rPr>
                <w:rFonts w:ascii="Arial;sans-serif" w:hAnsi="Arial;sans-serif"/>
                <w:b w:val="false"/>
                <w:color w:val="000000"/>
                <w:sz w:val="12"/>
              </w:rPr>
              <w:t>(2)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9,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4,300,161 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Deferred financing costs and fair value adjustments, net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4,281,198 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4,278,788 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Debt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15,618,563 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15,811,005 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(1)For the unsecured senior notes, the GAAP rate represents the yield on issuance date, including the effects of discounts on the notes, settlements of interest rate contracts and the amortization of financing costs. For all other debt, the GAAP interest rate differs from the stated interest rate due to the inclusion of the amortization of financing charges, the effects of any hedging transactions (and excluding capped calls classified as equity) and adjustments required under ASC 805 “Business Combinations” to reflect loans and swaps at their fair values (if any).</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(2)No principal amounts are due prior to maturity.</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(3)These unsecured senior notes were repaid at maturity, see Note 6 to the Consolidated Financial Statements.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(4)At June 30, 2026, the weighted average interest rate of the commercial paper notes outstanding was approximately 4.11% per annum, and they had a weighted-average maturity of 41 days from the date of issuance. At July 31, 2026, BPLP had an aggregate of $750.0 million of commercial paper notes outstanding that bore interest at a weighted-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40" w:after="283"/>
        <w:jc w:val="left"/>
        <w:rPr>
          <w:rFonts w:ascii="Arial;sans-serif" w:hAnsi="Arial;sans-serif"/>
          <w:b w:val="false"/>
          <w:color w:val="000000"/>
          <w:sz w:val="18"/>
        </w:rPr>
      </w:pPr>
      <w:r>
        <w:rPr>
          <w:rFonts w:ascii="Arial;sans-serif" w:hAnsi="Arial;sans-serif"/>
          <w:b w:val="false"/>
          <w:color w:val="000000"/>
          <w:sz w:val="18"/>
        </w:rPr>
        <w:t xml:space="preserve">average rate of approximately 4.08% per annum and had a weighted-average maturity of 45 days, from the date of issuance. </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(5)The unsecured line of credit bears interest at a variable rate of SOFR+0.85% per annum. The 2025 Credit Facility is used as a backstop for the $750.0 million Commercial Paper Program. As such, BPLP intends to maintain, at a minimum, availability under the unsecured line of credit in an amount equal to the amount of unsecured commercial paper notes outstanding. The table below provides the principal indebtedness outstanding and remaining capacity under the unsecured line of credit at June 30, 2026 and July 31, 2026 (dollars in thousands). </w:t>
      </w:r>
    </w:p>
    <w:tbl>
      <w:tblPr>
        <w:tblW w:w="10205" w:type="dxa"/>
        <w:jc w:val="left"/>
        <w:tblInd w:w="0" w:type="dxa"/>
        <w:tblLayout w:type="fixed"/>
        <w:tblCellMar>
          <w:top w:w="28" w:type="dxa"/>
          <w:left w:w="28" w:type="dxa"/>
          <w:bottom w:w="28" w:type="dxa"/>
          <w:right w:w="28" w:type="dxa"/>
        </w:tblCellMar>
      </w:tblPr>
      <w:tblGrid>
        <w:gridCol w:w="707"/>
        <w:gridCol w:w="606"/>
        <w:gridCol w:w="610"/>
        <w:gridCol w:w="109"/>
        <w:gridCol w:w="109"/>
        <w:gridCol w:w="109"/>
        <w:gridCol w:w="196"/>
        <w:gridCol w:w="871"/>
        <w:gridCol w:w="109"/>
        <w:gridCol w:w="109"/>
        <w:gridCol w:w="109"/>
        <w:gridCol w:w="109"/>
        <w:gridCol w:w="314"/>
        <w:gridCol w:w="651"/>
        <w:gridCol w:w="175"/>
        <w:gridCol w:w="109"/>
        <w:gridCol w:w="109"/>
        <w:gridCol w:w="109"/>
        <w:gridCol w:w="261"/>
        <w:gridCol w:w="1163"/>
        <w:gridCol w:w="145"/>
        <w:gridCol w:w="109"/>
        <w:gridCol w:w="109"/>
        <w:gridCol w:w="109"/>
        <w:gridCol w:w="214"/>
        <w:gridCol w:w="806"/>
        <w:gridCol w:w="119"/>
        <w:gridCol w:w="109"/>
        <w:gridCol w:w="109"/>
        <w:gridCol w:w="109"/>
        <w:gridCol w:w="259"/>
        <w:gridCol w:w="1153"/>
        <w:gridCol w:w="211"/>
      </w:tblGrid>
      <w:tr>
        <w:trPr/>
        <w:tc>
          <w:tcPr>
            <w:tcW w:w="7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July 31, 2026</w:t>
            </w:r>
          </w:p>
        </w:tc>
      </w:tr>
      <w:tr>
        <w:trPr/>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Outstanding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Remaining Capacity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Outstanding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Remaining Capacity </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Unsecured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2,250,000 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165,000 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2,085,000 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Unsecured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Remaining Capacity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1,498,747 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1,332,504 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(6)The 2024 Unsecured Term Loan bears interest at a variable rate of SOFR+1.05% per annum. BPLP entered into an interest rate swap contract to fix SOFR at a weighted-average, fixed interest rate of 3.6775% per annum. The interest rate swap contract ended on April 6, 2026. The 2024 Unsecured Term Loan has two, one-year extension options, subject to certain conditions.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(7)The Unsecured Term Loan Facility bears interest at a variable rate of SOFR+0.95% per annum and has two, six-month extension options, each subject to customary conditions.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(8)In connection with the refinancing of the loan, we guaranteed the consolidated entity’s obligation to fund various reserves for tenant improvement costs and allowances, leasing commissions and free rent obligations in lieu of cash deposits. As of June 30, 2026, the maximum funding obligation under the guarantee was approximately $6.4 million. We earn a fee from the joint venture for providing the guarantee and have an agreement with our partners to reimburse the joint venture for their share of any payments made under the guarantee.</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(9)The mortgage loan bears interest at a variable rate of Daily Simple SOFR+1.60% per annum. BPLP entered into an interest rate swap contract to fix Daily Simple SOFR at a weighted-average fixed interest rate of 3.6775% per annum. The interest rate swap contract ended on April 6, 2026. </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(10)The mortgage loan bears interest at a variable rate of Daily Compounded SOFR+2.25% per annum. BPLP entered into interest rate swap contracts with notional amounts aggregating $600.0 million to fix Daily Compounded SOFR at a weighted-average fixed interest rate of 3.7925% through October 26, 2028. The stated interest rate reflects the weighted-average fixed interest rate based on the interest rate swap contracts plus 2.25% per annum. </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(11)The loan has a one-year extension option remaining, subject to certain conditions.</w:t>
      </w:r>
    </w:p>
    <w:p>
      <w:pPr>
        <w:pStyle w:val="TextBody"/>
        <w:bidi w:val="0"/>
        <w:spacing w:lineRule="auto" w:line="288" w:before="300" w:after="283"/>
        <w:ind w:left="0" w:right="0" w:firstLine="225"/>
        <w:jc w:val="left"/>
        <w:rPr>
          <w:rFonts w:ascii="Arial;sans-serif" w:hAnsi="Arial;sans-serif"/>
          <w:b w:val="false"/>
          <w:color w:val="000000"/>
          <w:sz w:val="20"/>
        </w:rPr>
      </w:pPr>
      <w:r>
        <w:rPr>
          <w:rFonts w:ascii="Arial;sans-serif" w:hAnsi="Arial;sans-serif"/>
          <w:b w:val="false"/>
          <w:color w:val="000000"/>
          <w:sz w:val="20"/>
        </w:rPr>
        <w:t>The following table lists our mortgage notes, net outstanding and our partners’ share, based on their respective ownership percentage, from our consolidated joint ventures as of June 30, 2026 (dollars in thousands).</w:t>
      </w:r>
    </w:p>
    <w:tbl>
      <w:tblPr>
        <w:tblW w:w="10205" w:type="dxa"/>
        <w:jc w:val="left"/>
        <w:tblInd w:w="0" w:type="dxa"/>
        <w:tblLayout w:type="fixed"/>
        <w:tblCellMar>
          <w:top w:w="28" w:type="dxa"/>
          <w:left w:w="28" w:type="dxa"/>
          <w:bottom w:w="28" w:type="dxa"/>
          <w:right w:w="28" w:type="dxa"/>
        </w:tblCellMar>
      </w:tblPr>
      <w:tblGrid>
        <w:gridCol w:w="2459"/>
        <w:gridCol w:w="2156"/>
        <w:gridCol w:w="2172"/>
        <w:gridCol w:w="109"/>
        <w:gridCol w:w="109"/>
        <w:gridCol w:w="109"/>
        <w:gridCol w:w="211"/>
        <w:gridCol w:w="976"/>
        <w:gridCol w:w="109"/>
        <w:gridCol w:w="109"/>
        <w:gridCol w:w="109"/>
        <w:gridCol w:w="109"/>
        <w:gridCol w:w="230"/>
        <w:gridCol w:w="1067"/>
        <w:gridCol w:w="171"/>
      </w:tblGrid>
      <w:tr>
        <w:trPr/>
        <w:tc>
          <w:tcPr>
            <w:tcW w:w="245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Amount</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Partners</w:t>
            </w:r>
            <w:r>
              <w:rPr>
                <w:color w:val="000000"/>
              </w:rPr>
              <w:t xml:space="preserve">’ </w:t>
            </w:r>
            <w:r>
              <w:rPr>
                <w:rFonts w:ascii="Arial;sans-serif" w:hAnsi="Arial;sans-serif"/>
                <w:b/>
                <w:color w:val="000000"/>
                <w:sz w:val="18"/>
              </w:rPr>
              <w:t>Share</w:t>
            </w:r>
          </w:p>
        </w:tc>
      </w:tr>
      <w:tr>
        <w:trPr/>
        <w:tc>
          <w:tcPr>
            <w:tcW w:w="67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Wholly-owned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901 New York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N/A</w:t>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Santa Monica Business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N/A</w:t>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90 Broadway, 325 Main Street, 355 Main Street, and Cambridge East Garage (also known as Kendall Center Green Garage)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767 Fifth Avenue (the General Motors Building) (60% ownership)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2,296,739 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918,707 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601 Lexington Avenue (55%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446,648 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3,289,291 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1,365,355 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4,281,198 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1,365,355 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partners’ share of the carrying amount has been adjusted for basis differentials.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420" w:after="283"/>
        <w:ind w:left="0" w:right="0" w:firstLine="450"/>
        <w:jc w:val="left"/>
        <w:rPr>
          <w:rFonts w:ascii="Arial;sans-serif" w:hAnsi="Arial;sans-serif"/>
          <w:b w:val="false"/>
          <w:color w:val="000000"/>
          <w:sz w:val="20"/>
        </w:rPr>
      </w:pPr>
      <w:r>
        <w:rPr>
          <w:rFonts w:ascii="Arial;sans-serif" w:hAnsi="Arial;sans-serif"/>
          <w:b w:val="false"/>
          <w:color w:val="000000"/>
          <w:sz w:val="20"/>
        </w:rPr>
        <w:t>The table below provides the debt statistics of our outstanding consolidated indebtedness at June 30, 2026 and June 30, 2025.  </w:t>
      </w:r>
    </w:p>
    <w:tbl>
      <w:tblPr>
        <w:tblW w:w="10721" w:type="dxa"/>
        <w:jc w:val="left"/>
        <w:tblInd w:w="0" w:type="dxa"/>
        <w:tblLayout w:type="fixed"/>
        <w:tblCellMar>
          <w:top w:w="28" w:type="dxa"/>
          <w:left w:w="28" w:type="dxa"/>
          <w:bottom w:w="28" w:type="dxa"/>
          <w:right w:w="28" w:type="dxa"/>
        </w:tblCellMar>
      </w:tblPr>
      <w:tblGrid>
        <w:gridCol w:w="668"/>
        <w:gridCol w:w="298"/>
        <w:gridCol w:w="250"/>
        <w:gridCol w:w="376"/>
        <w:gridCol w:w="345"/>
        <w:gridCol w:w="301"/>
        <w:gridCol w:w="109"/>
        <w:gridCol w:w="109"/>
        <w:gridCol w:w="109"/>
        <w:gridCol w:w="283"/>
        <w:gridCol w:w="228"/>
        <w:gridCol w:w="401"/>
        <w:gridCol w:w="109"/>
        <w:gridCol w:w="109"/>
        <w:gridCol w:w="109"/>
        <w:gridCol w:w="306"/>
        <w:gridCol w:w="205"/>
        <w:gridCol w:w="351"/>
        <w:gridCol w:w="109"/>
        <w:gridCol w:w="109"/>
        <w:gridCol w:w="109"/>
        <w:gridCol w:w="270"/>
        <w:gridCol w:w="270"/>
        <w:gridCol w:w="271"/>
        <w:gridCol w:w="109"/>
        <w:gridCol w:w="109"/>
        <w:gridCol w:w="109"/>
        <w:gridCol w:w="362"/>
        <w:gridCol w:w="359"/>
        <w:gridCol w:w="292"/>
        <w:gridCol w:w="109"/>
        <w:gridCol w:w="109"/>
        <w:gridCol w:w="109"/>
        <w:gridCol w:w="270"/>
        <w:gridCol w:w="241"/>
        <w:gridCol w:w="367"/>
        <w:gridCol w:w="109"/>
        <w:gridCol w:w="109"/>
        <w:gridCol w:w="109"/>
        <w:gridCol w:w="306"/>
        <w:gridCol w:w="205"/>
        <w:gridCol w:w="351"/>
        <w:gridCol w:w="109"/>
        <w:gridCol w:w="109"/>
        <w:gridCol w:w="109"/>
        <w:gridCol w:w="250"/>
        <w:gridCol w:w="250"/>
        <w:gridCol w:w="356"/>
      </w:tblGrid>
      <w:tr>
        <w:trPr/>
        <w:tc>
          <w:tcPr>
            <w:tcW w:w="6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 of 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Stated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GAAP Rates </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Stated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GAAP Rates </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(years)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Floating Rate Debt </w:t>
            </w:r>
            <w:r>
              <w:rPr>
                <w:rFonts w:ascii="Arial;sans-serif" w:hAnsi="Arial;sans-serif"/>
                <w:b w:val="false"/>
                <w:color w:val="000000"/>
                <w:sz w:val="12"/>
              </w:rPr>
              <w:t>(2)</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Fixed Rate Debt </w:t>
            </w:r>
            <w:r>
              <w:rPr>
                <w:rFonts w:ascii="Arial;sans-serif" w:hAnsi="Arial;sans-serif"/>
                <w:b w:val="false"/>
                <w:color w:val="000000"/>
                <w:sz w:val="12"/>
              </w:rPr>
              <w:t>(3)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Debt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Debt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Debt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Debt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GAAP interest rate differs from the stated interest rate due to the inclusion of the amortization of financing charges, the effects of any hedging transactions (and excluding capped calls classified as equity) and adjustments required under ASC 805 “Business Combinations” to reflect loans and swaps at their fair values (if any).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unsecured commercial paper notes are included in our floating rate debt statistics. At June 30, 2026, the unsecured commercial paper notes outstanding bore a weighted-average interest rate of approximately 4.11% per annum and had a weighted-average maturity of 41 days from the date of issuance.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Fixed Rate Debt includes the effects of hedging transactions.</w:t>
      </w: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Derivative Instruments and Hedging Activities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June 30, 2026, we had $600.0 million of interest rate swaps outstanding, where hedge accounting was elected, with a fair value of approximately $1.6 million, see Note 7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Investment in Unconsolidated Joint Ventures - Secured Debt</w:t>
      </w:r>
    </w:p>
    <w:p>
      <w:pPr>
        <w:pStyle w:val="TextBody"/>
        <w:bidi w:val="0"/>
        <w:spacing w:lineRule="auto" w:line="288" w:before="100" w:after="283"/>
        <w:ind w:left="0" w:right="0" w:firstLine="495"/>
        <w:jc w:val="left"/>
        <w:rPr/>
      </w:pPr>
      <w:r>
        <w:rPr>
          <w:rFonts w:ascii="Arial;sans-serif" w:hAnsi="Arial;sans-serif"/>
          <w:b w:val="false"/>
          <w:color w:val="000000"/>
          <w:sz w:val="20"/>
        </w:rPr>
        <w:t>We have investments in unconsolidated joint ventures with our effective ownership interests ranging from approximately 19% to approximately 71%. Fourteen of these ventures have mortgage indebtedness. We exercise significant influence over, but do not control, these entities. As a result, we account for them using the equity method of accounting. See also Note 5 to the Consolidated Financial Statements. At June 30, 2026, the aggregate carrying amount of debt, including both our and our partners’ share, incurred by these ventures was approximately $2.7 billion (of which our proportionate share is approximately $1.1 billion). The table below summarizes the outstanding debt of these joint venture properties at June 30, 2026.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r>
        <w:rPr>
          <w:color w:val="000000"/>
        </w:rPr>
        <w:t> </w:t>
      </w:r>
    </w:p>
    <w:tbl>
      <w:tblPr>
        <w:tblW w:w="14949" w:type="dxa"/>
        <w:jc w:val="left"/>
        <w:tblInd w:w="0" w:type="dxa"/>
        <w:tblLayout w:type="fixed"/>
        <w:tblCellMar>
          <w:top w:w="28" w:type="dxa"/>
          <w:left w:w="28" w:type="dxa"/>
          <w:bottom w:w="28" w:type="dxa"/>
          <w:right w:w="28" w:type="dxa"/>
        </w:tblCellMar>
      </w:tblPr>
      <w:tblGrid>
        <w:gridCol w:w="622"/>
        <w:gridCol w:w="296"/>
        <w:gridCol w:w="298"/>
        <w:gridCol w:w="109"/>
        <w:gridCol w:w="109"/>
        <w:gridCol w:w="109"/>
        <w:gridCol w:w="355"/>
        <w:gridCol w:w="261"/>
        <w:gridCol w:w="649"/>
        <w:gridCol w:w="109"/>
        <w:gridCol w:w="109"/>
        <w:gridCol w:w="109"/>
        <w:gridCol w:w="370"/>
        <w:gridCol w:w="246"/>
        <w:gridCol w:w="392"/>
        <w:gridCol w:w="109"/>
        <w:gridCol w:w="109"/>
        <w:gridCol w:w="109"/>
        <w:gridCol w:w="420"/>
        <w:gridCol w:w="196"/>
        <w:gridCol w:w="392"/>
        <w:gridCol w:w="109"/>
        <w:gridCol w:w="109"/>
        <w:gridCol w:w="109"/>
        <w:gridCol w:w="265"/>
        <w:gridCol w:w="265"/>
        <w:gridCol w:w="266"/>
        <w:gridCol w:w="109"/>
        <w:gridCol w:w="109"/>
        <w:gridCol w:w="109"/>
        <w:gridCol w:w="211"/>
        <w:gridCol w:w="976"/>
        <w:gridCol w:w="109"/>
        <w:gridCol w:w="109"/>
        <w:gridCol w:w="109"/>
        <w:gridCol w:w="109"/>
        <w:gridCol w:w="109"/>
        <w:gridCol w:w="211"/>
        <w:gridCol w:w="736"/>
        <w:gridCol w:w="109"/>
        <w:gridCol w:w="109"/>
        <w:gridCol w:w="109"/>
        <w:gridCol w:w="109"/>
        <w:gridCol w:w="211"/>
        <w:gridCol w:w="976"/>
        <w:gridCol w:w="109"/>
        <w:gridCol w:w="109"/>
        <w:gridCol w:w="109"/>
        <w:gridCol w:w="109"/>
        <w:gridCol w:w="211"/>
        <w:gridCol w:w="976"/>
        <w:gridCol w:w="109"/>
        <w:gridCol w:w="109"/>
        <w:gridCol w:w="109"/>
        <w:gridCol w:w="109"/>
        <w:gridCol w:w="109"/>
        <w:gridCol w:w="109"/>
        <w:gridCol w:w="109"/>
        <w:gridCol w:w="109"/>
        <w:gridCol w:w="109"/>
        <w:gridCol w:w="109"/>
        <w:gridCol w:w="441"/>
        <w:gridCol w:w="235"/>
        <w:gridCol w:w="330"/>
      </w:tblGrid>
      <w:tr>
        <w:trPr/>
        <w:tc>
          <w:tcPr>
            <w:tcW w:w="62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Nominal % 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of Variable Rate +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Stated Principal 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Deferred Financing Costs,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 (Our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r>
      <w:tr>
        <w:trPr/>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0" w:type="dxa"/>
            <w:gridSpan w:val="55"/>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(dollars in thousands)</w:t>
            </w:r>
          </w:p>
        </w:tc>
        <w:tc>
          <w:tcPr>
            <w:tcW w:w="1006" w:type="dxa"/>
            <w:gridSpan w:val="3"/>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Park Avenue 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71.11 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December 13, 2027</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1265 Main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January 1, 2032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August 9, 2027</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Hub on Causeway - Podium &amp; 100 Causeway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April 9, 2031</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Hub50House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SOFR+1.35%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June 17, 2032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November 30, 2028</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North Capitol Street, NW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2026</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November 24, 2028</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Hudson Boulevard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(2)(3)(9)(10)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November 9, 2027</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Hudson Boulevard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November 9, 2027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Skymark - Reston Next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November 13, 2026</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17 Hartwell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July 10, 2030</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13150 Worldgate Drive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8"/>
              </w:rPr>
            </w:pPr>
            <w:r>
              <w:rPr>
                <w:rFonts w:ascii="Arial;sans-serif" w:hAnsi="Arial;sans-serif"/>
                <w:b w:val="false"/>
                <w:color w:val="000000"/>
                <w:sz w:val="18"/>
              </w:rPr>
              <w:t>June 10, 2031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290 Coles Street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SOFR+2.50%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5, 2029</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2,691,778 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2,676,048 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1,102,142 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 </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(1)The GAAP interest rate differs from the stated interest rate due to the inclusion of the amortization of financing costs, which includes mortgage recording fees, the effects of hedging transactions (if any) and adjustments required under ASC 805 “Business Combinations” to reflect loans at their fair values (if any).</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(2)The loan requires interest only payments with a balloon payment due at maturity.</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(3)The loan includes certain extension options, subject to certain conditions. </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(4)The joint venture entered into an interest rate cap agreement to cap Term SOFR rate at 5.00% per annum on a notional amount of $220.0 million through January 15,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(5)The joint venture entered into interest rate swap contracts with notional amounts aggregating $185.0 million through April 10, 2032, resulting in a fixed rate of approximately 4.432% per annum through the expiration of the interest rate swap contracts.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(6)The joint venture modified the loan and terminated the related interest rate cap agreement (See Note 5 to the Consolidated Financial Statements).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(7)The indebtedness consists of (x) a $70.0 million mortgage loan payable (Note A) and (y) a $35.0 million mortgage loan payable (Note B), both of which bear interest at a fixed rate of 6.88% per annum. We provided $10.5 million of the Note B mortgage financing to the joint venture. Our portion of the loan is reflected as Related Party Notes Receivable, Net on our Consolidated Balance Sheets (See Note 5 to the Consolidated Financial Statements).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(8)The joint venture entered into interest rate swap contracts with notional amounts aggregating $600.0 million through June 12, 2028, resulting in a fixed rate of approximately 4.34% per annum through the expiration of the interest rate swap contracts.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(9)The indebtedness consists of (x) a $108.0 million senior loan with a third-party lender and (y) a mezzanine loan provided by us with a maximum commitment of $50.0 million. As of June 30, 2026, we have funded approximately $25.4 million of the mezzanine loan. The loan is reflected as Related Party Notes Receivable, Net on our Consolidated Balance Sheets.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(10)The joint venture entered into an interest rate cap agreement with a financial institution to limit its exposure to increases in the Term SOFR rate to a cap of 6.00% per annum on a notional amount of $108.0 million through November 9, 2027.</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(11)The construction financing has a borrowing capacity of $140.0 million (See Note 5 to the Consolidated Financial Statements).</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(12)The construction financing has a borrowing capacity of $98.7 million.</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(13)No amounts have been drawn under the $68.2 million construction loan.</w:t>
      </w:r>
    </w:p>
    <w:p>
      <w:pPr>
        <w:pStyle w:val="TextBody"/>
        <w:bidi w:val="0"/>
        <w:spacing w:lineRule="auto" w:line="288" w:before="40" w:after="283"/>
        <w:ind w:left="0" w:right="0" w:hanging="360"/>
        <w:jc w:val="left"/>
        <w:rPr>
          <w:rFonts w:ascii="Arial;sans-serif" w:hAnsi="Arial;sans-serif"/>
          <w:b w:val="false"/>
          <w:color w:val="000000"/>
          <w:sz w:val="18"/>
        </w:rPr>
      </w:pPr>
      <w:r>
        <w:rPr>
          <w:rFonts w:ascii="Arial;sans-serif" w:hAnsi="Arial;sans-serif"/>
          <w:b w:val="false"/>
          <w:color w:val="000000"/>
          <w:sz w:val="18"/>
        </w:rPr>
        <w:t>(14)The construction financing has a borrowing capacity of $225.0 million.</w:t>
      </w:r>
    </w:p>
    <w:p>
      <w:pPr>
        <w:pStyle w:val="TextBody"/>
        <w:bidi w:val="0"/>
        <w:spacing w:before="40" w:after="283"/>
        <w:ind w:left="0" w:right="0" w:firstLine="495"/>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State and Local Tax Matters </w:t>
      </w:r>
    </w:p>
    <w:p>
      <w:pPr>
        <w:pStyle w:val="TextBody"/>
        <w:bidi w:val="0"/>
        <w:spacing w:lineRule="auto" w:line="288" w:before="100" w:after="283"/>
        <w:ind w:left="0" w:right="0" w:firstLine="495"/>
        <w:jc w:val="left"/>
        <w:rPr/>
      </w:pPr>
      <w:r>
        <w:rPr>
          <w:rFonts w:ascii="Arial;sans-serif" w:hAnsi="Arial;sans-serif"/>
          <w:b w:val="false"/>
          <w:color w:val="000000"/>
          <w:sz w:val="20"/>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Funds from Operations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Pursuant to the revised definition of FFO adopted by the Board of Governors of the National Association of Real Estate Investment Trusts (“Nareit”), we calculate FFO for each of BXP and BPLP by adjusting net income attributable to BXP, Inc. and net income attributable to Boston Properties Limited Partnership (computed in accordance with GAAP), respectively, for gains (or losses) from sales of properties, including a change in control,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a useful measure for understanding and comparing our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BXP, Inc. and net income attributable to Boston Properties Limited Partnership as presented in our Consolidated Financial Statements. FFO should not be considered as a substitute for net income attributable to BXP, Inc. or net income attributable to Boston Properties Limited Partnership (determined in accordance with GAAP) or any other GAAP financial measures and should only be considered together with and as a supplement to our financial information prepared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BXP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attributable to BXP, Inc. to FFO attributable to BXP, Inc.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2389"/>
        <w:gridCol w:w="1920"/>
        <w:gridCol w:w="1926"/>
        <w:gridCol w:w="109"/>
        <w:gridCol w:w="109"/>
        <w:gridCol w:w="109"/>
        <w:gridCol w:w="211"/>
        <w:gridCol w:w="826"/>
        <w:gridCol w:w="271"/>
        <w:gridCol w:w="109"/>
        <w:gridCol w:w="109"/>
        <w:gridCol w:w="109"/>
        <w:gridCol w:w="211"/>
        <w:gridCol w:w="826"/>
        <w:gridCol w:w="271"/>
        <w:gridCol w:w="109"/>
        <w:gridCol w:w="109"/>
        <w:gridCol w:w="109"/>
        <w:gridCol w:w="109"/>
        <w:gridCol w:w="109"/>
        <w:gridCol w:w="155"/>
      </w:tblGrid>
      <w:tr>
        <w:trPr/>
        <w:tc>
          <w:tcPr>
            <w:tcW w:w="2389"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0" w:type="dxa"/>
            <w:gridSpan w:val="6"/>
            <w:tcBorders/>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Non-real estate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Gains on sales included within loss from unconsolidated joint ventures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(FFO) attributable to the Operating Partnership common unitholders (including BXP,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314,239 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301,769 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271,652 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Our percentage share of Funds from Operations—basic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159,167 </w:t>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158,312 </w:t>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present a reconciliation of net income attributable to BXP, Inc. to Diluted FFO attributable to BXP, Inc. for income (numerator) and shares/units (denominator)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2491"/>
        <w:gridCol w:w="2029"/>
        <w:gridCol w:w="2036"/>
        <w:gridCol w:w="109"/>
        <w:gridCol w:w="109"/>
        <w:gridCol w:w="109"/>
        <w:gridCol w:w="211"/>
        <w:gridCol w:w="827"/>
        <w:gridCol w:w="109"/>
        <w:gridCol w:w="109"/>
        <w:gridCol w:w="109"/>
        <w:gridCol w:w="109"/>
        <w:gridCol w:w="211"/>
        <w:gridCol w:w="827"/>
        <w:gridCol w:w="109"/>
        <w:gridCol w:w="109"/>
        <w:gridCol w:w="109"/>
        <w:gridCol w:w="109"/>
        <w:gridCol w:w="109"/>
        <w:gridCol w:w="109"/>
        <w:gridCol w:w="156"/>
      </w:tblGrid>
      <w:tr>
        <w:trPr/>
        <w:tc>
          <w:tcPr>
            <w:tcW w:w="249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6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1" w:type="dxa"/>
            <w:gridSpan w:val="6"/>
            <w:tcBorders/>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BXP,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Non-real estate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Gains on sales included within loss from unconsolidated joint ventures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(FFO) attributable to the Operating Partnership common unitholders (including BXP,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301,769 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diluted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000000"/>
                <w:sz w:val="18"/>
              </w:rPr>
              <w:t>Diluted FFO attributable to BXP, Inc.</w:t>
            </w:r>
            <w:r>
              <w:rPr>
                <w:color w:val="000000"/>
              </w:rPr>
              <w:t xml:space="preserv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283,506 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271,713 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BXP’s share of diluted Funds from Operations was 90.22% and 90.04% for the three months ended June 30, 2026 and 2025, respectively.</w:t>
      </w:r>
    </w:p>
    <w:tbl>
      <w:tblPr>
        <w:tblW w:w="10205" w:type="dxa"/>
        <w:jc w:val="left"/>
        <w:tblInd w:w="0" w:type="dxa"/>
        <w:tblLayout w:type="fixed"/>
        <w:tblCellMar>
          <w:top w:w="28" w:type="dxa"/>
          <w:left w:w="28" w:type="dxa"/>
          <w:bottom w:w="28" w:type="dxa"/>
          <w:right w:w="28" w:type="dxa"/>
        </w:tblCellMar>
      </w:tblPr>
      <w:tblGrid>
        <w:gridCol w:w="2360"/>
        <w:gridCol w:w="1983"/>
        <w:gridCol w:w="1988"/>
        <w:gridCol w:w="109"/>
        <w:gridCol w:w="109"/>
        <w:gridCol w:w="109"/>
        <w:gridCol w:w="576"/>
        <w:gridCol w:w="276"/>
        <w:gridCol w:w="228"/>
        <w:gridCol w:w="228"/>
        <w:gridCol w:w="228"/>
        <w:gridCol w:w="228"/>
        <w:gridCol w:w="576"/>
        <w:gridCol w:w="276"/>
        <w:gridCol w:w="228"/>
        <w:gridCol w:w="109"/>
        <w:gridCol w:w="109"/>
        <w:gridCol w:w="109"/>
        <w:gridCol w:w="109"/>
        <w:gridCol w:w="109"/>
        <w:gridCol w:w="158"/>
      </w:tblGrid>
      <w:tr>
        <w:trPr/>
        <w:tc>
          <w:tcPr>
            <w:tcW w:w="2360"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6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shares/units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6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176,474 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175,871 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176,936 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176,354 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450"/>
              <w:jc w:val="left"/>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diluted Funds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000000"/>
                <w:sz w:val="18"/>
              </w:rPr>
              <w:t xml:space="preserve">Diluted Funds from Operations attributable to BXP, Inc.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159,629 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158,795 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BXP’s share of diluted Funds from Operations was 90.22% and 90.04% for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280" w:after="100"/>
        <w:jc w:val="left"/>
        <w:rPr>
          <w:rFonts w:ascii="Arial;sans-serif" w:hAnsi="Arial;sans-serif"/>
          <w:b/>
          <w:color w:val="0869AD"/>
          <w:sz w:val="20"/>
        </w:rPr>
      </w:pPr>
      <w:r>
        <w:rPr>
          <w:rFonts w:ascii="Arial;sans-serif" w:hAnsi="Arial;sans-serif"/>
          <w:b/>
          <w:color w:val="0869AD"/>
          <w:sz w:val="20"/>
        </w:rPr>
        <w:t>BPLP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attributable to Boston Properties Limited Partnership to FFO attributable to Boston Properties Limited Partnership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2414"/>
        <w:gridCol w:w="2064"/>
        <w:gridCol w:w="2077"/>
        <w:gridCol w:w="109"/>
        <w:gridCol w:w="109"/>
        <w:gridCol w:w="109"/>
        <w:gridCol w:w="211"/>
        <w:gridCol w:w="827"/>
        <w:gridCol w:w="109"/>
        <w:gridCol w:w="109"/>
        <w:gridCol w:w="109"/>
        <w:gridCol w:w="109"/>
        <w:gridCol w:w="211"/>
        <w:gridCol w:w="827"/>
        <w:gridCol w:w="109"/>
        <w:gridCol w:w="109"/>
        <w:gridCol w:w="109"/>
        <w:gridCol w:w="109"/>
        <w:gridCol w:w="109"/>
        <w:gridCol w:w="109"/>
        <w:gridCol w:w="157"/>
      </w:tblGrid>
      <w:tr>
        <w:trPr/>
        <w:tc>
          <w:tcPr>
            <w:tcW w:w="241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2" w:type="dxa"/>
            <w:gridSpan w:val="6"/>
            <w:tcBorders/>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attributable to Boston Properties Limited Partnership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Non-real estate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Gains on sales included within loss from unconsolidated joint ventures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000000"/>
                <w:sz w:val="18"/>
              </w:rPr>
              <w:t>Funds from Operations attributable to Boston Properties Limited Partnership</w:t>
            </w:r>
            <w:r>
              <w:rPr>
                <w:color w:val="000000"/>
              </w:rPr>
              <w:t xml:space="preserve">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176,474 </w:t>
            </w:r>
          </w:p>
        </w:tc>
        <w:tc>
          <w:tcPr>
            <w:tcW w:w="109" w:type="dxa"/>
            <w:tcBorders>
              <w:top w:val="doub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175,871 </w:t>
            </w:r>
          </w:p>
        </w:tc>
        <w:tc>
          <w:tcPr>
            <w:tcW w:w="109" w:type="dxa"/>
            <w:tcBorders>
              <w:top w:val="doub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Our calculation includes OP Units and vested LTIP Units (including vested 2012 OPP Units and vested 2013 - 2023 MYLTIP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present a reconciliation of net income attributable to Boston Properties Limited Partnership to Diluted FFO attributable to Boston Properties Limited Partnership for income (numerator) and shares/units (denominator)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2414"/>
        <w:gridCol w:w="2064"/>
        <w:gridCol w:w="2077"/>
        <w:gridCol w:w="109"/>
        <w:gridCol w:w="109"/>
        <w:gridCol w:w="109"/>
        <w:gridCol w:w="211"/>
        <w:gridCol w:w="827"/>
        <w:gridCol w:w="109"/>
        <w:gridCol w:w="109"/>
        <w:gridCol w:w="109"/>
        <w:gridCol w:w="109"/>
        <w:gridCol w:w="211"/>
        <w:gridCol w:w="827"/>
        <w:gridCol w:w="109"/>
        <w:gridCol w:w="109"/>
        <w:gridCol w:w="109"/>
        <w:gridCol w:w="109"/>
        <w:gridCol w:w="109"/>
        <w:gridCol w:w="109"/>
        <w:gridCol w:w="157"/>
      </w:tblGrid>
      <w:tr>
        <w:trPr/>
        <w:tc>
          <w:tcPr>
            <w:tcW w:w="241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2" w:type="dxa"/>
            <w:gridSpan w:val="6"/>
            <w:tcBorders/>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attributable to Boston Properties Limited Partnership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Non-real estate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Gains on sales included within loss from unconsolidated joint ventures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non-real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000000"/>
                <w:sz w:val="18"/>
              </w:rPr>
              <w:t>Funds from Operations attributable to Boston Properties Limited Partnership</w:t>
            </w:r>
            <w:r>
              <w:rPr>
                <w:color w:val="000000"/>
              </w:rPr>
              <w:t xml:space="preserve">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Funds from Operations attributable to Boston Properties Limited Partnership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301,769 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pPr>
      <w:r>
        <w:rPr>
          <w:rFonts w:ascii="Arial;sans-serif" w:hAnsi="Arial;sans-serif"/>
          <w:b w:val="false"/>
          <w:color w:val="000000"/>
          <w:sz w:val="18"/>
          <w:shd w:fill="FFFFFF" w:val="clear"/>
        </w:rPr>
        <w:t>(1)</w:t>
      </w:r>
      <w:r>
        <w:rPr>
          <w:rFonts w:ascii="Arial;sans-serif" w:hAnsi="Arial;sans-serif"/>
          <w:b w:val="false"/>
          <w:color w:val="000000"/>
          <w:sz w:val="18"/>
        </w:rPr>
        <w:t>Our calculation includes OP Units and vested LTIP Units (including vested 2012 OPP Units and vested 2013 - 2023 MYLTIP Units).</w:t>
      </w:r>
    </w:p>
    <w:tbl>
      <w:tblPr>
        <w:tblW w:w="6869" w:type="dxa"/>
        <w:jc w:val="left"/>
        <w:tblInd w:w="0" w:type="dxa"/>
        <w:tblLayout w:type="fixed"/>
        <w:tblCellMar>
          <w:top w:w="28" w:type="dxa"/>
          <w:left w:w="28" w:type="dxa"/>
          <w:bottom w:w="28" w:type="dxa"/>
          <w:right w:w="28" w:type="dxa"/>
        </w:tblCellMar>
      </w:tblPr>
      <w:tblGrid>
        <w:gridCol w:w="962"/>
        <w:gridCol w:w="845"/>
        <w:gridCol w:w="847"/>
        <w:gridCol w:w="109"/>
        <w:gridCol w:w="109"/>
        <w:gridCol w:w="109"/>
        <w:gridCol w:w="576"/>
        <w:gridCol w:w="291"/>
        <w:gridCol w:w="291"/>
        <w:gridCol w:w="291"/>
        <w:gridCol w:w="291"/>
        <w:gridCol w:w="291"/>
        <w:gridCol w:w="576"/>
        <w:gridCol w:w="291"/>
        <w:gridCol w:w="291"/>
        <w:gridCol w:w="109"/>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shares/units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176,474 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175,871 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Funds from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176,936 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176,354 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Arial;sans-serif" w:hAnsi="Arial;sans-serif"/>
          <w:b w:val="false"/>
          <w:color w:val="32A7DC"/>
          <w:sz w:val="24"/>
        </w:rPr>
      </w:pPr>
      <w:r>
        <w:rPr>
          <w:rFonts w:ascii="Arial;sans-serif" w:hAnsi="Arial;sans-serif"/>
          <w:b w:val="false"/>
          <w:color w:val="32A7DC"/>
          <w:sz w:val="24"/>
        </w:rPr>
        <w:t>Material Cash Commitments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have various service contracts with vendors related to our property management. In addition, we enter into other contracts in the ordinary course of business that may extend beyond one year. These contracts include terms that provide for cancellation with insignificant or no cancellation penalties. Contract terms are generally between three and five years.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three months ended June 30, 2026, we paid approximately $139.4 million to fund tenant-related obligations, including tenant improvements and leasing commissions.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addition, during the three months ended June 30, 2026, we and our unconsolidated joint venture partners incurred approximately $119.4 million of new tenant-related obligations associated with approximately 1.2 million square feet of second generation leases, or approximately $99 per square foot. During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jc w:val="left"/>
        <w:rPr/>
      </w:pPr>
      <w:r>
        <w:rPr>
          <w:rFonts w:ascii="Arial;sans-serif" w:hAnsi="Arial;sans-serif"/>
          <w:b w:val="false"/>
          <w:color w:val="000000"/>
          <w:sz w:val="20"/>
        </w:rPr>
        <w:t xml:space="preserve">June 30, 2026, we signed approximately 551,000 square feet of first generation leases. The tenant-related obligations for the development properties are included within the projects’ “Estimated Total Investment” referred to in </w:t>
      </w:r>
      <w:r>
        <w:rPr>
          <w:color w:val="000000"/>
        </w:rPr>
        <w:t>“</w:t>
      </w:r>
      <w:r>
        <w:rPr>
          <w:rFonts w:ascii="Arial;sans-serif" w:hAnsi="Arial;sans-serif"/>
          <w:b w:val="false"/>
          <w:i/>
          <w:color w:val="000000"/>
          <w:sz w:val="20"/>
        </w:rPr>
        <w:t xml:space="preserve">Item 2—Management’s Discussion and Analysis of Financial Condition and Results of Operations—Liquidity and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3—Quantitative and Qualitative Disclosures about Market Risk.</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are exposed to certain market risks, of which one of the most significant is a change in interest rates. Our future earnings, cash flows and fair values relevant to financial instruments are dependent upon prevalent market interest rates. Our primary market risk results from our indebtedness, which bears interest at fixed and variable rates. The fair values of our debt obligations are affected by changes in the market interest rates. Unless we have entered into interest rate swaps or other derivatives to fix the interest rates, increases in interest rates can result in increased interest expense under our 2025 Credit Facility, 2024 Unsecured Term Loan, Commercial Paper Program, certain mortgage loans and other debt that bears interest at variable rates. Increases in interest rates can also result in increased interest expense when our fixed rate debt matures and needs to be refinanced. We manage our market risk by matching long-term leases with long-term, fixed-rate, non-recourse debt of similar duration. We continue to follow a conservative strategy of generally pre-leasing development projects on a long-term basis to creditworthy clients in order to achieve the most favorable construction and permanent financing terms.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approximately $13.3 billion of our indebtedness bore interest at fixed rates, and therefore the fair value of these instruments is not affected by changes in the market interest rates. The remaining approximately $2.3 billion of outstanding indebtedness bore interest at variable rates, including approximately $800.0 million of unsecured term loans, $750.0 million of borrowings under the Commercial Paper Program, and approximately $800.0 million of secured debt. However, we have entered into interest rate swaps with notional amounts aggregating $600.0 million for our secured debt, thus fixing the interest rates for all or a portion of the applicable debt term (See Note 7 to the Consolidated Financial Statements for information pertaining to interest rate swap contracts). Therefore, as of June 30, 2026, we effectively had approximately $1.7 billion of variable rate debt outstanding.</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presents our aggregate debt obligations carrying value, estimated fair value and where applicable, the corresponding weighted-average GAAP interest rates sorted by maturity date as of June 30, 2026. </w:t>
      </w:r>
    </w:p>
    <w:p>
      <w:pPr>
        <w:pStyle w:val="TextBody"/>
        <w:bidi w:val="0"/>
        <w:spacing w:lineRule="auto" w:line="288" w:before="180" w:after="283"/>
        <w:ind w:left="0" w:right="0" w:firstLine="495"/>
        <w:jc w:val="left"/>
        <w:rPr/>
      </w:pPr>
      <w:r>
        <w:rPr>
          <w:rFonts w:ascii="Arial;sans-serif" w:hAnsi="Arial;sans-serif"/>
          <w:b w:val="false"/>
          <w:color w:val="000000"/>
          <w:sz w:val="20"/>
        </w:rPr>
        <w:t>The table below does not include our unconsolidated joint venture debt. For a discussion concerning our unconsolidated joint venture debt, including interest rate swaps, see Note 5 to the Consolidated Financial Statements and “</w:t>
      </w:r>
      <w:r>
        <w:rPr>
          <w:rFonts w:ascii="Arial;sans-serif" w:hAnsi="Arial;sans-serif"/>
          <w:b w:val="false"/>
          <w:i/>
          <w:color w:val="000000"/>
          <w:sz w:val="20"/>
        </w:rPr>
        <w:t>Item 2</w:t>
      </w:r>
      <w:r>
        <w:rPr>
          <w:color w:val="000000"/>
        </w:rPr>
        <w:t>—</w:t>
      </w:r>
      <w:r>
        <w:rPr>
          <w:rFonts w:ascii="Arial;sans-serif" w:hAnsi="Arial;sans-serif"/>
          <w:b w:val="false"/>
          <w:i/>
          <w:color w:val="000000"/>
          <w:sz w:val="20"/>
        </w:rPr>
        <w:t>Management’s Discussion and Analysis of Financial Condition and Results of Operations</w:t>
      </w:r>
      <w:r>
        <w:rPr>
          <w:color w:val="000000"/>
        </w:rPr>
        <w:t>—</w:t>
      </w:r>
      <w:r>
        <w:rPr>
          <w:rFonts w:ascii="Arial;sans-serif" w:hAnsi="Arial;sans-serif"/>
          <w:b w:val="false"/>
          <w:i/>
          <w:color w:val="000000"/>
          <w:sz w:val="20"/>
        </w:rPr>
        <w:t>Liquidity and Capital Resources—Investment in Unconsolidated Joint Ventures — Secured Debt.</w:t>
      </w:r>
      <w:r>
        <w:rPr>
          <w:color w:val="000000"/>
        </w:rPr>
        <w:t>”</w:t>
      </w:r>
    </w:p>
    <w:tbl>
      <w:tblPr>
        <w:tblW w:w="13522" w:type="dxa"/>
        <w:jc w:val="left"/>
        <w:tblInd w:w="0" w:type="dxa"/>
        <w:tblLayout w:type="fixed"/>
        <w:tblCellMar>
          <w:top w:w="28" w:type="dxa"/>
          <w:left w:w="28" w:type="dxa"/>
          <w:bottom w:w="28" w:type="dxa"/>
          <w:right w:w="28" w:type="dxa"/>
        </w:tblCellMar>
      </w:tblPr>
      <w:tblGrid>
        <w:gridCol w:w="370"/>
        <w:gridCol w:w="167"/>
        <w:gridCol w:w="16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961"/>
        <w:gridCol w:w="256"/>
        <w:gridCol w:w="109"/>
        <w:gridCol w:w="109"/>
        <w:gridCol w:w="109"/>
        <w:gridCol w:w="196"/>
        <w:gridCol w:w="961"/>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br/>
              <w:t>Mortgage debt, net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2,301,591 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182,961 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998,620 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3,484,886 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3,216,515 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GAAP Average Interest Rate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798,705 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796,312 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2,299,995 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802,045 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182,961 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998,620 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4,281,198 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4,007,979 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Unsecured debt, net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992,892 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736,716 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987,921 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839,544 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691,711 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5,541,016 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9,789,800 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9,439,669 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GAAP Average Interest Rate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849,527 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699,789 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1,547,565 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1,842,419 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735,842 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987,044 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1,539,333 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691,711 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5,541,016 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11,337,365 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10,987,385 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1,841,344 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3,035,837 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1,789,089 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1,722,294 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690,363 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6,539,636 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15,618,563 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14,995,364 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At June 30, 2026, the weighted-average stated interest rate on the fixed rate debt stated above was 3.73% per annum. At June 30, 2026, the weighted-average stated interest rate on our variable rate debt, including the effect of the interest rate swaps, was 4.85% per annum. If market interest rates on our variable rate debt had been 100 basis points greater, total interest expense would have increased approximately $5.9 million and $11.8 million for the three and six months ended June 30, 2026,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use of derivative instruments also involves certain additional risks such as counterparty credit risk, the enforceability of hedging contracts and the risk that unanticipated and significant changes in interest rates will cause a significant loss of basis in the contract. We believe that there is a low likelihood that these counterparties will fail to meet their obligations and we minimize our exposure by limiting counterparties to major banks who meet established credit and capital guidelines. There can be no assurance that we will adequately protect against the foregoing risks.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4—Controls and Procedures.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BXP, Inc.</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 Evaluation of Disclosure Controls and Procedures. As of the end of the period covered by this report, our management, with the participation of BXP,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BXP, Inc.’s Chief Executive Officer and Chief Financial Officer concluded that these disclosure controls and procedures were effective as of the end of the period covered by this Quarterly Report on Form 10-Q.</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 Changes in Internal Control Over Financial Reporting. No change in BXP, Inc.’s internal control over financial reporting (as defined in Rule 13a-15(f) under the Securities Exchange Act of 1934, as amended) occurred during the second quarter of our fiscal year ending December 31, 2026, that has materially affected, or is reasonably likely to materially affect, BXP, Inc.’s internal control over financial reporting. </w:t>
      </w:r>
    </w:p>
    <w:p>
      <w:pPr>
        <w:pStyle w:val="TextBody"/>
        <w:bidi w:val="0"/>
        <w:spacing w:lineRule="auto" w:line="288" w:before="280" w:after="100"/>
        <w:jc w:val="left"/>
        <w:rPr>
          <w:rFonts w:ascii="Arial;sans-serif" w:hAnsi="Arial;sans-serif"/>
          <w:b/>
          <w:color w:val="0869AD"/>
          <w:sz w:val="20"/>
        </w:rPr>
      </w:pPr>
      <w:r>
        <w:rPr>
          <w:rFonts w:ascii="Arial;sans-serif" w:hAnsi="Arial;sans-serif"/>
          <w:b/>
          <w:color w:val="0869AD"/>
          <w:sz w:val="20"/>
        </w:rPr>
        <w:t>Boston Properties Limited Partnership</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 Evaluation of Disclosure Controls and Procedures. As of the end of the period covered by this report, the management of BXP,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BXP, Inc. concluded that these disclosure controls and procedures were effective as of the end of the period covered by this Quarterly Report on Form 10-Q.</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 Changes in Internal Control Over Financial Reporting. No change in its internal control over financial reporting (as defined in Rule 13a-15(f) under the Securities Exchange Act of 1934, as amended) occurred during the second quarter of our fiscal year ending December 31, 2026 that has materially affected, or is reasonably likely to materially affect, its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val="false"/>
          <w:color w:val="001A33"/>
          <w:sz w:val="28"/>
        </w:rPr>
      </w:pPr>
      <w:r>
        <w:rPr>
          <w:rFonts w:ascii="Arial;sans-serif" w:hAnsi="Arial;sans-serif"/>
          <w:b w:val="false"/>
          <w:color w:val="001A33"/>
          <w:sz w:val="2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1—Legal Proceedings.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are subject to legal proceedings and claims that arise in the ordinary course of business. Information regarding legal proceedings is incorporated herein by reference to Note 8 to the Consolidated Financial Statements included in Part 1,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1A—Risk Factors.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Except to the extent updated below or to the extent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2—Unregistered Sales of Equity Securities and Use of Proceeds.</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BXP, Inc.</w:t>
      </w:r>
    </w:p>
    <w:p>
      <w:pPr>
        <w:pStyle w:val="TextBody"/>
        <w:bidi w:val="0"/>
        <w:spacing w:lineRule="auto" w:line="276" w:before="100" w:after="283"/>
        <w:ind w:left="0" w:right="0" w:hanging="540"/>
        <w:jc w:val="left"/>
        <w:rPr>
          <w:rFonts w:ascii="Arial;sans-serif" w:hAnsi="Arial;sans-serif"/>
          <w:b w:val="false"/>
          <w:color w:val="000000"/>
          <w:sz w:val="20"/>
        </w:rPr>
      </w:pPr>
      <w:r>
        <w:rPr>
          <w:rFonts w:ascii="Arial;sans-serif" w:hAnsi="Arial;sans-serif"/>
          <w:b w:val="false"/>
          <w:color w:val="000000"/>
          <w:sz w:val="20"/>
        </w:rPr>
        <w:t>(a)During the three months ended June 30, 2026, BXP issued an aggregate of 836,517 shares of common stock in exchange for 836,517 OP units held by certain limited partners of BPLP. Of these shares, 800,000 shares were issued in reliance on an exemption from registration under Section 4(a)(2) of the Securities Act. BXP relied on the exemption under Section 4(a)(2) based upon factual representations received from the limited partner who received the shares of common stock.</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(b)Not Applicable.</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(c)Issuer Purchases of Equity Securities.</w:t>
      </w:r>
    </w:p>
    <w:tbl>
      <w:tblPr>
        <w:tblW w:w="10205" w:type="dxa"/>
        <w:jc w:val="left"/>
        <w:tblInd w:w="0" w:type="dxa"/>
        <w:tblLayout w:type="fixed"/>
        <w:tblCellMar>
          <w:top w:w="28" w:type="dxa"/>
          <w:left w:w="28" w:type="dxa"/>
          <w:bottom w:w="28" w:type="dxa"/>
          <w:right w:w="28" w:type="dxa"/>
        </w:tblCellMar>
      </w:tblPr>
      <w:tblGrid>
        <w:gridCol w:w="528"/>
        <w:gridCol w:w="446"/>
        <w:gridCol w:w="449"/>
        <w:gridCol w:w="511"/>
        <w:gridCol w:w="511"/>
        <w:gridCol w:w="512"/>
        <w:gridCol w:w="109"/>
        <w:gridCol w:w="109"/>
        <w:gridCol w:w="109"/>
        <w:gridCol w:w="322"/>
        <w:gridCol w:w="987"/>
        <w:gridCol w:w="166"/>
        <w:gridCol w:w="794"/>
        <w:gridCol w:w="794"/>
        <w:gridCol w:w="796"/>
        <w:gridCol w:w="894"/>
        <w:gridCol w:w="894"/>
        <w:gridCol w:w="1274"/>
      </w:tblGrid>
      <w:tr>
        <w:trPr/>
        <w:tc>
          <w:tcPr>
            <w:tcW w:w="52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Period</w:t>
            </w:r>
          </w:p>
        </w:tc>
        <w:tc>
          <w:tcPr>
            <w:tcW w:w="153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(a)</w:t>
              <w:br/>
              <w:t>Total Number of Shares of Common Stock</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(b)</w:t>
              <w:br/>
              <w:t>Average Price Paid per Common Share</w:t>
            </w:r>
          </w:p>
        </w:tc>
        <w:tc>
          <w:tcPr>
            <w:tcW w:w="238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(c)</w:t>
              <w:br/>
              <w:t>Total Number of Shares Purchased as Part of Publicly Announced Plans or Programs</w:t>
            </w:r>
          </w:p>
        </w:tc>
        <w:tc>
          <w:tcPr>
            <w:tcW w:w="3062"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6"/>
              </w:rPr>
            </w:pPr>
            <w:r>
              <w:rPr>
                <w:rFonts w:ascii="Arial;sans-serif" w:hAnsi="Arial;sans-serif"/>
                <w:b/>
                <w:color w:val="000000"/>
                <w:sz w:val="16"/>
              </w:rPr>
              <w:t>(d)</w:t>
              <w:br/>
              <w:t>Maximum Number (or Approximate Dollar Value) of Shares that May Yet be Purchased under the Plans or Programs</w:t>
            </w:r>
          </w:p>
        </w:tc>
      </w:tr>
      <w:tr>
        <w:trPr/>
        <w:tc>
          <w:tcPr>
            <w:tcW w:w="14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April 1, 2026 – April 30, 2026</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0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423"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May 1, 2026 – May 31, 2026</w:t>
            </w:r>
          </w:p>
        </w:tc>
        <w:tc>
          <w:tcPr>
            <w:tcW w:w="1022" w:type="dxa"/>
            <w:gridSpan w:val="2"/>
            <w:tcBorders/>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87" w:type="dxa"/>
            <w:tcBorders/>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062"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42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June 1, 2026 – June 30, 2026</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w:t>
            </w:r>
          </w:p>
        </w:tc>
        <w:tc>
          <w:tcPr>
            <w:tcW w:w="322" w:type="dxa"/>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062"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5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52"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987" w:type="dxa"/>
            <w:tcBorders>
              <w:top w:val="single" w:sz="8" w:space="0" w:color="000000"/>
            </w:tcBorders>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(1)Represents shares of common stock of BXP surrendered by an employee to BXP to satisfy such employee’s tax withholding obligations in connection with the vesting of restricted common stock. </w:t>
      </w:r>
    </w:p>
    <w:p>
      <w:pPr>
        <w:pStyle w:val="TextBody"/>
        <w:bidi w:val="0"/>
        <w:spacing w:lineRule="auto" w:line="288" w:before="180" w:after="100"/>
        <w:jc w:val="left"/>
        <w:rPr>
          <w:rFonts w:ascii="Arial;sans-serif" w:hAnsi="Arial;sans-serif"/>
          <w:b/>
          <w:color w:val="0869AD"/>
          <w:sz w:val="20"/>
        </w:rPr>
      </w:pPr>
      <w:r>
        <w:rPr>
          <w:rFonts w:ascii="Arial;sans-serif" w:hAnsi="Arial;sans-serif"/>
          <w:b/>
          <w:color w:val="0869AD"/>
          <w:sz w:val="20"/>
        </w:rPr>
        <w:t>Boston Properties Limited Partnership</w:t>
      </w:r>
    </w:p>
    <w:p>
      <w:pPr>
        <w:pStyle w:val="TextBody"/>
        <w:bidi w:val="0"/>
        <w:spacing w:lineRule="auto" w:line="288" w:before="140" w:after="283"/>
        <w:ind w:left="0" w:right="0" w:hanging="540"/>
        <w:jc w:val="left"/>
        <w:rPr/>
      </w:pPr>
      <w:r>
        <w:rPr>
          <w:rFonts w:ascii="Arial;sans-serif" w:hAnsi="Arial;sans-serif"/>
          <w:b w:val="false"/>
          <w:color w:val="000000"/>
          <w:sz w:val="20"/>
          <w:shd w:fill="FFFFFF" w:val="clear"/>
        </w:rPr>
        <w:t>(a)</w:t>
      </w:r>
      <w:r>
        <w:rPr>
          <w:rFonts w:ascii="Arial;sans-serif" w:hAnsi="Arial;sans-serif"/>
          <w:b w:val="false"/>
          <w:color w:val="000000"/>
          <w:sz w:val="20"/>
        </w:rPr>
        <w:t>Each time BXP issues shares of common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June 30, 2026, in connection with issuances of common stock by BXP pursuant to issuances of restricted common stock to non-employee directors and the settlement of deferred stock awards under the 2021 Plan, BPLP issued an aggregate of 9,827 common units to BXP in exchange for $83.30, the aggregate proceeds of such common stock issuances to BXP. Such units were issued in reliance on an exemption from registration under Section 4(a)(2) of the Securities Act.</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(b)Not Applicable.</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(c)Issuer Purchases of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541"/>
        <w:gridCol w:w="458"/>
        <w:gridCol w:w="462"/>
        <w:gridCol w:w="480"/>
        <w:gridCol w:w="468"/>
        <w:gridCol w:w="469"/>
        <w:gridCol w:w="109"/>
        <w:gridCol w:w="109"/>
        <w:gridCol w:w="109"/>
        <w:gridCol w:w="285"/>
        <w:gridCol w:w="873"/>
        <w:gridCol w:w="147"/>
        <w:gridCol w:w="827"/>
        <w:gridCol w:w="827"/>
        <w:gridCol w:w="829"/>
        <w:gridCol w:w="939"/>
        <w:gridCol w:w="939"/>
        <w:gridCol w:w="1334"/>
      </w:tblGrid>
      <w:tr>
        <w:trPr/>
        <w:tc>
          <w:tcPr>
            <w:tcW w:w="54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 </w:t>
              <w:br/>
              <w:t>Total Number of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(b) </w:t>
              <w:br/>
              <w:t xml:space="preserve">Average Price Paid per Unit </w:t>
            </w:r>
          </w:p>
        </w:tc>
        <w:tc>
          <w:tcPr>
            <w:tcW w:w="2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 </w:t>
              <w:br/>
              <w:t>Total Number of Units Purchased as Part of Publicly Announced Plans or Programs</w:t>
            </w:r>
          </w:p>
        </w:tc>
        <w:tc>
          <w:tcPr>
            <w:tcW w:w="3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 </w:t>
              <w:br/>
              <w:t>Maximum Number (or Approximate Dollar Value) of Units that May Yet be Purchased Under the Plans or Programs</w:t>
            </w:r>
          </w:p>
        </w:tc>
      </w:tr>
      <w:tr>
        <w:trPr/>
        <w:tc>
          <w:tcPr>
            <w:tcW w:w="14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April 1, 2026 – April 30, 2026</w:t>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(1)</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461"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May 1, 2026 – May 31, 2026</w:t>
            </w:r>
          </w:p>
        </w:tc>
        <w:tc>
          <w:tcPr>
            <w:tcW w:w="948" w:type="dxa"/>
            <w:gridSpan w:val="2"/>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13"/>
              </w:rPr>
            </w:pPr>
            <w:r>
              <w:rPr>
                <w:rFonts w:ascii="Arial;sans-serif" w:hAnsi="Arial;sans-serif"/>
                <w:b w:val="false"/>
                <w:color w:val="000000"/>
                <w:sz w:val="13"/>
              </w:rPr>
              <w:t>(1)</w:t>
            </w:r>
          </w:p>
        </w:tc>
        <w:tc>
          <w:tcPr>
            <w:tcW w:w="285"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12"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June 1, 2026 – June 30, 2026</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13"/>
              </w:rPr>
            </w:pPr>
            <w:r>
              <w:rPr>
                <w:rFonts w:ascii="Arial;sans-serif" w:hAnsi="Arial;sans-serif"/>
                <w:b w:val="false"/>
                <w:color w:val="000000"/>
                <w:sz w:val="13"/>
              </w:rPr>
              <w:t>(2)</w:t>
            </w:r>
          </w:p>
        </w:tc>
        <w:tc>
          <w:tcPr>
            <w:tcW w:w="285" w:type="dxa"/>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12"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9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2,097 </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13.96 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(1)Represents LTIP units that were repurchased by BPLP in connection with the termination of certain employees’ employment with BXP. Under the terms of the applicable LTIP unit vesting agreements, such units were repurchased at a price of $0.25 per unit, which was the amount originally paid by such employees for such units.</w:t>
      </w:r>
    </w:p>
    <w:p>
      <w:pPr>
        <w:pStyle w:val="TextBody"/>
        <w:bidi w:val="0"/>
        <w:spacing w:lineRule="auto" w:line="288" w:before="140" w:after="283"/>
        <w:ind w:left="0" w:right="0" w:hanging="360"/>
        <w:jc w:val="left"/>
        <w:rPr>
          <w:rFonts w:ascii="Arial;sans-serif" w:hAnsi="Arial;sans-serif"/>
          <w:b w:val="false"/>
          <w:color w:val="000000"/>
          <w:sz w:val="20"/>
        </w:rPr>
      </w:pPr>
      <w:r>
        <w:rPr>
          <w:rFonts w:ascii="Arial;sans-serif" w:hAnsi="Arial;sans-serif"/>
          <w:b w:val="false"/>
          <w:color w:val="000000"/>
          <w:sz w:val="20"/>
        </w:rPr>
        <w:t>(2)Represents common units previously held by BXP that were redeemed in connection with the surrender of shares of restricted common stock of BXP by an employee to BXP to satisfy such employee’s tax withholding obligations in connection with the vesting of restricted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3—Defaults Upon Senior Securities.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Arial;sans-serif" w:hAnsi="Arial;sans-serif"/>
          <w:b w:val="false"/>
          <w:color w:val="32A7DC"/>
          <w:sz w:val="28"/>
        </w:rPr>
        <w:t>ITEM 4—Mine Safety Disclosures</w:t>
      </w:r>
      <w:r>
        <w:rPr>
          <w:rFonts w:ascii="Arial;sans-serif" w:hAnsi="Arial;sans-serif"/>
          <w:b/>
          <w:color w:val="000000"/>
          <w:sz w:val="20"/>
        </w:rPr>
        <w:t>.</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val="false"/>
          <w:color w:val="32A7DC"/>
          <w:sz w:val="28"/>
        </w:rPr>
      </w:pPr>
      <w:r>
        <w:rPr>
          <w:rFonts w:ascii="Arial;sans-serif" w:hAnsi="Arial;sans-serif"/>
          <w:b w:val="false"/>
          <w:color w:val="32A7DC"/>
          <w:sz w:val="28"/>
        </w:rPr>
        <w:t>ITEM 5—Other Information.</w:t>
      </w:r>
    </w:p>
    <w:p>
      <w:pPr>
        <w:pStyle w:val="TextBody"/>
        <w:bidi w:val="0"/>
        <w:spacing w:lineRule="auto" w:line="288" w:before="140" w:after="283"/>
        <w:ind w:left="0" w:right="0" w:hanging="540"/>
        <w:jc w:val="left"/>
        <w:rPr>
          <w:rFonts w:ascii="Arial;sans-serif" w:hAnsi="Arial;sans-serif"/>
          <w:b w:val="false"/>
          <w:color w:val="000000"/>
          <w:sz w:val="20"/>
        </w:rPr>
      </w:pPr>
      <w:r>
        <w:rPr>
          <w:rFonts w:ascii="Arial;sans-serif" w:hAnsi="Arial;sans-serif"/>
          <w:b w:val="false"/>
          <w:color w:val="000000"/>
          <w:sz w:val="20"/>
        </w:rPr>
        <w:t>(a)None.</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(b)None.</w:t>
      </w:r>
    </w:p>
    <w:p>
      <w:pPr>
        <w:pStyle w:val="TextBody"/>
        <w:bidi w:val="0"/>
        <w:spacing w:lineRule="auto" w:line="288" w:before="180" w:after="283"/>
        <w:ind w:left="0" w:right="0" w:hanging="540"/>
        <w:jc w:val="left"/>
        <w:rPr>
          <w:rFonts w:ascii="Arial;sans-serif" w:hAnsi="Arial;sans-serif"/>
          <w:b w:val="false"/>
          <w:color w:val="000000"/>
          <w:sz w:val="20"/>
        </w:rPr>
      </w:pPr>
      <w:r>
        <w:rPr>
          <w:rFonts w:ascii="Arial;sans-serif" w:hAnsi="Arial;sans-serif"/>
          <w:b w:val="false"/>
          <w:color w:val="000000"/>
          <w:sz w:val="20"/>
        </w:rPr>
        <w:t>(c)During the three months ended June 30, 2026,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c46fa995d734ff9a95e3cd08ffd6fa8_10">
        <w:r>
          <w:rPr>
            <w:rStyle w:val="InternetLink"/>
            <w:rFonts w:ascii="Arial;sans-serif" w:hAnsi="Arial;sans-serif"/>
            <w:b w:val="false"/>
            <w:color w:val="0000FF"/>
            <w:sz w:val="20"/>
          </w:rPr>
          <w:t>Table of Contents</w:t>
        </w:r>
      </w:hyperlink>
    </w:p>
    <w:p>
      <w:pPr>
        <w:pStyle w:val="TextBody"/>
        <w:bidi w:val="0"/>
        <w:spacing w:lineRule="auto" w:line="288" w:before="0" w:after="0"/>
        <w:jc w:val="left"/>
        <w:rPr>
          <w:rFonts w:ascii="Arial;sans-serif" w:hAnsi="Arial;sans-serif"/>
          <w:b w:val="false"/>
          <w:color w:val="32A7DC"/>
          <w:sz w:val="28"/>
        </w:rPr>
      </w:pPr>
      <w:r>
        <w:rPr>
          <w:rFonts w:ascii="Arial;sans-serif" w:hAnsi="Arial;sans-serif"/>
          <w:b w:val="false"/>
          <w:color w:val="32A7DC"/>
          <w:sz w:val="28"/>
        </w:rPr>
        <w:t>ITEM 6—Exhibits.</w:t>
      </w:r>
    </w:p>
    <w:p>
      <w:pPr>
        <w:pStyle w:val="TextBody"/>
        <w:bidi w:val="0"/>
        <w:spacing w:lineRule="auto" w:line="288" w:before="100" w:after="283"/>
        <w:ind w:left="0" w:right="0" w:hanging="450"/>
        <w:jc w:val="left"/>
        <w:rPr/>
      </w:pPr>
      <w:r>
        <w:rPr>
          <w:rFonts w:ascii="Arial;sans-serif" w:hAnsi="Arial;sans-serif"/>
          <w:b w:val="false"/>
          <w:color w:val="000000"/>
          <w:sz w:val="20"/>
        </w:rPr>
        <w:t>(a)Exhibits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56"/>
        <w:gridCol w:w="315"/>
        <w:gridCol w:w="131"/>
        <w:gridCol w:w="115"/>
        <w:gridCol w:w="115"/>
        <w:gridCol w:w="116"/>
        <w:gridCol w:w="2647"/>
        <w:gridCol w:w="2647"/>
        <w:gridCol w:w="3763"/>
      </w:tblGrid>
      <w:tr>
        <w:trPr/>
        <w:tc>
          <w:tcPr>
            <w:tcW w:w="3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630ex311.htm">
              <w:r>
                <w:rPr>
                  <w:rStyle w:val="InternetLink"/>
                  <w:rFonts w:ascii="Arial;sans-serif" w:hAnsi="Arial;sans-serif"/>
                  <w:b w:val="false"/>
                  <w:color w:val="0000FF"/>
                  <w:sz w:val="20"/>
                  <w:u w:val="single"/>
                </w:rPr>
                <w:t>Certification of Chief Executive Officer pursuant to Section 302 of the Sarbanes-Oxley Act of 2002 for BXP, Inc. (Filed herewith.)</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630ex312.htm">
              <w:r>
                <w:rPr>
                  <w:rStyle w:val="InternetLink"/>
                  <w:rFonts w:ascii="Arial;sans-serif" w:hAnsi="Arial;sans-serif"/>
                  <w:b w:val="false"/>
                  <w:color w:val="0000FF"/>
                  <w:sz w:val="20"/>
                  <w:u w:val="single"/>
                </w:rPr>
                <w:t>Certification of Chief Financial Officer pursuant to Section 302 of the Sarbanes-Oxley Act of 2002 for BXP, Inc. (Filed herewith.)</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630ex313.htm">
              <w:r>
                <w:rPr>
                  <w:rStyle w:val="InternetLink"/>
                  <w:rFonts w:ascii="Arial;sans-serif" w:hAnsi="Arial;sans-serif"/>
                  <w:b w:val="false"/>
                  <w:color w:val="0000FF"/>
                  <w:sz w:val="20"/>
                  <w:u w:val="single"/>
                </w:rPr>
                <w:t>Certification of Chief Executive Officer pursuant to Section 302 of the Sarbanes-Oxley Act of 2002 for Boston Properties Limited Partnership. (Filed herewith.)</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630ex314.htm">
              <w:r>
                <w:rPr>
                  <w:rStyle w:val="InternetLink"/>
                  <w:rFonts w:ascii="Arial;sans-serif" w:hAnsi="Arial;sans-serif"/>
                  <w:b w:val="false"/>
                  <w:color w:val="0000FF"/>
                  <w:sz w:val="20"/>
                  <w:u w:val="single"/>
                </w:rPr>
                <w:t>Certification of Chief Financial Officer pursuant to Section 302 of the Sarbanes-Oxley Act of 2002 for Boston Properties Limited Partnership. (Filed herewith.)</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630ex321.htm">
              <w:r>
                <w:rPr>
                  <w:rStyle w:val="InternetLink"/>
                  <w:rFonts w:ascii="Arial;sans-serif" w:hAnsi="Arial;sans-serif"/>
                  <w:b w:val="false"/>
                  <w:color w:val="0000FF"/>
                  <w:sz w:val="20"/>
                  <w:u w:val="single"/>
                </w:rPr>
                <w:t>Certification of Chief Executive Officer pursuant to Section 906 of the Sarbanes-Oxley Act of 2002 for BXP, Inc. (Furnished herewith.)</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630ex322.htm">
              <w:r>
                <w:rPr>
                  <w:rStyle w:val="InternetLink"/>
                  <w:rFonts w:ascii="Arial;sans-serif" w:hAnsi="Arial;sans-serif"/>
                  <w:b w:val="false"/>
                  <w:color w:val="0000FF"/>
                  <w:sz w:val="20"/>
                  <w:u w:val="single"/>
                </w:rPr>
                <w:t>Certification of Chief Financial Officer pursuant to Section 906 of the Sarbanes-Oxley Act of 2002 for BXP, Inc. (Furnished herewith.)</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630ex323.htm">
              <w:r>
                <w:rPr>
                  <w:rStyle w:val="InternetLink"/>
                  <w:rFonts w:ascii="Arial;sans-serif" w:hAnsi="Arial;sans-serif"/>
                  <w:b w:val="false"/>
                  <w:color w:val="0000FF"/>
                  <w:sz w:val="20"/>
                  <w:u w:val="single"/>
                </w:rPr>
                <w:t>Certification of Chief Executive Officer pursuant to Section 906 of the Sarbanes-Oxley Act of 2002 for Boston Properties Limited Partnership. (Furnished herewith.)</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xpbplp-2026630ex324.htm">
              <w:r>
                <w:rPr>
                  <w:rStyle w:val="InternetLink"/>
                  <w:rFonts w:ascii="Arial;sans-serif" w:hAnsi="Arial;sans-serif"/>
                  <w:b w:val="false"/>
                  <w:color w:val="0000FF"/>
                  <w:sz w:val="20"/>
                  <w:u w:val="single"/>
                </w:rPr>
                <w:t>Certification of Chief Financial Officer pursuant to Section 906 of the Sarbanes-Oxley Act of 2002 for Boston Properties Limited Partnership. (Furnished herewith.)</w:t>
              </w:r>
            </w:hyperlink>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 (Filed herewith.)</w:t>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 (Filed herewith.)</w:t>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 (Filed herewith.)</w:t>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 (Filed herewith.)</w:t>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 (Filed herewith.)</w:t>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with applicable taxonomy extension information contained in Exhibits 101.*). (Filed herewith.)</w:t>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905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6587" w:type="dxa"/>
        <w:jc w:val="center"/>
        <w:tblInd w:w="0" w:type="dxa"/>
        <w:tblLayout w:type="fixed"/>
        <w:tblCellMar>
          <w:top w:w="28" w:type="dxa"/>
          <w:left w:w="28" w:type="dxa"/>
          <w:bottom w:w="28" w:type="dxa"/>
          <w:right w:w="28" w:type="dxa"/>
        </w:tblCellMar>
      </w:tblPr>
      <w:tblGrid>
        <w:gridCol w:w="520"/>
        <w:gridCol w:w="458"/>
        <w:gridCol w:w="462"/>
        <w:gridCol w:w="166"/>
        <w:gridCol w:w="166"/>
        <w:gridCol w:w="166"/>
        <w:gridCol w:w="1361"/>
        <w:gridCol w:w="1361"/>
        <w:gridCol w:w="1927"/>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BXP, INC.</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R. W</w:t>
            </w:r>
            <w:r>
              <w:rPr>
                <w:rFonts w:ascii="Arial;sans-serif" w:hAnsi="Arial;sans-serif"/>
                <w:b w:val="false"/>
                <w:color w:val="000000"/>
                <w:sz w:val="16"/>
              </w:rPr>
              <w:t>ALSH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Michael R. Walsh</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Accounting Officer</w:t>
              <w:br/>
              <w:t>(duly authorized officer and principal accounting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400" w:after="283"/>
        <w:jc w:val="left"/>
        <w:rPr/>
      </w:pPr>
      <w:hyperlink w:anchor="i0c46fa995d734ff9a95e3cd08ffd6fa8_10">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8244" w:type="dxa"/>
        <w:jc w:val="center"/>
        <w:tblInd w:w="0" w:type="dxa"/>
        <w:tblLayout w:type="fixed"/>
        <w:tblCellMar>
          <w:top w:w="28" w:type="dxa"/>
          <w:left w:w="28" w:type="dxa"/>
          <w:bottom w:w="28" w:type="dxa"/>
          <w:right w:w="28" w:type="dxa"/>
        </w:tblCellMar>
      </w:tblPr>
      <w:tblGrid>
        <w:gridCol w:w="520"/>
        <w:gridCol w:w="458"/>
        <w:gridCol w:w="462"/>
        <w:gridCol w:w="718"/>
        <w:gridCol w:w="718"/>
        <w:gridCol w:w="718"/>
        <w:gridCol w:w="1362"/>
        <w:gridCol w:w="1362"/>
        <w:gridCol w:w="1926"/>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LIMITED PARTNERSHIP</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BXP, Inc., its General Partner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R. W</w:t>
            </w:r>
            <w:r>
              <w:rPr>
                <w:rFonts w:ascii="Arial;sans-serif" w:hAnsi="Arial;sans-serif"/>
                <w:b w:val="false"/>
                <w:color w:val="000000"/>
                <w:sz w:val="16"/>
              </w:rPr>
              <w:t>ALSH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Michael R. Walsh</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Accounting Officer</w:t>
              <w:br/>
              <w:t>(duly authorized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27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Owen D. Thomas,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BXP, Inc.;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3323" w:type="dxa"/>
        <w:jc w:val="center"/>
        <w:tblInd w:w="0" w:type="dxa"/>
        <w:tblLayout w:type="fixed"/>
        <w:tblCellMar>
          <w:top w:w="28" w:type="dxa"/>
          <w:left w:w="28" w:type="dxa"/>
          <w:bottom w:w="28" w:type="dxa"/>
          <w:right w:w="28" w:type="dxa"/>
        </w:tblCellMar>
      </w:tblPr>
      <w:tblGrid>
        <w:gridCol w:w="124"/>
        <w:gridCol w:w="109"/>
        <w:gridCol w:w="109"/>
        <w:gridCol w:w="869"/>
        <w:gridCol w:w="869"/>
        <w:gridCol w:w="8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Owen D. Thomas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Arial;sans-serif" w:hAnsi="Arial;sans-serif"/>
          <w:b/>
          <w:color w:val="000000"/>
          <w:sz w:val="20"/>
        </w:rPr>
      </w:pPr>
      <w:r>
        <w:rPr>
          <w:rFonts w:ascii="Arial;sans-serif" w:hAnsi="Arial;sans-serif"/>
          <w:b/>
          <w:color w:val="000000"/>
          <w:sz w:val="20"/>
        </w:rPr>
        <w:t xml:space="preserve">Exhibit 31.2 </w:t>
      </w:r>
    </w:p>
    <w:p>
      <w:pPr>
        <w:pStyle w:val="TextBody"/>
        <w:bidi w:val="0"/>
        <w:spacing w:lineRule="auto" w:line="288" w:before="27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Michael E. LaBelle,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BXP, Inc.;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3173" w:type="dxa"/>
        <w:jc w:val="center"/>
        <w:tblInd w:w="0" w:type="dxa"/>
        <w:tblLayout w:type="fixed"/>
        <w:tblCellMar>
          <w:top w:w="28" w:type="dxa"/>
          <w:left w:w="28" w:type="dxa"/>
          <w:bottom w:w="28" w:type="dxa"/>
          <w:right w:w="28" w:type="dxa"/>
        </w:tblCellMar>
      </w:tblPr>
      <w:tblGrid>
        <w:gridCol w:w="124"/>
        <w:gridCol w:w="109"/>
        <w:gridCol w:w="109"/>
        <w:gridCol w:w="819"/>
        <w:gridCol w:w="819"/>
        <w:gridCol w:w="8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4"/>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4"/>
              </w:rPr>
              <w:t>A</w:t>
            </w:r>
            <w:r>
              <w:rPr>
                <w:rFonts w:ascii="Arial;sans-serif" w:hAnsi="Arial;sans-serif"/>
                <w:b w:val="false"/>
                <w:color w:val="000000"/>
                <w:sz w:val="20"/>
              </w:rPr>
              <w:t>B</w:t>
            </w:r>
            <w:r>
              <w:rPr>
                <w:rFonts w:ascii="Arial;sans-serif" w:hAnsi="Arial;sans-serif"/>
                <w:b w:val="false"/>
                <w:color w:val="000000"/>
                <w:sz w:val="14"/>
              </w:rPr>
              <w:t>ELLE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Michael E. LaBelle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31.3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Owen D. Thomas,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Limited Partnership;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5723" w:type="dxa"/>
        <w:jc w:val="center"/>
        <w:tblInd w:w="0" w:type="dxa"/>
        <w:tblLayout w:type="fixed"/>
        <w:tblCellMar>
          <w:top w:w="28" w:type="dxa"/>
          <w:left w:w="28" w:type="dxa"/>
          <w:bottom w:w="28" w:type="dxa"/>
          <w:right w:w="28" w:type="dxa"/>
        </w:tblCellMar>
      </w:tblPr>
      <w:tblGrid>
        <w:gridCol w:w="124"/>
        <w:gridCol w:w="109"/>
        <w:gridCol w:w="109"/>
        <w:gridCol w:w="1667"/>
        <w:gridCol w:w="1667"/>
        <w:gridCol w:w="167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Owen D. Thomas</w:t>
              <w:br/>
              <w:t>Chief Executive Officer of BXP, Inc.</w:t>
              <w:br/>
              <w:t>General Partner of Boston Properties Limited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 Michael E. LaBelle, certify that: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Limited Partnership;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5723" w:type="dxa"/>
        <w:jc w:val="center"/>
        <w:tblInd w:w="0" w:type="dxa"/>
        <w:tblLayout w:type="fixed"/>
        <w:tblCellMar>
          <w:top w:w="28" w:type="dxa"/>
          <w:left w:w="28" w:type="dxa"/>
          <w:bottom w:w="28" w:type="dxa"/>
          <w:right w:w="28" w:type="dxa"/>
        </w:tblCellMar>
      </w:tblPr>
      <w:tblGrid>
        <w:gridCol w:w="124"/>
        <w:gridCol w:w="109"/>
        <w:gridCol w:w="109"/>
        <w:gridCol w:w="1668"/>
        <w:gridCol w:w="1668"/>
        <w:gridCol w:w="16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6"/>
              </w:rPr>
              <w:t>A</w:t>
            </w:r>
            <w:r>
              <w:rPr>
                <w:rFonts w:ascii="Arial;sans-serif" w:hAnsi="Arial;sans-serif"/>
                <w:b w:val="false"/>
                <w:color w:val="000000"/>
                <w:sz w:val="20"/>
              </w:rPr>
              <w:t>B</w:t>
            </w:r>
            <w:r>
              <w:rPr>
                <w:rFonts w:ascii="Arial;sans-serif" w:hAnsi="Arial;sans-serif"/>
                <w:b w:val="false"/>
                <w:color w:val="000000"/>
                <w:sz w:val="16"/>
              </w:rPr>
              <w:t>ELLE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Michael E. LaBelle</w:t>
              <w:br/>
              <w:t>Chief Financial Officer of BXP, Inc.</w:t>
              <w:br/>
              <w:t>General Partner of Boston Properties Limited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PURSUANT TO 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BXP, Inc. (the “Company”) hereby certifies to his knowledge that the Company’s Quarterly Report on Form 10-Q for the period ended June 30,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3293" w:type="dxa"/>
        <w:jc w:val="center"/>
        <w:tblInd w:w="0" w:type="dxa"/>
        <w:tblLayout w:type="fixed"/>
        <w:tblCellMar>
          <w:top w:w="28" w:type="dxa"/>
          <w:left w:w="28" w:type="dxa"/>
          <w:bottom w:w="28" w:type="dxa"/>
          <w:right w:w="28" w:type="dxa"/>
        </w:tblCellMar>
      </w:tblPr>
      <w:tblGrid>
        <w:gridCol w:w="124"/>
        <w:gridCol w:w="109"/>
        <w:gridCol w:w="109"/>
        <w:gridCol w:w="859"/>
        <w:gridCol w:w="859"/>
        <w:gridCol w:w="8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  </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Owen D. Thomas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BXP, Inc. (the “Company”) hereby certifies to his knowledge that the Company's Quarterly Report on Form 10-Q for the period ended June 30,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3563" w:type="dxa"/>
        <w:jc w:val="center"/>
        <w:tblInd w:w="0" w:type="dxa"/>
        <w:tblLayout w:type="fixed"/>
        <w:tblCellMar>
          <w:top w:w="28" w:type="dxa"/>
          <w:left w:w="28" w:type="dxa"/>
          <w:bottom w:w="28" w:type="dxa"/>
          <w:right w:w="28" w:type="dxa"/>
        </w:tblCellMar>
      </w:tblPr>
      <w:tblGrid>
        <w:gridCol w:w="124"/>
        <w:gridCol w:w="109"/>
        <w:gridCol w:w="109"/>
        <w:gridCol w:w="949"/>
        <w:gridCol w:w="949"/>
        <w:gridCol w:w="9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6"/>
              </w:rPr>
              <w:t>A</w:t>
            </w:r>
            <w:r>
              <w:rPr>
                <w:rFonts w:ascii="Arial;sans-serif" w:hAnsi="Arial;sans-serif"/>
                <w:b w:val="false"/>
                <w:color w:val="000000"/>
                <w:sz w:val="20"/>
              </w:rPr>
              <w:t>B</w:t>
            </w:r>
            <w:r>
              <w:rPr>
                <w:rFonts w:ascii="Arial;sans-serif" w:hAnsi="Arial;sans-serif"/>
                <w:b w:val="false"/>
                <w:color w:val="000000"/>
                <w:sz w:val="16"/>
              </w:rPr>
              <w:t>ELLE</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Michael E. LaBelle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32.3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BXP, Inc., the sole general partner of Boston Properties Limited Partnership (the “Operating Partnership”), hereby certifies to his knowledge that the Operating Partnership's Quarterly Report on Form 10-Q for the period ended June 30,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5723" w:type="dxa"/>
        <w:jc w:val="center"/>
        <w:tblInd w:w="0" w:type="dxa"/>
        <w:tblLayout w:type="fixed"/>
        <w:tblCellMar>
          <w:top w:w="28" w:type="dxa"/>
          <w:left w:w="28" w:type="dxa"/>
          <w:bottom w:w="28" w:type="dxa"/>
          <w:right w:w="28" w:type="dxa"/>
        </w:tblCellMar>
      </w:tblPr>
      <w:tblGrid>
        <w:gridCol w:w="124"/>
        <w:gridCol w:w="109"/>
        <w:gridCol w:w="109"/>
        <w:gridCol w:w="1667"/>
        <w:gridCol w:w="1667"/>
        <w:gridCol w:w="167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Owen D. Thomas</w:t>
              <w:br/>
              <w:t>Chief Executive Officer of BXP, Inc.</w:t>
              <w:br/>
              <w:t>General Partner of Boston Properties Limited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32.4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undersigned officer of BXP, Inc., the sole general partner of Boston Properties Limited Partnership (the “Operating Partnership”), hereby certifies to his knowledge that the Operating Partnership’s Quarterly Report on Form 10-Q for the period ended June 30,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5724" w:type="dxa"/>
        <w:jc w:val="center"/>
        <w:tblInd w:w="0" w:type="dxa"/>
        <w:tblLayout w:type="fixed"/>
        <w:tblCellMar>
          <w:top w:w="28" w:type="dxa"/>
          <w:left w:w="28" w:type="dxa"/>
          <w:bottom w:w="28" w:type="dxa"/>
          <w:right w:w="28" w:type="dxa"/>
        </w:tblCellMar>
      </w:tblPr>
      <w:tblGrid>
        <w:gridCol w:w="124"/>
        <w:gridCol w:w="109"/>
        <w:gridCol w:w="109"/>
        <w:gridCol w:w="1669"/>
        <w:gridCol w:w="1669"/>
        <w:gridCol w:w="16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6"/>
              </w:rPr>
              <w:t>A</w:t>
            </w:r>
            <w:r>
              <w:rPr>
                <w:rFonts w:ascii="Arial;sans-serif" w:hAnsi="Arial;sans-serif"/>
                <w:b w:val="false"/>
                <w:color w:val="000000"/>
                <w:sz w:val="20"/>
              </w:rPr>
              <w:t>B</w:t>
            </w:r>
            <w:r>
              <w:rPr>
                <w:rFonts w:ascii="Arial;sans-serif" w:hAnsi="Arial;sans-serif"/>
                <w:b w:val="false"/>
                <w:color w:val="000000"/>
                <w:sz w:val="16"/>
              </w:rPr>
              <w:t>ELLE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Michael E. LaBelle</w:t>
              <w:br/>
              <w:t>Chief Financial Officer of BXP, Inc.</w:t>
              <w:br/>
              <w:t>General Partner of Boston Properties Limited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46439</Words>
  <Characters>257598</Characters>
  <CharactersWithSpaces>300330</CharactersWithSpaces>
  <Paragraphs>9272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