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48"/>
        </w:rPr>
      </w:pPr>
      <w:r>
        <w:rPr>
          <w:rFonts w:ascii="Arial;sans-serif" w:hAnsi="Arial;sans-serif"/>
          <w:b/>
          <w:color w:val="000000"/>
          <w:sz w:val="4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September 30, 2023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360" w:after="283"/>
        <w:jc w:val="center"/>
        <w:rPr>
          <w:rFonts w:ascii="Arial;sans-serif" w:hAnsi="Arial;sans-serif"/>
          <w:b/>
          <w:color w:val="000000"/>
          <w:sz w:val="18"/>
        </w:rPr>
      </w:pPr>
      <w:r>
        <w:rPr>
          <w:rFonts w:ascii="Arial;sans-serif" w:hAnsi="Arial;sans-serif"/>
          <w:b/>
          <w:color w:val="000000"/>
          <w:sz w:val="18"/>
        </w:rPr>
        <w:t>Commission File Number: 1-13087 (Boston Properties,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0-50209 (Boston Properties Limited Partnership)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BOSTON PROPERTIES, INC.</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 xml:space="preserve">BOSTON PROPERTIES LIMITED PARTNERSHIP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(Exact name of Registrants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00"/>
        <w:gridCol w:w="957"/>
        <w:gridCol w:w="962"/>
        <w:gridCol w:w="1404"/>
        <w:gridCol w:w="1404"/>
        <w:gridCol w:w="1419"/>
        <w:gridCol w:w="862"/>
        <w:gridCol w:w="862"/>
        <w:gridCol w:w="1235"/>
      </w:tblGrid>
      <w:tr>
        <w:trPr/>
        <w:tc>
          <w:tcPr>
            <w:tcW w:w="110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Boston Properties, Inc.</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04-2473675</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Boston Properties Limited Partnership</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04-3372948</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200" w:after="283"/>
        <w:jc w:val="center"/>
        <w:rPr>
          <w:rFonts w:ascii="Arial;sans-serif" w:hAnsi="Arial;sans-serif"/>
          <w:b/>
          <w:color w:val="000000"/>
          <w:sz w:val="18"/>
        </w:rPr>
      </w:pPr>
      <w:r>
        <w:rPr>
          <w:rFonts w:ascii="Arial;sans-serif" w:hAnsi="Arial;sans-serif"/>
          <w:b/>
          <w:color w:val="000000"/>
          <w:sz w:val="18"/>
        </w:rPr>
        <w:t xml:space="preserve">Prudential Center, 800 Boylston Street, Suite 1900, Boston, Massachusetts 02199-8103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(617) 236-3300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596"/>
        <w:gridCol w:w="523"/>
        <w:gridCol w:w="524"/>
        <w:gridCol w:w="109"/>
        <w:gridCol w:w="109"/>
        <w:gridCol w:w="109"/>
        <w:gridCol w:w="946"/>
        <w:gridCol w:w="852"/>
        <w:gridCol w:w="857"/>
        <w:gridCol w:w="109"/>
        <w:gridCol w:w="109"/>
        <w:gridCol w:w="109"/>
        <w:gridCol w:w="460"/>
        <w:gridCol w:w="460"/>
        <w:gridCol w:w="462"/>
        <w:gridCol w:w="109"/>
        <w:gridCol w:w="109"/>
        <w:gridCol w:w="109"/>
        <w:gridCol w:w="1036"/>
        <w:gridCol w:w="1036"/>
        <w:gridCol w:w="1472"/>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Boston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20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120" w:after="283"/>
        <w:ind w:left="0" w:right="0" w:firstLine="450"/>
        <w:jc w:val="left"/>
        <w:rPr/>
      </w:pPr>
      <w:r>
        <w:rPr>
          <w:rFonts w:ascii="Arial;sans-serif" w:hAnsi="Arial;sans-serif"/>
          <w:b w:val="false"/>
          <w:color w:val="000000"/>
          <w:sz w:val="18"/>
        </w:rPr>
        <w:t>Boston Properties,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20" w:after="283"/>
        <w:ind w:left="0" w:right="0" w:firstLine="450"/>
        <w:jc w:val="left"/>
        <w:rPr/>
      </w:pPr>
      <w:r>
        <w:rPr>
          <w:rFonts w:ascii="Arial;sans-serif" w:hAnsi="Arial;sans-serif"/>
          <w:b w:val="false"/>
          <w:color w:val="000000"/>
          <w:sz w:val="18"/>
        </w:rPr>
        <w:t>Boston Properties,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TextBody"/>
        <w:bidi w:val="0"/>
        <w:spacing w:lineRule="auto" w:line="288" w:before="18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Boston Properties, Inc.:     </w:t>
      </w:r>
    </w:p>
    <w:p>
      <w:pPr>
        <w:pStyle w:val="TextBody"/>
        <w:bidi w:val="0"/>
        <w:spacing w:lineRule="auto" w:line="288" w:before="0" w:after="0"/>
        <w:jc w:val="left"/>
        <w:rPr/>
      </w:pPr>
      <w:r>
        <w:rPr>
          <w:rFonts w:ascii="Arial;sans-serif" w:hAnsi="Arial;sans-serif"/>
          <w:b w:val="false"/>
          <w:color w:val="000000"/>
          <w:sz w:val="18"/>
        </w:rPr>
        <w:t>Large 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Non-accelerated filer  </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12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Boston Properties Limited Partnership: </w:t>
      </w:r>
    </w:p>
    <w:p>
      <w:pPr>
        <w:pStyle w:val="TextBody"/>
        <w:bidi w:val="0"/>
        <w:spacing w:lineRule="auto" w:line="288" w:before="0" w:after="0"/>
        <w:jc w:val="left"/>
        <w:rPr/>
      </w:pPr>
      <w:r>
        <w:rPr>
          <w:rFonts w:ascii="Arial;sans-serif" w:hAnsi="Arial;sans-serif"/>
          <w:b w:val="false"/>
          <w:color w:val="000000"/>
          <w:sz w:val="18"/>
        </w:rPr>
        <w:t>Large accelerated filer  </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 xml:space="preserve">Non-accelerated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w:t>
      </w:r>
      <w:r>
        <w:rPr>
          <w:color w:val="000000"/>
        </w:rPr>
        <w:t xml:space="preserve">  ☐ </w:t>
      </w:r>
    </w:p>
    <w:p>
      <w:pPr>
        <w:pStyle w:val="TextBody"/>
        <w:bidi w:val="0"/>
        <w:spacing w:lineRule="auto" w:line="288" w:before="18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pPr>
      <w:r>
        <w:rPr>
          <w:rFonts w:ascii="Arial;sans-serif" w:hAnsi="Arial;sans-serif"/>
          <w:b w:val="false"/>
          <w:color w:val="000000"/>
          <w:sz w:val="18"/>
        </w:rPr>
        <w:t>Boston Properties, Inc. </w:t>
      </w:r>
      <w:r>
        <w:rPr>
          <w:color w:val="000000"/>
        </w:rPr>
        <w:t>☐                 </w:t>
      </w:r>
      <w:r>
        <w:rPr>
          <w:rFonts w:ascii="Arial;sans-serif" w:hAnsi="Arial;sans-serif"/>
          <w:b w:val="false"/>
          <w:color w:val="000000"/>
          <w:sz w:val="18"/>
        </w:rPr>
        <w:t>Boston Properties Limited Partnership </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w:t>
      </w:r>
    </w:p>
    <w:p>
      <w:pPr>
        <w:pStyle w:val="TextBody"/>
        <w:bidi w:val="0"/>
        <w:spacing w:lineRule="auto" w:line="288" w:before="120" w:after="283"/>
        <w:ind w:left="0" w:right="0" w:firstLine="450"/>
        <w:jc w:val="left"/>
        <w:rPr/>
      </w:pPr>
      <w:r>
        <w:rPr>
          <w:rFonts w:ascii="Arial;sans-serif" w:hAnsi="Arial;sans-serif"/>
          <w:b w:val="false"/>
          <w:color w:val="000000"/>
          <w:sz w:val="18"/>
        </w:rPr>
        <w:t>Boston Properties, Inc.: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x</w:t>
      </w:r>
      <w:r>
        <w:rPr>
          <w:color w:val="000000"/>
        </w:rPr>
        <w:t>        </w:t>
      </w:r>
      <w:r>
        <w:rPr>
          <w:rFonts w:ascii="Arial;sans-serif" w:hAnsi="Arial;sans-serif"/>
          <w:b w:val="false"/>
          <w:color w:val="000000"/>
          <w:sz w:val="18"/>
        </w:rPr>
        <w:t>Boston Properties Limited Partnership: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x</w:t>
      </w:r>
    </w:p>
    <w:p>
      <w:pPr>
        <w:pStyle w:val="TextBody"/>
        <w:bidi w:val="0"/>
        <w:spacing w:lineRule="auto" w:line="288" w:before="240" w:after="283"/>
        <w:ind w:left="0" w:right="0" w:firstLine="450"/>
        <w:jc w:val="left"/>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8818" w:type="dxa"/>
        <w:jc w:val="center"/>
        <w:tblInd w:w="0" w:type="dxa"/>
        <w:tblLayout w:type="fixed"/>
        <w:tblCellMar>
          <w:top w:w="28" w:type="dxa"/>
          <w:left w:w="28" w:type="dxa"/>
          <w:bottom w:w="28" w:type="dxa"/>
          <w:right w:w="28" w:type="dxa"/>
        </w:tblCellMar>
      </w:tblPr>
      <w:tblGrid>
        <w:gridCol w:w="749"/>
        <w:gridCol w:w="658"/>
        <w:gridCol w:w="662"/>
        <w:gridCol w:w="1228"/>
        <w:gridCol w:w="1228"/>
        <w:gridCol w:w="1233"/>
        <w:gridCol w:w="894"/>
        <w:gridCol w:w="894"/>
        <w:gridCol w:w="127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Boston Properties, Inc.</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$0.01 per share</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156,940,180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(Outstanding on October 30, 2023)</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300"/>
        <w:jc w:val="center"/>
        <w:rPr>
          <w:rFonts w:ascii="Arial;sans-serif" w:hAnsi="Arial;sans-serif"/>
          <w:b/>
          <w:color w:val="000000"/>
          <w:sz w:val="20"/>
          <w:u w:val="single"/>
        </w:rPr>
      </w:pPr>
      <w:r>
        <w:rPr>
          <w:rFonts w:ascii="Arial;sans-serif" w:hAnsi="Arial;sans-serif"/>
          <w:b/>
          <w:color w:val="000000"/>
          <w:sz w:val="20"/>
          <w:u w:val="single"/>
        </w:rPr>
        <w:t>EXPLANATORY NOTE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This report combines the Quarterly Reports on Form 10-Q for the period ended September 30, 2023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September 30, 2023, BXP owned an approximate 89.4% ownership interest in BPLP. The remaining approximate 10.6%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believes that combining the Quarterly Reports on Form 10-Q of BXP and BPLP into this single report:</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enhances investors’ understanding of BXP and BPLP by enabling them to view the business as a whole in the same manner as management views and operates the business;</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eliminates duplicative disclosure and provides a more concise and readable presentation because a substantial portion of the disclosure applies to both BXP and BPLP; and</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creates time and cost efficiencies through the preparation of one combined report instead of two separate reports.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noncontrolling interests in BPLP and limited partners of BPLP. The differences between shareholders’ equity and partners’ capital result from differences in the equity issued by each of BXP and BPLP.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$244.6 million, or 1.2% at September 30, 2023,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To help investors better understand the key differences between BXP and BPLP, the following items in this report present information separately for BXP and BPLP:</w:t>
      </w:r>
    </w:p>
    <w:p>
      <w:pPr>
        <w:pStyle w:val="TextBody"/>
        <w:bidi w:val="0"/>
        <w:spacing w:lineRule="auto" w:line="288" w:before="180" w:after="283"/>
        <w:ind w:left="0" w:right="0" w:hanging="270"/>
        <w:jc w:val="left"/>
        <w:rPr/>
      </w:pPr>
      <w:r>
        <w:rPr>
          <w:color w:val="000000"/>
        </w:rPr>
        <w:t xml:space="preserve">• </w:t>
      </w:r>
      <w:r>
        <w:rPr>
          <w:rFonts w:ascii="Arial;sans-serif" w:hAnsi="Arial;sans-serif"/>
          <w:b w:val="false"/>
          <w:color w:val="000000"/>
          <w:sz w:val="20"/>
        </w:rPr>
        <w:t>Item 1. Financial Statements (unaudited), which includes the following specific disclosures for BXP and BPLP:</w:t>
      </w:r>
    </w:p>
    <w:p>
      <w:pPr>
        <w:pStyle w:val="TextBody"/>
        <w:bidi w:val="0"/>
        <w:spacing w:lineRule="auto" w:line="288" w:before="180" w:after="283"/>
        <w:ind w:left="0" w:right="0" w:firstLine="495"/>
        <w:jc w:val="left"/>
        <w:rPr/>
      </w:pPr>
      <w:r>
        <w:rPr>
          <w:color w:val="000000"/>
        </w:rPr>
        <w:t xml:space="preserve">• </w:t>
      </w:r>
      <w:r>
        <w:rPr>
          <w:rFonts w:ascii="Arial;sans-serif" w:hAnsi="Arial;sans-serif"/>
          <w:b w:val="false"/>
          <w:color w:val="000000"/>
          <w:sz w:val="20"/>
        </w:rPr>
        <w:t>Note 3. Real Estate;</w:t>
      </w:r>
    </w:p>
    <w:p>
      <w:pPr>
        <w:pStyle w:val="TextBody"/>
        <w:bidi w:val="0"/>
        <w:spacing w:lineRule="auto" w:line="288" w:before="180" w:after="283"/>
        <w:ind w:left="0" w:right="0" w:firstLine="495"/>
        <w:jc w:val="left"/>
        <w:rPr/>
      </w:pPr>
      <w:r>
        <w:rPr>
          <w:color w:val="000000"/>
        </w:rPr>
        <w:t xml:space="preserve">• </w:t>
      </w:r>
      <w:r>
        <w:rPr>
          <w:rFonts w:ascii="Arial;sans-serif" w:hAnsi="Arial;sans-serif"/>
          <w:b w:val="false"/>
          <w:color w:val="000000"/>
          <w:sz w:val="20"/>
        </w:rPr>
        <w:t xml:space="preserve">Note 10. Stockholders’ Equity / Partners’ Capital; </w:t>
      </w:r>
    </w:p>
    <w:p>
      <w:pPr>
        <w:pStyle w:val="TextBody"/>
        <w:bidi w:val="0"/>
        <w:spacing w:lineRule="auto" w:line="288" w:before="180" w:after="283"/>
        <w:ind w:left="0" w:right="0" w:firstLine="495"/>
        <w:jc w:val="left"/>
        <w:rPr/>
      </w:pPr>
      <w:r>
        <w:rPr>
          <w:color w:val="000000"/>
        </w:rPr>
        <w:t xml:space="preserve">• </w:t>
      </w:r>
      <w:r>
        <w:rPr>
          <w:rFonts w:ascii="Arial;sans-serif" w:hAnsi="Arial;sans-serif"/>
          <w:b w:val="false"/>
          <w:color w:val="000000"/>
          <w:sz w:val="20"/>
        </w:rPr>
        <w:t>Note 11. Segment Information; and</w:t>
      </w:r>
    </w:p>
    <w:p>
      <w:pPr>
        <w:pStyle w:val="TextBody"/>
        <w:bidi w:val="0"/>
        <w:spacing w:lineRule="auto" w:line="288" w:before="180" w:after="283"/>
        <w:ind w:left="0" w:right="0" w:firstLine="495"/>
        <w:jc w:val="left"/>
        <w:rPr/>
      </w:pPr>
      <w:r>
        <w:rPr>
          <w:color w:val="000000"/>
        </w:rPr>
        <w:t xml:space="preserve">• </w:t>
      </w:r>
      <w:r>
        <w:rPr>
          <w:rFonts w:ascii="Arial;sans-serif" w:hAnsi="Arial;sans-serif"/>
          <w:b w:val="false"/>
          <w:color w:val="000000"/>
          <w:sz w:val="20"/>
        </w:rPr>
        <w:t>Note 12. Earnings Per Share / Common Unit</w:t>
      </w:r>
    </w:p>
    <w:p>
      <w:pPr>
        <w:pStyle w:val="TextBody"/>
        <w:bidi w:val="0"/>
        <w:spacing w:lineRule="auto" w:line="288" w:before="180" w:after="283"/>
        <w:ind w:left="0" w:right="0" w:hanging="270"/>
        <w:jc w:val="left"/>
        <w:rPr/>
      </w:pPr>
      <w:r>
        <w:rPr>
          <w:color w:val="000000"/>
        </w:rPr>
        <w:t xml:space="preserve">• </w:t>
      </w:r>
      <w:r>
        <w:rPr>
          <w:rFonts w:ascii="Arial;sans-serif" w:hAnsi="Arial;sans-serif"/>
          <w:b w:val="false"/>
          <w:color w:val="000000"/>
          <w:sz w:val="20"/>
        </w:rPr>
        <w:t>Item 2. Management’s Discussion and Analysis of Financial Condition and Results of Operations and Liquidity and Capital Resources, includes information specific to each entity, where applicable.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This report also includes separate Part I - Item 4. Controls and Procedures and Part II - Item 2. Unregistered Sales of Equity Securities, Use of Proceeds, and Issuer Purchases of Equity Securities sections for each of BXP and BPLP, as well as separate Exhibits 31 and 32 certifications for each of BXP and BPLP. </w:t>
      </w:r>
    </w:p>
    <w:p>
      <w:pPr>
        <w:pStyle w:val="TextBody"/>
        <w:bidi w:val="0"/>
        <w:spacing w:before="18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 AND BOSTON PROPERTIES LIMITED PARTNERSHIP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 ended September 30, 2023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69"/>
        <w:gridCol w:w="438"/>
        <w:gridCol w:w="438"/>
        <w:gridCol w:w="2833"/>
        <w:gridCol w:w="2662"/>
        <w:gridCol w:w="2646"/>
        <w:gridCol w:w="180"/>
        <w:gridCol w:w="180"/>
        <w:gridCol w:w="259"/>
      </w:tblGrid>
      <w:tr>
        <w:trPr/>
        <w:tc>
          <w:tcPr>
            <w:tcW w:w="56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13">
              <w:r>
                <w:rPr>
                  <w:rStyle w:val="InternetLink"/>
                  <w:rFonts w:ascii="Arial;sans-serif" w:hAnsi="Arial;sans-serif"/>
                  <w:b/>
                  <w:color w:val="0000FF"/>
                  <w:sz w:val="20"/>
                  <w:u w:val="single"/>
                </w:rPr>
                <w:t>PART I. FINANCIAL INFORMATION</w:t>
              </w:r>
            </w:hyperlink>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106">
              <w:r>
                <w:rPr>
                  <w:rStyle w:val="InternetLink"/>
                  <w:rFonts w:ascii="Arial;sans-serif" w:hAnsi="Arial;sans-serif"/>
                  <w:b w:val="false"/>
                  <w:color w:val="0000FF"/>
                  <w:sz w:val="20"/>
                  <w:u w:val="single"/>
                </w:rPr>
                <w:t>Financial Statements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06">
              <w:r>
                <w:rPr>
                  <w:rStyle w:val="InternetLink"/>
                  <w:rFonts w:ascii="Arial;sans-serif" w:hAnsi="Arial;sans-serif"/>
                  <w:b w:val="false"/>
                  <w:color w:val="0000FF"/>
                  <w:sz w:val="20"/>
                  <w:u w:val="single"/>
                </w:rPr>
                <w:t>1</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Inc.</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141"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141"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109">
              <w:r>
                <w:rPr>
                  <w:rStyle w:val="InternetLink"/>
                  <w:rFonts w:ascii="Arial;sans-serif" w:hAnsi="Arial;sans-serif"/>
                  <w:b w:val="false"/>
                  <w:color w:val="000080"/>
                  <w:sz w:val="20"/>
                  <w:u w:val="single"/>
                </w:rPr>
                <w:t xml:space="preserve">a) Consolidated Balance Sheets as of </w:t>
              </w:r>
            </w:hyperlink>
            <w:hyperlink w:anchor="ia2bed122133a44418e357743064632e6_109">
              <w:r>
                <w:rPr>
                  <w:rStyle w:val="InternetLink"/>
                  <w:rFonts w:ascii="Arial;sans-serif" w:hAnsi="Arial;sans-serif"/>
                  <w:b w:val="false"/>
                  <w:color w:val="000080"/>
                  <w:sz w:val="20"/>
                  <w:u w:val="single"/>
                </w:rPr>
                <w:t>September</w:t>
              </w:r>
            </w:hyperlink>
            <w:hyperlink w:anchor="ia2bed122133a44418e357743064632e6_109">
              <w:r>
                <w:rPr>
                  <w:rStyle w:val="InternetLink"/>
                  <w:rFonts w:ascii="Arial;sans-serif" w:hAnsi="Arial;sans-serif"/>
                  <w:b w:val="false"/>
                  <w:color w:val="000080"/>
                  <w:sz w:val="20"/>
                  <w:u w:val="single"/>
                </w:rPr>
                <w:t xml:space="preserve"> 30, 2023 and December 31,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09">
              <w:r>
                <w:rPr>
                  <w:rStyle w:val="InternetLink"/>
                  <w:rFonts w:ascii="Arial;sans-serif" w:hAnsi="Arial;sans-serif"/>
                  <w:b w:val="false"/>
                  <w:color w:val="0000FF"/>
                  <w:sz w:val="20"/>
                  <w:u w:val="single"/>
                </w:rPr>
                <w:t>1</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15">
              <w:r>
                <w:rPr>
                  <w:rStyle w:val="InternetLink"/>
                  <w:rFonts w:ascii="Arial;sans-serif" w:hAnsi="Arial;sans-serif"/>
                  <w:b w:val="false"/>
                  <w:color w:val="0000FF"/>
                  <w:sz w:val="20"/>
                  <w:u w:val="single"/>
                </w:rPr>
                <w:t>b) Consolidated Statements of Operations for the three and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15">
              <w:r>
                <w:rPr>
                  <w:rStyle w:val="InternetLink"/>
                  <w:rFonts w:ascii="Arial;sans-serif" w:hAnsi="Arial;sans-serif"/>
                  <w:b w:val="false"/>
                  <w:color w:val="0000FF"/>
                  <w:sz w:val="20"/>
                  <w:u w:val="single"/>
                </w:rPr>
                <w:t>3</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21">
              <w:r>
                <w:rPr>
                  <w:rStyle w:val="InternetLink"/>
                  <w:rFonts w:ascii="Arial;sans-serif" w:hAnsi="Arial;sans-serif"/>
                  <w:b w:val="false"/>
                  <w:color w:val="0000FF"/>
                  <w:sz w:val="20"/>
                  <w:u w:val="single"/>
                </w:rPr>
                <w:t>c) Consolidated Statements of Comprehensive Income (Loss) for the three and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21">
              <w:r>
                <w:rPr>
                  <w:rStyle w:val="InternetLink"/>
                  <w:rFonts w:ascii="Arial;sans-serif" w:hAnsi="Arial;sans-serif"/>
                  <w:b w:val="false"/>
                  <w:color w:val="0000FF"/>
                  <w:sz w:val="20"/>
                  <w:u w:val="single"/>
                </w:rPr>
                <w:t>4</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24">
              <w:r>
                <w:rPr>
                  <w:rStyle w:val="InternetLink"/>
                  <w:rFonts w:ascii="Arial;sans-serif" w:hAnsi="Arial;sans-serif"/>
                  <w:b w:val="false"/>
                  <w:color w:val="0000FF"/>
                  <w:sz w:val="20"/>
                  <w:u w:val="single"/>
                </w:rPr>
                <w:t>d) Consolidated Statements of Equity for the three and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24">
              <w:r>
                <w:rPr>
                  <w:rStyle w:val="InternetLink"/>
                  <w:rFonts w:ascii="Arial;sans-serif" w:hAnsi="Arial;sans-serif"/>
                  <w:b w:val="false"/>
                  <w:color w:val="0000FF"/>
                  <w:sz w:val="20"/>
                  <w:u w:val="single"/>
                </w:rPr>
                <w:t>5</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30">
              <w:r>
                <w:rPr>
                  <w:rStyle w:val="InternetLink"/>
                  <w:rFonts w:ascii="Arial;sans-serif" w:hAnsi="Arial;sans-serif"/>
                  <w:b w:val="false"/>
                  <w:color w:val="0000FF"/>
                  <w:sz w:val="20"/>
                  <w:u w:val="single"/>
                </w:rPr>
                <w:t>e) Consolidated Statements of Cash Flows for the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30">
              <w:r>
                <w:rPr>
                  <w:rStyle w:val="InternetLink"/>
                  <w:rFonts w:ascii="Arial;sans-serif" w:hAnsi="Arial;sans-serif"/>
                  <w:b w:val="false"/>
                  <w:color w:val="0000FF"/>
                  <w:sz w:val="20"/>
                  <w:u w:val="single"/>
                </w:rPr>
                <w:t>7</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141"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141"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139">
              <w:r>
                <w:rPr>
                  <w:rStyle w:val="InternetLink"/>
                  <w:rFonts w:ascii="Arial;sans-serif" w:hAnsi="Arial;sans-serif"/>
                  <w:b w:val="false"/>
                  <w:color w:val="0000FF"/>
                  <w:sz w:val="20"/>
                  <w:u w:val="single"/>
                </w:rPr>
                <w:t>a) Consolidated Balance Sheets as of September 30, 2023 and December 31,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39">
              <w:r>
                <w:rPr>
                  <w:rStyle w:val="InternetLink"/>
                  <w:rFonts w:ascii="Arial;sans-serif" w:hAnsi="Arial;sans-serif"/>
                  <w:b w:val="false"/>
                  <w:color w:val="0000FF"/>
                  <w:sz w:val="20"/>
                  <w:u w:val="single"/>
                </w:rPr>
                <w:t>9</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45">
              <w:r>
                <w:rPr>
                  <w:rStyle w:val="InternetLink"/>
                  <w:rFonts w:ascii="Arial;sans-serif" w:hAnsi="Arial;sans-serif"/>
                  <w:b w:val="false"/>
                  <w:color w:val="0000FF"/>
                  <w:sz w:val="20"/>
                  <w:u w:val="single"/>
                </w:rPr>
                <w:t>b) Consolidated Statements of Operations for the three and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45">
              <w:r>
                <w:rPr>
                  <w:rStyle w:val="InternetLink"/>
                  <w:rFonts w:ascii="Arial;sans-serif" w:hAnsi="Arial;sans-serif"/>
                  <w:b w:val="false"/>
                  <w:color w:val="0000FF"/>
                  <w:sz w:val="20"/>
                  <w:u w:val="single"/>
                </w:rPr>
                <w:t>11</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51">
              <w:r>
                <w:rPr>
                  <w:rStyle w:val="InternetLink"/>
                  <w:rFonts w:ascii="Arial;sans-serif" w:hAnsi="Arial;sans-serif"/>
                  <w:b w:val="false"/>
                  <w:color w:val="0000FF"/>
                  <w:sz w:val="20"/>
                  <w:u w:val="single"/>
                </w:rPr>
                <w:t>c) Consolidated Statements of Comprehensive Income (Loss) for the three and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51">
              <w:r>
                <w:rPr>
                  <w:rStyle w:val="InternetLink"/>
                  <w:rFonts w:ascii="Arial;sans-serif" w:hAnsi="Arial;sans-serif"/>
                  <w:b w:val="false"/>
                  <w:color w:val="0000FF"/>
                  <w:sz w:val="20"/>
                  <w:u w:val="single"/>
                </w:rPr>
                <w:t>12</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54">
              <w:r>
                <w:rPr>
                  <w:rStyle w:val="InternetLink"/>
                  <w:rFonts w:ascii="Arial;sans-serif" w:hAnsi="Arial;sans-serif"/>
                  <w:b w:val="false"/>
                  <w:color w:val="0000FF"/>
                  <w:sz w:val="20"/>
                  <w:u w:val="single"/>
                </w:rPr>
                <w:t>d) Consolidated Statements of Capital and Noncontrolling Interests for the three and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54">
              <w:r>
                <w:rPr>
                  <w:rStyle w:val="InternetLink"/>
                  <w:rFonts w:ascii="Arial;sans-serif" w:hAnsi="Arial;sans-serif"/>
                  <w:b w:val="false"/>
                  <w:color w:val="0000FF"/>
                  <w:sz w:val="20"/>
                  <w:u w:val="single"/>
                </w:rPr>
                <w:t>13</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2bed122133a44418e357743064632e6_163">
              <w:r>
                <w:rPr>
                  <w:rStyle w:val="InternetLink"/>
                  <w:rFonts w:ascii="Arial;sans-serif" w:hAnsi="Arial;sans-serif"/>
                  <w:b w:val="false"/>
                  <w:color w:val="0000FF"/>
                  <w:sz w:val="20"/>
                  <w:u w:val="single"/>
                </w:rPr>
                <w:t>e) Consolidated Statements of Cash Flows for the nine months ended September 30, 2023 and 2022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63">
              <w:r>
                <w:rPr>
                  <w:rStyle w:val="InternetLink"/>
                  <w:rFonts w:ascii="Arial;sans-serif" w:hAnsi="Arial;sans-serif"/>
                  <w:b w:val="false"/>
                  <w:color w:val="0000FF"/>
                  <w:sz w:val="20"/>
                  <w:u w:val="single"/>
                </w:rPr>
                <w:t>15</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Inc. and Boston Properties Limited Partnership</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169">
              <w:r>
                <w:rPr>
                  <w:rStyle w:val="InternetLink"/>
                  <w:rFonts w:ascii="Arial;sans-serif" w:hAnsi="Arial;sans-serif"/>
                  <w:b w:val="false"/>
                  <w:color w:val="0000FF"/>
                  <w:sz w:val="20"/>
                  <w:u w:val="single"/>
                </w:rPr>
                <w:t>Notes to the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169">
              <w:r>
                <w:rPr>
                  <w:rStyle w:val="InternetLink"/>
                  <w:rFonts w:ascii="Arial;sans-serif" w:hAnsi="Arial;sans-serif"/>
                  <w:b w:val="false"/>
                  <w:color w:val="0000FF"/>
                  <w:sz w:val="20"/>
                  <w:u w:val="single"/>
                </w:rPr>
                <w:t>17</w:t>
              </w:r>
            </w:hyperlink>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289">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289">
              <w:r>
                <w:rPr>
                  <w:rStyle w:val="InternetLink"/>
                  <w:rFonts w:ascii="Arial;sans-serif" w:hAnsi="Arial;sans-serif"/>
                  <w:b w:val="false"/>
                  <w:color w:val="0000FF"/>
                  <w:sz w:val="20"/>
                  <w:u w:val="single"/>
                </w:rPr>
                <w:t>47</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58">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58">
              <w:r>
                <w:rPr>
                  <w:rStyle w:val="InternetLink"/>
                  <w:rFonts w:ascii="Arial;sans-serif" w:hAnsi="Arial;sans-serif"/>
                  <w:b w:val="false"/>
                  <w:color w:val="0000FF"/>
                  <w:sz w:val="20"/>
                  <w:u w:val="single"/>
                </w:rPr>
                <w:t>102</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76">
              <w:r>
                <w:rPr>
                  <w:rStyle w:val="InternetLink"/>
                  <w:rFonts w:ascii="Arial;sans-serif" w:hAnsi="Arial;sans-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76">
              <w:r>
                <w:rPr>
                  <w:rStyle w:val="InternetLink"/>
                  <w:rFonts w:ascii="Arial;sans-serif" w:hAnsi="Arial;sans-serif"/>
                  <w:b w:val="false"/>
                  <w:color w:val="0000FF"/>
                  <w:sz w:val="20"/>
                  <w:u w:val="single"/>
                </w:rPr>
                <w:t>103</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79">
              <w:r>
                <w:rPr>
                  <w:rStyle w:val="InternetLink"/>
                  <w:rFonts w:ascii="Arial;sans-serif" w:hAnsi="Arial;sans-serif"/>
                  <w:b/>
                  <w:color w:val="0000FF"/>
                  <w:sz w:val="20"/>
                  <w:u w:val="single"/>
                </w:rPr>
                <w:t>PART II. 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82">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82">
              <w:r>
                <w:rPr>
                  <w:rStyle w:val="InternetLink"/>
                  <w:rFonts w:ascii="Arial;sans-serif" w:hAnsi="Arial;sans-serif"/>
                  <w:b w:val="false"/>
                  <w:color w:val="0000FF"/>
                  <w:sz w:val="20"/>
                  <w:u w:val="single"/>
                </w:rPr>
                <w:t>104</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85">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85">
              <w:r>
                <w:rPr>
                  <w:rStyle w:val="InternetLink"/>
                  <w:rFonts w:ascii="Arial;sans-serif" w:hAnsi="Arial;sans-serif"/>
                  <w:b w:val="false"/>
                  <w:color w:val="0000FF"/>
                  <w:sz w:val="20"/>
                  <w:u w:val="single"/>
                </w:rPr>
                <w:t>104</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88">
              <w:r>
                <w:rPr>
                  <w:rStyle w:val="InternetLink"/>
                  <w:rFonts w:ascii="Arial;sans-serif" w:hAnsi="Arial;sans-serif"/>
                  <w:b w:val="false"/>
                  <w:color w:val="0000FF"/>
                  <w:sz w:val="20"/>
                  <w:u w:val="single"/>
                </w:rPr>
                <w:t>Unregistered Sales of Equity Securities, Use of Proceeds, and Issuer Purchases of Equity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88">
              <w:r>
                <w:rPr>
                  <w:rStyle w:val="InternetLink"/>
                  <w:rFonts w:ascii="Arial;sans-serif" w:hAnsi="Arial;sans-serif"/>
                  <w:b w:val="false"/>
                  <w:color w:val="0000FF"/>
                  <w:sz w:val="20"/>
                  <w:u w:val="single"/>
                </w:rPr>
                <w:t>104</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91">
              <w:r>
                <w:rPr>
                  <w:rStyle w:val="InternetLink"/>
                  <w:rFonts w:ascii="Arial;sans-serif" w:hAnsi="Arial;sans-serif"/>
                  <w:b w:val="false"/>
                  <w:color w:val="0000FF"/>
                  <w:sz w:val="20"/>
                  <w:u w:val="singl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91">
              <w:r>
                <w:rPr>
                  <w:rStyle w:val="InternetLink"/>
                  <w:rFonts w:ascii="Arial;sans-serif" w:hAnsi="Arial;sans-serif"/>
                  <w:b w:val="false"/>
                  <w:color w:val="0000FF"/>
                  <w:sz w:val="20"/>
                  <w:u w:val="single"/>
                </w:rPr>
                <w:t>105</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94">
              <w:r>
                <w:rPr>
                  <w:rStyle w:val="InternetLink"/>
                  <w:rFonts w:ascii="Arial;sans-serif" w:hAnsi="Arial;sans-serif"/>
                  <w:b w:val="false"/>
                  <w:color w:val="0000FF"/>
                  <w:sz w:val="20"/>
                  <w:u w:val="singl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94">
              <w:r>
                <w:rPr>
                  <w:rStyle w:val="InternetLink"/>
                  <w:rFonts w:ascii="Arial;sans-serif" w:hAnsi="Arial;sans-serif"/>
                  <w:b w:val="false"/>
                  <w:color w:val="0000FF"/>
                  <w:sz w:val="20"/>
                  <w:u w:val="single"/>
                </w:rPr>
                <w:t>105</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397">
              <w:r>
                <w:rPr>
                  <w:rStyle w:val="InternetLink"/>
                  <w:rFonts w:ascii="Arial;sans-serif" w:hAnsi="Arial;sans-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397">
              <w:r>
                <w:rPr>
                  <w:rStyle w:val="InternetLink"/>
                  <w:rFonts w:ascii="Arial;sans-serif" w:hAnsi="Arial;sans-serif"/>
                  <w:b w:val="false"/>
                  <w:color w:val="0000FF"/>
                  <w:sz w:val="20"/>
                  <w:u w:val="single"/>
                </w:rPr>
                <w:t>105</w:t>
              </w:r>
            </w:hyperlink>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1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400">
              <w:r>
                <w:rPr>
                  <w:rStyle w:val="InternetLink"/>
                  <w:rFonts w:ascii="Arial;sans-serif" w:hAnsi="Arial;sans-serif"/>
                  <w:b w:val="false"/>
                  <w:color w:val="0000FF"/>
                  <w:sz w:val="20"/>
                  <w:u w:val="singl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400">
              <w:r>
                <w:rPr>
                  <w:rStyle w:val="InternetLink"/>
                  <w:rFonts w:ascii="Arial;sans-serif" w:hAnsi="Arial;sans-serif"/>
                  <w:b w:val="false"/>
                  <w:color w:val="0000FF"/>
                  <w:sz w:val="20"/>
                  <w:u w:val="single"/>
                </w:rPr>
                <w:t>109</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2bed122133a44418e357743064632e6_403">
              <w:r>
                <w:rPr>
                  <w:rStyle w:val="InternetLink"/>
                  <w:rFonts w:ascii="Arial;sans-serif" w:hAnsi="Arial;sans-serif"/>
                  <w:b/>
                  <w:color w:val="0000FF"/>
                  <w:sz w:val="20"/>
                  <w:u w:val="singl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bed122133a44418e357743064632e6_403">
              <w:r>
                <w:rPr>
                  <w:rStyle w:val="InternetLink"/>
                  <w:rFonts w:ascii="Arial;sans-serif" w:hAnsi="Arial;sans-serif"/>
                  <w:b w:val="false"/>
                  <w:color w:val="0000FF"/>
                  <w:sz w:val="20"/>
                  <w:u w:val="single"/>
                </w:rPr>
                <w:t>110</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PART I. FINANCIAL INFORMATION</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ITEM 1—Financial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273"/>
        <w:gridCol w:w="1737"/>
        <w:gridCol w:w="1755"/>
        <w:gridCol w:w="137"/>
        <w:gridCol w:w="137"/>
        <w:gridCol w:w="137"/>
        <w:gridCol w:w="267"/>
        <w:gridCol w:w="1371"/>
        <w:gridCol w:w="137"/>
        <w:gridCol w:w="137"/>
        <w:gridCol w:w="137"/>
        <w:gridCol w:w="137"/>
        <w:gridCol w:w="267"/>
        <w:gridCol w:w="1371"/>
        <w:gridCol w:w="205"/>
      </w:tblGrid>
      <w:tr>
        <w:trPr/>
        <w:tc>
          <w:tcPr>
            <w:tcW w:w="227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$6,902,389 and $6,789,029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26,031,390 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25,389,663 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operating leases (amounts related to VIEs of $156,940 and $0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$(1,463,949) and $(1,381,401)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(6,723,616)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(6,298,082)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19,868,096 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19,496,442 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$240,039 and $259,658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882,647 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$36,758 and $16,521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 receivable,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$393,227 and $367,138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1,331,796 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1,276,580 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$171,998 and $176,597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692,386 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$46,473 and $11,647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1,536,822 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1,715,911 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24,739,148 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24,207,669 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EQUITY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$3,275,974 and $3,272,368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3,275,974 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3,272,368 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10,488,568 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10,237,968 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$20,710 and $20,604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Lease liabilities - operating leases (amounts related to VIEs of $136,332 and $0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204,686 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$43,696 and $29,466 at September 30, 2023 and December 31, 2022, respectively)</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462,240 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$106,566 and $114,232 at September 30, 2023 and December 31, 2022, respectively)</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450,918 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16,698,784 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15,837,237 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center"/>
        <w:tblInd w:w="0" w:type="dxa"/>
        <w:tblLayout w:type="fixed"/>
        <w:tblCellMar>
          <w:top w:w="28" w:type="dxa"/>
          <w:left w:w="28" w:type="dxa"/>
          <w:bottom w:w="28" w:type="dxa"/>
          <w:right w:w="28" w:type="dxa"/>
        </w:tblCellMar>
      </w:tblPr>
      <w:tblGrid>
        <w:gridCol w:w="2215"/>
        <w:gridCol w:w="1868"/>
        <w:gridCol w:w="1879"/>
        <w:gridCol w:w="131"/>
        <w:gridCol w:w="131"/>
        <w:gridCol w:w="131"/>
        <w:gridCol w:w="255"/>
        <w:gridCol w:w="1310"/>
        <w:gridCol w:w="131"/>
        <w:gridCol w:w="131"/>
        <w:gridCol w:w="131"/>
        <w:gridCol w:w="131"/>
        <w:gridCol w:w="255"/>
        <w:gridCol w:w="1310"/>
        <w:gridCol w:w="196"/>
      </w:tblGrid>
      <w:tr>
        <w:trPr/>
        <w:tc>
          <w:tcPr>
            <w:tcW w:w="221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114,124 and 97,853 units outstanding at redemption value at September 30, 2023 and December 31, 2022, respectively</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attributable to Boston Properties, Inc.:</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Excess stock, $0.01 par value, 150,000,000 shares authorized, none issued or outstanding</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Preferred stock, $0.01 par value, 50,000,000 shares authorized, none issued or outstanding</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Common stock, $0.01 par value, 250,000,000 shares authorized, 157,018,080 and 156,836,767 issued and 156,939,180 and 156,757,867 outstanding at September 30, 2023 and December 31, 2022, respectively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6,568,645 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6,539,147 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in excess of earnings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(782,275)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Treasury common stock at cost, 78,900 shares at September 30, 2023 and December 31, 2022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attributable to Boston Properties, Inc.</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5,788,083 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6,132,919 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units of Boston Properties Limited Partnership</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656,587 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683,583 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partnerships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1,588,906 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1,547,317 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8,033,576 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8,363,819 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24,739,148 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24,207,669 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 except for per share amounts)</w:t>
      </w:r>
    </w:p>
    <w:tbl>
      <w:tblPr>
        <w:tblW w:w="10205" w:type="dxa"/>
        <w:jc w:val="left"/>
        <w:tblInd w:w="0" w:type="dxa"/>
        <w:tblLayout w:type="fixed"/>
        <w:tblCellMar>
          <w:top w:w="28" w:type="dxa"/>
          <w:left w:w="28" w:type="dxa"/>
          <w:bottom w:w="28" w:type="dxa"/>
          <w:right w:w="28" w:type="dxa"/>
        </w:tblCellMar>
      </w:tblPr>
      <w:tblGrid>
        <w:gridCol w:w="1511"/>
        <w:gridCol w:w="1167"/>
        <w:gridCol w:w="1120"/>
        <w:gridCol w:w="225"/>
        <w:gridCol w:w="928"/>
        <w:gridCol w:w="116"/>
        <w:gridCol w:w="116"/>
        <w:gridCol w:w="116"/>
        <w:gridCol w:w="116"/>
        <w:gridCol w:w="225"/>
        <w:gridCol w:w="883"/>
        <w:gridCol w:w="116"/>
        <w:gridCol w:w="109"/>
        <w:gridCol w:w="109"/>
        <w:gridCol w:w="109"/>
        <w:gridCol w:w="214"/>
        <w:gridCol w:w="993"/>
        <w:gridCol w:w="110"/>
        <w:gridCol w:w="110"/>
        <w:gridCol w:w="110"/>
        <w:gridCol w:w="110"/>
        <w:gridCol w:w="214"/>
        <w:gridCol w:w="993"/>
        <w:gridCol w:w="110"/>
        <w:gridCol w:w="109"/>
        <w:gridCol w:w="166"/>
      </w:tblGrid>
      <w:tr>
        <w:trPr/>
        <w:tc>
          <w:tcPr>
            <w:tcW w:w="151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739,255 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824,283 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790,523 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2,444,636 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2,318,757 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551,445 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518,994 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1,672,241 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1,520,810 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 assignment fee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(424,492)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(103,543)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864,861 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Inc.</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(111,826)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727,144 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earnings per common share attributable to Boston Properties, Inc. </w:t>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share attributable to Boston Properties, Inc. </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shares outstanding</w:t>
            </w:r>
          </w:p>
        </w:tc>
        <w:tc>
          <w:tcPr>
            <w:tcW w:w="115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156,880 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157,133 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157,177 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157,144 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37"/>
        <w:gridCol w:w="1161"/>
        <w:gridCol w:w="1052"/>
        <w:gridCol w:w="109"/>
        <w:gridCol w:w="109"/>
        <w:gridCol w:w="109"/>
        <w:gridCol w:w="225"/>
        <w:gridCol w:w="946"/>
        <w:gridCol w:w="116"/>
        <w:gridCol w:w="116"/>
        <w:gridCol w:w="116"/>
        <w:gridCol w:w="116"/>
        <w:gridCol w:w="225"/>
        <w:gridCol w:w="914"/>
        <w:gridCol w:w="116"/>
        <w:gridCol w:w="109"/>
        <w:gridCol w:w="109"/>
        <w:gridCol w:w="109"/>
        <w:gridCol w:w="223"/>
        <w:gridCol w:w="909"/>
        <w:gridCol w:w="115"/>
        <w:gridCol w:w="115"/>
        <w:gridCol w:w="115"/>
        <w:gridCol w:w="115"/>
        <w:gridCol w:w="223"/>
        <w:gridCol w:w="909"/>
        <w:gridCol w:w="115"/>
        <w:gridCol w:w="109"/>
        <w:gridCol w:w="163"/>
      </w:tblGrid>
      <w:tr>
        <w:trPr/>
        <w:tc>
          <w:tcPr>
            <w:tcW w:w="133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(103,543)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420,661 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864,861 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(96,407)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157,181 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888,291 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(105,554)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372,064 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747,817 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(1)Amounts reclassified from comprehensive income primarily to interest expense within Boston Properties, Inc.’s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3887" w:type="dxa"/>
        <w:jc w:val="center"/>
        <w:tblInd w:w="0" w:type="dxa"/>
        <w:tblLayout w:type="fixed"/>
        <w:tblCellMar>
          <w:top w:w="28" w:type="dxa"/>
          <w:left w:w="28" w:type="dxa"/>
          <w:bottom w:w="28" w:type="dxa"/>
          <w:right w:w="28" w:type="dxa"/>
        </w:tblCellMar>
      </w:tblPr>
      <w:tblGrid>
        <w:gridCol w:w="733"/>
        <w:gridCol w:w="196"/>
        <w:gridCol w:w="197"/>
        <w:gridCol w:w="368"/>
        <w:gridCol w:w="368"/>
        <w:gridCol w:w="216"/>
        <w:gridCol w:w="109"/>
        <w:gridCol w:w="109"/>
        <w:gridCol w:w="109"/>
        <w:gridCol w:w="196"/>
        <w:gridCol w:w="556"/>
        <w:gridCol w:w="109"/>
        <w:gridCol w:w="109"/>
        <w:gridCol w:w="109"/>
        <w:gridCol w:w="109"/>
        <w:gridCol w:w="196"/>
        <w:gridCol w:w="871"/>
        <w:gridCol w:w="109"/>
        <w:gridCol w:w="109"/>
        <w:gridCol w:w="109"/>
        <w:gridCol w:w="109"/>
        <w:gridCol w:w="196"/>
        <w:gridCol w:w="791"/>
        <w:gridCol w:w="109"/>
        <w:gridCol w:w="109"/>
        <w:gridCol w:w="109"/>
        <w:gridCol w:w="109"/>
        <w:gridCol w:w="196"/>
        <w:gridCol w:w="571"/>
        <w:gridCol w:w="109"/>
        <w:gridCol w:w="109"/>
        <w:gridCol w:w="109"/>
        <w:gridCol w:w="109"/>
        <w:gridCol w:w="274"/>
        <w:gridCol w:w="924"/>
        <w:gridCol w:w="153"/>
        <w:gridCol w:w="109"/>
        <w:gridCol w:w="109"/>
        <w:gridCol w:w="109"/>
        <w:gridCol w:w="245"/>
        <w:gridCol w:w="923"/>
        <w:gridCol w:w="138"/>
        <w:gridCol w:w="109"/>
        <w:gridCol w:w="109"/>
        <w:gridCol w:w="109"/>
        <w:gridCol w:w="217"/>
        <w:gridCol w:w="967"/>
        <w:gridCol w:w="122"/>
        <w:gridCol w:w="109"/>
        <w:gridCol w:w="109"/>
        <w:gridCol w:w="109"/>
        <w:gridCol w:w="196"/>
        <w:gridCol w:w="87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87" w:type="dxa"/>
            <w:gridSpan w:val="5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INC.</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EQUITY</w:t>
            </w:r>
          </w:p>
          <w:p>
            <w:pPr>
              <w:pStyle w:val="TableContents"/>
              <w:bidi w:val="0"/>
              <w:spacing w:lineRule="auto" w:line="240" w:before="60" w:after="283"/>
              <w:jc w:val="center"/>
              <w:rPr>
                <w:color w:val="000000"/>
              </w:rPr>
            </w:pPr>
            <w:r>
              <w:rPr>
                <w:color w:val="000000"/>
              </w:rPr>
              <w:t> </w:t>
            </w:r>
            <w:r>
              <w:rPr>
                <w:rFonts w:ascii="Arial;sans-serif" w:hAnsi="Arial;sans-serif"/>
                <w:b/>
                <w:color w:val="000000"/>
                <w:sz w:val="18"/>
              </w:rPr>
              <w:t>(unaudited and in thousands)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Dividends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br/>
              <w:t>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Common Units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Property Partnerships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June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156,854 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689,123 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1,557,368 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8,286,543 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(loss)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contributions from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1,588,906 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8,033,576 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June 30,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660,214 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1,552,706 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8,142,669 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September 30,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156,755 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6,532,299 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(15,991)</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685,952 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1,551,501 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4105" w:type="dxa"/>
        <w:jc w:val="left"/>
        <w:tblInd w:w="0" w:type="dxa"/>
        <w:tblLayout w:type="fixed"/>
        <w:tblCellMar>
          <w:top w:w="28" w:type="dxa"/>
          <w:left w:w="28" w:type="dxa"/>
          <w:bottom w:w="28" w:type="dxa"/>
          <w:right w:w="28" w:type="dxa"/>
        </w:tblCellMar>
      </w:tblPr>
      <w:tblGrid>
        <w:gridCol w:w="733"/>
        <w:gridCol w:w="196"/>
        <w:gridCol w:w="197"/>
        <w:gridCol w:w="368"/>
        <w:gridCol w:w="368"/>
        <w:gridCol w:w="216"/>
        <w:gridCol w:w="109"/>
        <w:gridCol w:w="109"/>
        <w:gridCol w:w="109"/>
        <w:gridCol w:w="196"/>
        <w:gridCol w:w="556"/>
        <w:gridCol w:w="109"/>
        <w:gridCol w:w="109"/>
        <w:gridCol w:w="109"/>
        <w:gridCol w:w="109"/>
        <w:gridCol w:w="109"/>
        <w:gridCol w:w="109"/>
        <w:gridCol w:w="196"/>
        <w:gridCol w:w="871"/>
        <w:gridCol w:w="109"/>
        <w:gridCol w:w="109"/>
        <w:gridCol w:w="109"/>
        <w:gridCol w:w="109"/>
        <w:gridCol w:w="196"/>
        <w:gridCol w:w="791"/>
        <w:gridCol w:w="109"/>
        <w:gridCol w:w="109"/>
        <w:gridCol w:w="109"/>
        <w:gridCol w:w="109"/>
        <w:gridCol w:w="196"/>
        <w:gridCol w:w="571"/>
        <w:gridCol w:w="109"/>
        <w:gridCol w:w="109"/>
        <w:gridCol w:w="109"/>
        <w:gridCol w:w="109"/>
        <w:gridCol w:w="274"/>
        <w:gridCol w:w="924"/>
        <w:gridCol w:w="153"/>
        <w:gridCol w:w="109"/>
        <w:gridCol w:w="109"/>
        <w:gridCol w:w="109"/>
        <w:gridCol w:w="245"/>
        <w:gridCol w:w="923"/>
        <w:gridCol w:w="138"/>
        <w:gridCol w:w="109"/>
        <w:gridCol w:w="109"/>
        <w:gridCol w:w="109"/>
        <w:gridCol w:w="217"/>
        <w:gridCol w:w="967"/>
        <w:gridCol w:w="122"/>
        <w:gridCol w:w="109"/>
        <w:gridCol w:w="109"/>
        <w:gridCol w:w="109"/>
        <w:gridCol w:w="196"/>
        <w:gridCol w:w="87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57" w:type="dxa"/>
            <w:gridSpan w:val="50"/>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INC.</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EQUITY</w:t>
            </w:r>
          </w:p>
          <w:p>
            <w:pPr>
              <w:pStyle w:val="TableContents"/>
              <w:bidi w:val="0"/>
              <w:spacing w:lineRule="auto" w:line="240" w:before="60" w:after="283"/>
              <w:jc w:val="center"/>
              <w:rPr>
                <w:color w:val="000000"/>
              </w:rPr>
            </w:pPr>
            <w:r>
              <w:rPr>
                <w:color w:val="000000"/>
              </w:rPr>
              <w:t> </w:t>
            </w:r>
            <w:r>
              <w:rPr>
                <w:rFonts w:ascii="Arial;sans-serif" w:hAnsi="Arial;sans-serif"/>
                <w:b/>
                <w:color w:val="000000"/>
                <w:sz w:val="18"/>
              </w:rPr>
              <w:t>(unaudited and 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Dividends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br/>
              <w:t>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Common Units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Property Partnerships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156,758 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6,539,147 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1,547,317 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8,363,819 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(55,038)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contributions from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(48,370)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1,588,906 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8,033,576 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December 31, 2021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(36,662)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642,655 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1,556,553 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8,033,228 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(53,789)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September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156,755 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6,532,299 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(15,991)</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685,952 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1,551,501 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90"/>
        <w:jc w:val="center"/>
        <w:rPr/>
      </w:pPr>
      <w:r>
        <w:rPr/>
      </w:r>
    </w:p>
    <w:p>
      <w:pPr>
        <w:pStyle w:val="TextBody"/>
        <w:bidi w:val="0"/>
        <w:spacing w:before="100" w:after="283"/>
        <w:ind w:left="0" w:right="0" w:hanging="90"/>
        <w:jc w:val="center"/>
        <w:rPr/>
      </w:pPr>
      <w:r>
        <w:rPr/>
      </w:r>
    </w:p>
    <w:p>
      <w:pPr>
        <w:pStyle w:val="TextBody"/>
        <w:bidi w:val="0"/>
        <w:spacing w:lineRule="auto" w:line="240" w:before="100" w:after="283"/>
        <w:ind w:left="0" w:right="0" w:hanging="9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2241"/>
        <w:gridCol w:w="1894"/>
        <w:gridCol w:w="1900"/>
        <w:gridCol w:w="314"/>
        <w:gridCol w:w="1232"/>
        <w:gridCol w:w="162"/>
        <w:gridCol w:w="162"/>
        <w:gridCol w:w="162"/>
        <w:gridCol w:w="162"/>
        <w:gridCol w:w="314"/>
        <w:gridCol w:w="1232"/>
        <w:gridCol w:w="162"/>
        <w:gridCol w:w="109"/>
        <w:gridCol w:w="159"/>
      </w:tblGrid>
      <w:tr>
        <w:trPr/>
        <w:tc>
          <w:tcPr>
            <w:tcW w:w="224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6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864,861 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551,445 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from investments in securities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 assignment fee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receivable, net</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 operating lease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776,103 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914,372 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912,403 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real estate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(1,320,273)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other capital improvements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assignment fee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related party note receivable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notes receivable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(875,578)</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(1,313,220)</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2191"/>
        <w:gridCol w:w="1863"/>
        <w:gridCol w:w="1879"/>
        <w:gridCol w:w="314"/>
        <w:gridCol w:w="1336"/>
        <w:gridCol w:w="162"/>
        <w:gridCol w:w="162"/>
        <w:gridCol w:w="162"/>
        <w:gridCol w:w="162"/>
        <w:gridCol w:w="314"/>
        <w:gridCol w:w="1231"/>
        <w:gridCol w:w="162"/>
        <w:gridCol w:w="109"/>
        <w:gridCol w:w="158"/>
      </w:tblGrid>
      <w:tr>
        <w:trPr/>
        <w:tc>
          <w:tcPr>
            <w:tcW w:w="219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67" w:type="dxa"/>
            <w:gridSpan w:val="2"/>
            <w:tcBorders/>
          </w:tcPr>
          <w:p>
            <w:pPr>
              <w:pStyle w:val="TableContents"/>
              <w:bidi w:val="0"/>
              <w:spacing w:before="0" w:after="283"/>
              <w:jc w:val="left"/>
              <w:rPr>
                <w:sz w:val="4"/>
                <w:szCs w:val="4"/>
              </w:rPr>
            </w:pPr>
            <w:r>
              <w:rPr>
                <w:sz w:val="4"/>
                <w:szCs w:val="4"/>
              </w:rPr>
            </w:r>
          </w:p>
        </w:tc>
      </w:tr>
      <w:tr>
        <w:trPr/>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unsecured senior notes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747,727 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 redemption of unsecured senior notes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154,782 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and cash held in escrows</w:t>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930,388 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882,647 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930,388 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448,886 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(111,154)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obtained in exchange for lease liabilities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operating lease costs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 from prepaid expenses and other assets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 net deconsolidated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unconsolidated joint ventures recorded upon deconsolidation</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declared but not paid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noncontrolling interests to stockholders’ equity</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48,121 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48,605 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420"/>
        <w:gridCol w:w="1882"/>
        <w:gridCol w:w="1901"/>
        <w:gridCol w:w="124"/>
        <w:gridCol w:w="124"/>
        <w:gridCol w:w="124"/>
        <w:gridCol w:w="240"/>
        <w:gridCol w:w="1235"/>
        <w:gridCol w:w="124"/>
        <w:gridCol w:w="124"/>
        <w:gridCol w:w="124"/>
        <w:gridCol w:w="124"/>
        <w:gridCol w:w="240"/>
        <w:gridCol w:w="1235"/>
        <w:gridCol w:w="184"/>
      </w:tblGrid>
      <w:tr>
        <w:trPr/>
        <w:tc>
          <w:tcPr>
            <w:tcW w:w="242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$6,902,389 and $6,789,029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25,665,125 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25,022,149 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operating leases (amounts related to VIEs of $156,940 and $0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$(1,463,949) and $(1,381,401)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(6,601,957)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(6,180,474)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19,623,490 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19,246,536 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$240,039 and $259,658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882,647 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$36,758 and $16,521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 receivable, net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$393,227 and $367,138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1,276,580 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$171,998 and $176,597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733,282 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$46,473 and $11,647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1,536,822 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1,715,911 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24,494,542 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23,957,763 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CAPITAL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$3,275,974 and $3,272,368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3,275,974 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3,272,368 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10,488,568 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10,237,968 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 net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$20,710 and $20,604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Lease liabilities - operating leases (amounts related to VIEs of $136,332 and $0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204,686 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$43,696 and $29,466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462,240 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$106,566 and $114,232 at September 30, 2023 and December 31, 2022, respectively)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450,918 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16,698,784 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15,837,237 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114,124 and 97,853 units outstanding at redemption value at September 30, 2023 and December 31, 2022, respectively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6,788 </w:t>
            </w:r>
          </w:p>
        </w:tc>
        <w:tc>
          <w:tcPr>
            <w:tcW w:w="1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6,613 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center"/>
        <w:tblInd w:w="0" w:type="dxa"/>
        <w:tblLayout w:type="fixed"/>
        <w:tblCellMar>
          <w:top w:w="28" w:type="dxa"/>
          <w:left w:w="28" w:type="dxa"/>
          <w:bottom w:w="28" w:type="dxa"/>
          <w:right w:w="28" w:type="dxa"/>
        </w:tblCellMar>
      </w:tblPr>
      <w:tblGrid>
        <w:gridCol w:w="2326"/>
        <w:gridCol w:w="2010"/>
        <w:gridCol w:w="2016"/>
        <w:gridCol w:w="119"/>
        <w:gridCol w:w="119"/>
        <w:gridCol w:w="119"/>
        <w:gridCol w:w="232"/>
        <w:gridCol w:w="1189"/>
        <w:gridCol w:w="119"/>
        <w:gridCol w:w="119"/>
        <w:gridCol w:w="119"/>
        <w:gridCol w:w="119"/>
        <w:gridCol w:w="232"/>
        <w:gridCol w:w="1189"/>
        <w:gridCol w:w="178"/>
      </w:tblGrid>
      <w:tr>
        <w:trPr/>
        <w:tc>
          <w:tcPr>
            <w:tcW w:w="2326"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partnership units— 16,509,597 and 16,531,172 common units and 2,072,732 and 1,679,175 long term incentive units outstanding at redemption value at September 30, 2023 and December 31, 2022, respectively</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1,280,886 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Boston Properties Limited Partnership partners’ capital— 1,755,215 and 1,749,682 general partner units and 155,183,965 and 155,008,185 limited partner units outstanding at September 30, 2023 and December 31, 2022, respectively</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5,036,445 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5,299,428 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partners’ capital</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5,039,311 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5,285,710 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1,588,906 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1,547,317 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6,628,217 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6,833,027 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capital</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24,494,542 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23,957,763 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(unaudited and in thousands, except for per unit amounts) </w:t>
      </w:r>
    </w:p>
    <w:tbl>
      <w:tblPr>
        <w:tblW w:w="10205" w:type="dxa"/>
        <w:jc w:val="left"/>
        <w:tblInd w:w="0" w:type="dxa"/>
        <w:tblLayout w:type="fixed"/>
        <w:tblCellMar>
          <w:top w:w="28" w:type="dxa"/>
          <w:left w:w="28" w:type="dxa"/>
          <w:bottom w:w="28" w:type="dxa"/>
          <w:right w:w="28" w:type="dxa"/>
        </w:tblCellMar>
      </w:tblPr>
      <w:tblGrid>
        <w:gridCol w:w="1511"/>
        <w:gridCol w:w="1167"/>
        <w:gridCol w:w="1120"/>
        <w:gridCol w:w="225"/>
        <w:gridCol w:w="928"/>
        <w:gridCol w:w="116"/>
        <w:gridCol w:w="116"/>
        <w:gridCol w:w="116"/>
        <w:gridCol w:w="116"/>
        <w:gridCol w:w="225"/>
        <w:gridCol w:w="883"/>
        <w:gridCol w:w="116"/>
        <w:gridCol w:w="109"/>
        <w:gridCol w:w="109"/>
        <w:gridCol w:w="109"/>
        <w:gridCol w:w="214"/>
        <w:gridCol w:w="993"/>
        <w:gridCol w:w="110"/>
        <w:gridCol w:w="110"/>
        <w:gridCol w:w="110"/>
        <w:gridCol w:w="110"/>
        <w:gridCol w:w="214"/>
        <w:gridCol w:w="993"/>
        <w:gridCol w:w="110"/>
        <w:gridCol w:w="109"/>
        <w:gridCol w:w="166"/>
      </w:tblGrid>
      <w:tr>
        <w:trPr/>
        <w:tc>
          <w:tcPr>
            <w:tcW w:w="151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739,255 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824,283 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790,523 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2,444,636 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2,318,757 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613,446 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550,958 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517,288 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1,666,941 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1,515,636 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 assignment fee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(424,492)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(101,787)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Limited Partnership</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(122,696)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403,578 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819,195 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Basic earnings per common unit attributable to Boston Properties Limited Partnership</w:t>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units outstanding</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Diluted earnings per common unit attributable to Boston Properties Limited Partnership</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units outstanding</w:t>
            </w:r>
          </w:p>
        </w:tc>
        <w:tc>
          <w:tcPr>
            <w:tcW w:w="115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174,882 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174,795 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175,105 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174,775 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71"/>
        <w:gridCol w:w="1189"/>
        <w:gridCol w:w="1062"/>
        <w:gridCol w:w="109"/>
        <w:gridCol w:w="109"/>
        <w:gridCol w:w="109"/>
        <w:gridCol w:w="222"/>
        <w:gridCol w:w="928"/>
        <w:gridCol w:w="114"/>
        <w:gridCol w:w="114"/>
        <w:gridCol w:w="114"/>
        <w:gridCol w:w="114"/>
        <w:gridCol w:w="222"/>
        <w:gridCol w:w="903"/>
        <w:gridCol w:w="114"/>
        <w:gridCol w:w="109"/>
        <w:gridCol w:w="109"/>
        <w:gridCol w:w="109"/>
        <w:gridCol w:w="221"/>
        <w:gridCol w:w="899"/>
        <w:gridCol w:w="114"/>
        <w:gridCol w:w="114"/>
        <w:gridCol w:w="114"/>
        <w:gridCol w:w="114"/>
        <w:gridCol w:w="221"/>
        <w:gridCol w:w="899"/>
        <w:gridCol w:w="114"/>
        <w:gridCol w:w="109"/>
        <w:gridCol w:w="165"/>
      </w:tblGrid>
      <w:tr>
        <w:trPr/>
        <w:tc>
          <w:tcPr>
            <w:tcW w:w="1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rPr/>
        <w:tc>
          <w:tcPr>
            <w:tcW w:w="36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874,091 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(94,651)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897,521 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Boston Properties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(115,704)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415,911 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102,712 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842,193 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(1)Amounts reclassified from comprehensive income primarily to interest expense within Boston Properties Limited Partnership’s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1772" w:type="dxa"/>
        <w:jc w:val="center"/>
        <w:tblInd w:w="0" w:type="dxa"/>
        <w:tblLayout w:type="fixed"/>
        <w:tblCellMar>
          <w:top w:w="28" w:type="dxa"/>
          <w:left w:w="28" w:type="dxa"/>
          <w:bottom w:w="28" w:type="dxa"/>
          <w:right w:w="28" w:type="dxa"/>
        </w:tblCellMar>
      </w:tblPr>
      <w:tblGrid>
        <w:gridCol w:w="700"/>
        <w:gridCol w:w="375"/>
        <w:gridCol w:w="216"/>
        <w:gridCol w:w="376"/>
        <w:gridCol w:w="240"/>
        <w:gridCol w:w="241"/>
        <w:gridCol w:w="109"/>
        <w:gridCol w:w="109"/>
        <w:gridCol w:w="109"/>
        <w:gridCol w:w="439"/>
        <w:gridCol w:w="387"/>
        <w:gridCol w:w="236"/>
        <w:gridCol w:w="109"/>
        <w:gridCol w:w="109"/>
        <w:gridCol w:w="109"/>
        <w:gridCol w:w="211"/>
        <w:gridCol w:w="976"/>
        <w:gridCol w:w="109"/>
        <w:gridCol w:w="109"/>
        <w:gridCol w:w="109"/>
        <w:gridCol w:w="109"/>
        <w:gridCol w:w="269"/>
        <w:gridCol w:w="941"/>
        <w:gridCol w:w="141"/>
        <w:gridCol w:w="109"/>
        <w:gridCol w:w="109"/>
        <w:gridCol w:w="109"/>
        <w:gridCol w:w="212"/>
        <w:gridCol w:w="983"/>
        <w:gridCol w:w="111"/>
        <w:gridCol w:w="109"/>
        <w:gridCol w:w="109"/>
        <w:gridCol w:w="109"/>
        <w:gridCol w:w="211"/>
        <w:gridCol w:w="976"/>
        <w:gridCol w:w="109"/>
        <w:gridCol w:w="109"/>
        <w:gridCol w:w="109"/>
        <w:gridCol w:w="109"/>
        <w:gridCol w:w="212"/>
        <w:gridCol w:w="983"/>
        <w:gridCol w:w="156"/>
      </w:tblGrid>
      <w:tr>
        <w:trPr/>
        <w:tc>
          <w:tcPr>
            <w:tcW w:w="7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2"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LIMITED PARTNERSHIP</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CAPITAL AND NONCONTROLLING INTERESTS</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(unaudited and in thousands)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p>
        </w:tc>
        <w:tc>
          <w:tcPr>
            <w:tcW w:w="8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General Partner</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Partners’ Capital (General and Limited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Interests - Property Partnerships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Redeemable Partnership Units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June 30,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155,098 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5,351,166 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1,557,368 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6,905,128 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1,135,053 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(loss)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September 30, 2023</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155,184 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1,588,906 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6,628,217 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June 30, 2022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154,977 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1,552,706 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1,646,678 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September 30,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155,005 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1,551,501 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1,407,762 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2208" w:type="dxa"/>
        <w:jc w:val="center"/>
        <w:tblInd w:w="0" w:type="dxa"/>
        <w:tblLayout w:type="fixed"/>
        <w:tblCellMar>
          <w:top w:w="28" w:type="dxa"/>
          <w:left w:w="28" w:type="dxa"/>
          <w:bottom w:w="28" w:type="dxa"/>
          <w:right w:w="28" w:type="dxa"/>
        </w:tblCellMar>
      </w:tblPr>
      <w:tblGrid>
        <w:gridCol w:w="860"/>
        <w:gridCol w:w="215"/>
        <w:gridCol w:w="216"/>
        <w:gridCol w:w="376"/>
        <w:gridCol w:w="240"/>
        <w:gridCol w:w="241"/>
        <w:gridCol w:w="109"/>
        <w:gridCol w:w="109"/>
        <w:gridCol w:w="109"/>
        <w:gridCol w:w="439"/>
        <w:gridCol w:w="387"/>
        <w:gridCol w:w="236"/>
        <w:gridCol w:w="109"/>
        <w:gridCol w:w="109"/>
        <w:gridCol w:w="109"/>
        <w:gridCol w:w="211"/>
        <w:gridCol w:w="976"/>
        <w:gridCol w:w="109"/>
        <w:gridCol w:w="109"/>
        <w:gridCol w:w="109"/>
        <w:gridCol w:w="109"/>
        <w:gridCol w:w="109"/>
        <w:gridCol w:w="109"/>
        <w:gridCol w:w="109"/>
        <w:gridCol w:w="109"/>
        <w:gridCol w:w="269"/>
        <w:gridCol w:w="941"/>
        <w:gridCol w:w="141"/>
        <w:gridCol w:w="109"/>
        <w:gridCol w:w="109"/>
        <w:gridCol w:w="109"/>
        <w:gridCol w:w="212"/>
        <w:gridCol w:w="983"/>
        <w:gridCol w:w="111"/>
        <w:gridCol w:w="109"/>
        <w:gridCol w:w="109"/>
        <w:gridCol w:w="109"/>
        <w:gridCol w:w="211"/>
        <w:gridCol w:w="976"/>
        <w:gridCol w:w="109"/>
        <w:gridCol w:w="109"/>
        <w:gridCol w:w="109"/>
        <w:gridCol w:w="109"/>
        <w:gridCol w:w="212"/>
        <w:gridCol w:w="983"/>
        <w:gridCol w:w="156"/>
      </w:tblGrid>
      <w:tr>
        <w:trPr/>
        <w:tc>
          <w:tcPr>
            <w:tcW w:w="8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530" w:type="dxa"/>
            <w:gridSpan w:val="40"/>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LIMITED PARTNERSHIP</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CAPITAL AND NONCONTROLLING INTERESTS</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(unaudited and in thousands)</w:t>
            </w:r>
          </w:p>
        </w:tc>
        <w:tc>
          <w:tcPr>
            <w:tcW w:w="1678" w:type="dxa"/>
            <w:gridSpan w:val="6"/>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General Partner</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Partners’ Capital (General and Limited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Interests - Property Partnerships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Redeemable Partnership Units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155,008 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1,547,317 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1,280,886 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September 30, 2023</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155,184 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1,588,906 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6,628,217 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December 31, 2021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154,799 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(735,355)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September 30, 2022</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155,005 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1,551,501 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1,407,762 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2241"/>
        <w:gridCol w:w="1894"/>
        <w:gridCol w:w="1900"/>
        <w:gridCol w:w="314"/>
        <w:gridCol w:w="1232"/>
        <w:gridCol w:w="162"/>
        <w:gridCol w:w="162"/>
        <w:gridCol w:w="162"/>
        <w:gridCol w:w="162"/>
        <w:gridCol w:w="314"/>
        <w:gridCol w:w="1232"/>
        <w:gridCol w:w="162"/>
        <w:gridCol w:w="109"/>
        <w:gridCol w:w="159"/>
      </w:tblGrid>
      <w:tr>
        <w:trPr/>
        <w:tc>
          <w:tcPr>
            <w:tcW w:w="224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6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613,446 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70"/>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from investments in securities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 assignment fee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receivable, net</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 operating lease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770,803 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914,372 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912,403 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real estate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(1,320,273)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other capital improvements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assignment fee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related party note receivable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notes receivable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(875,578)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(1,313,220)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2186"/>
        <w:gridCol w:w="1867"/>
        <w:gridCol w:w="1881"/>
        <w:gridCol w:w="314"/>
        <w:gridCol w:w="1336"/>
        <w:gridCol w:w="162"/>
        <w:gridCol w:w="162"/>
        <w:gridCol w:w="162"/>
        <w:gridCol w:w="162"/>
        <w:gridCol w:w="314"/>
        <w:gridCol w:w="1231"/>
        <w:gridCol w:w="162"/>
        <w:gridCol w:w="109"/>
        <w:gridCol w:w="157"/>
      </w:tblGrid>
      <w:tr>
        <w:trPr/>
        <w:tc>
          <w:tcPr>
            <w:tcW w:w="218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66" w:type="dxa"/>
            <w:gridSpan w:val="2"/>
            <w:tcBorders/>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unsecured senior notes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747,727 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 redemption of unsecured senior notes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154,782 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and cash held in escrows</w:t>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930,388 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882,647 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930,388 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448,886 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obtained in exchange for lease liabilities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operating lease costs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 from prepaid expenses and other assets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 net deconsolidated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unconsolidated joint ventures recorded upon deconsolidation</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declared but not paid</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redeemable partnership units to partners’ capital</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48,121 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48,605 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 AND 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1. Organization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BXP is a fully integrated, self-administered and self-managed REIT. BXP is the sole general partner of BPLP, its operating partnership, and at September 30, 2023 owned an approximate 89.4% (89.6% at December 31, 2022) general and limited partnership interest in BPLP. Unless stated otherwise or the context requires, the “Company” refers to BXP and its subsidiaries, including BPLP and its consolidated subsidiaries. Partnership interests in BPLP include:</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 xml:space="preserve">common units of partnership interest (also referred to as “OP Units”)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long term incentive units of partnership interest (also referred to as “LTIP Units”)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uses LTIP Units as a form of time-based, restricted equity compensation and as a form of performance-based equity compensation for employees, and has previously granted LTIP Units in the form of (1) 2012 outperformance plan awards (“2012 OPP Units”) and (2) 2013 - 2023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2013 - 2020 MYLTIP Units have ended and BXP’s total stockholder return (“TSR”) was sufficient for employees to earn and therefore become eligible to vest in a portion of the awards. Unless and until they are earned, the rights, preferences and privileges of the 2021 - 2023 MYLTIP Units differ from other LTIP Units granted to employees (including the 2012 OPP Units and the 2013 - 2020 MYLTIP Units, which have been earned). Therefore, unless specifically noted otherwise, all references to LTIP Units exclude the 2021 - 2023 MYLTIP Units. LTIP Units (including the earned 2012 OPP Units and the earned 2013 - 2020 MYLTIP Units), whether vested or not, will receive the same quarterly per unit distributions as OP Units, which equal per share dividends on Common Stock (See Notes 9 and 13). </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Properties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September 30, 2023, the Company owned or had joint venture interests in a portfolio of 190 commercial real estate properties (the “Properties”) aggregating approximately 53.5 million net rentable square feet of primarily premier workplaces, including 11 properties under construction/redevelopment totaling approximately 2.8 million net rentable square feet. At September 30, 2023, the Properties consisted of:</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169 office and life sciences properties (including 8 properties under construction/redevelopment);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14 retail properties (including two properties under construction/redevelopment);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six residential properties (including one property under construction</w:t>
      </w:r>
      <w:r>
        <w:rPr>
          <w:rFonts w:ascii="Times New Roman;sans-serif" w:hAnsi="Times New Roman;sans-serif"/>
          <w:b w:val="false"/>
          <w:color w:val="000000"/>
          <w:sz w:val="20"/>
        </w:rPr>
        <w:t>)</w:t>
      </w:r>
      <w:r>
        <w:rPr>
          <w:rFonts w:ascii="Arial;sans-serif" w:hAnsi="Arial;sans-serif"/>
          <w:b w:val="false"/>
          <w:color w:val="000000"/>
          <w:sz w:val="20"/>
        </w:rPr>
        <w: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one hotel.</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considers premier workplaces to be well-located buildings that are modern structures or have been modernized to compete with newer buildings and professionally managed and maintained. As such, these properties attract high-quality clients and command upper-tier rental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Arial;sans-serif" w:hAnsi="Arial;sans-serif"/>
          <w:b/>
          <w:color w:val="000000"/>
          <w:sz w:val="20"/>
        </w:rPr>
        <w:t>2. Summary of Significant Accounting Policies</w:t>
      </w:r>
      <w:r>
        <w:rPr>
          <w:color w:val="000000"/>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bases its estimates on historical experience and on various other assumptions that it considers to be reasonable under the circumstances, including the impact of extraordinary events such as a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Variable Interest Entities (VIEs)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eight entities that are VIEs as of September 30, 2023 and has determined that it is the primary beneficiary for seven of the eight entities that are VIEs as of September 30, 2023.</w:t>
      </w:r>
    </w:p>
    <w:p>
      <w:pPr>
        <w:pStyle w:val="TextBody"/>
        <w:bidi w:val="0"/>
        <w:spacing w:lineRule="auto" w:line="288" w:before="180" w:after="283"/>
        <w:jc w:val="left"/>
        <w:rPr/>
      </w:pPr>
      <w:r>
        <w:rPr>
          <w:rFonts w:ascii="Arial;sans-serif" w:hAnsi="Arial;sans-serif"/>
          <w:b w:val="false"/>
          <w:color w:val="000000"/>
          <w:sz w:val="20"/>
          <w:u w:val="single"/>
        </w:rPr>
        <w:t>Consolidated Variable Interest Entities</w:t>
      </w:r>
      <w:r>
        <w:rPr>
          <w:color w:val="000000"/>
        </w:rPr>
        <w:t xml:space="preserv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September 30, 2023, BXP has identified seven consolidated VIEs, including BPLP. Excluding BPLP, the consolidated VIEs consisted of (i) the following five in-service properties: 767 Fifth Avenue (the General Motors Building), Times Square Tower, 601 Lexington Avenue, Atlantic Wharf Office Building and 100 Federal Street, (ii) 343 Madison Avenue, which is categorized as land held for future development.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BXP’s only significant asset is its investment in BPLP and, consequently, substantially all of BXP’s assets and liabilities are the assets and liabilities of BPLP. </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Variable Interest Entities Not Consolidated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has determined BP/CRF Metropolitan Square LLC is a VIE. The Company does not consolidate this entity as the Company does not have the power to direct the activities that, when taken together, most significantly impact the VIE’s performance and, therefore the Company is not considered to be the primary beneficiary.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follows the authoritative guidance for fair value measurements.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presents for September 30, 2023 and December 31, 2022, the financial instruments that are being valued for disclosure purposes as well as the Level at which they are categorized (as defined in Accounting Standards Codification (“ASC”) 820 “Fair Value Measurements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3434" w:type="dxa"/>
        <w:jc w:val="left"/>
        <w:tblInd w:w="0" w:type="dxa"/>
        <w:tblLayout w:type="fixed"/>
        <w:tblCellMar>
          <w:top w:w="28" w:type="dxa"/>
          <w:left w:w="28" w:type="dxa"/>
          <w:bottom w:w="28" w:type="dxa"/>
          <w:right w:w="28" w:type="dxa"/>
        </w:tblCellMar>
      </w:tblPr>
      <w:tblGrid>
        <w:gridCol w:w="962"/>
        <w:gridCol w:w="844"/>
        <w:gridCol w:w="848"/>
        <w:gridCol w:w="228"/>
        <w:gridCol w:w="228"/>
        <w:gridCol w:w="32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Instrument</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senior notes (1)</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note receivable</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receivable</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Mortgage notes payable</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(1)If trading volume for the period is low, the valuation could be categorized as Level 2.</w:t>
      </w:r>
    </w:p>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Because the Company’s valuations of its financial instruments are based on the above Levels and involve the use of estimates, the actual fair values of its financial instruments may differ materially from those estimates.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the Company’s estimated fair values for these instruments as of the end of the applicable reporting period are not projections of, nor necessarily indicative of, estimated or actual fair values in future reporting periods.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aggregate carrying value of the Company’s related party note receivable, net, sales-type lease receivable, net, mortgage notes payable, net, unsecured senior notes, net, unsecured line of credit and unsecured term loan, net and the Company’s corresponding estimate of fair value as of September 30, 2023 and December 31, 2022 (in thousands):</w:t>
      </w:r>
    </w:p>
    <w:tbl>
      <w:tblPr>
        <w:tblW w:w="9854" w:type="dxa"/>
        <w:jc w:val="left"/>
        <w:tblInd w:w="0" w:type="dxa"/>
        <w:tblLayout w:type="fixed"/>
        <w:tblCellMar>
          <w:top w:w="28" w:type="dxa"/>
          <w:left w:w="28" w:type="dxa"/>
          <w:bottom w:w="28" w:type="dxa"/>
          <w:right w:w="28" w:type="dxa"/>
        </w:tblCellMar>
      </w:tblPr>
      <w:tblGrid>
        <w:gridCol w:w="1102"/>
        <w:gridCol w:w="968"/>
        <w:gridCol w:w="974"/>
        <w:gridCol w:w="211"/>
        <w:gridCol w:w="1126"/>
        <w:gridCol w:w="109"/>
        <w:gridCol w:w="109"/>
        <w:gridCol w:w="109"/>
        <w:gridCol w:w="109"/>
        <w:gridCol w:w="211"/>
        <w:gridCol w:w="1126"/>
        <w:gridCol w:w="109"/>
        <w:gridCol w:w="109"/>
        <w:gridCol w:w="109"/>
        <w:gridCol w:w="109"/>
        <w:gridCol w:w="211"/>
        <w:gridCol w:w="1126"/>
        <w:gridCol w:w="109"/>
        <w:gridCol w:w="109"/>
        <w:gridCol w:w="109"/>
        <w:gridCol w:w="109"/>
        <w:gridCol w:w="211"/>
        <w:gridCol w:w="112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note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receivable,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Mortgage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senior notes,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9,135,512 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14,961,715 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13,017,782 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14,240,336 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12,609,991 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2023,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aggregate fair value of the Company’s interest rate swaps as of September 30, 2023 and December 31, 2022 (in thousands):</w:t>
      </w:r>
    </w:p>
    <w:tbl>
      <w:tblPr>
        <w:tblW w:w="6067"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395"/>
        <w:gridCol w:w="1212"/>
        <w:gridCol w:w="207"/>
        <w:gridCol w:w="109"/>
        <w:gridCol w:w="109"/>
        <w:gridCol w:w="109"/>
        <w:gridCol w:w="495"/>
        <w:gridCol w:w="955"/>
        <w:gridCol w:w="36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 xml:space="preserve">Newly Issued Accounting Pronouncements </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Business Combinations - Joint Venture Formations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August 2023, the Financial Accounting Standards Board (“FASB”) issued Accounting Standards Update (“ASU”) 2023-05, “Business Combinations - Joint Venture Formations (Subtopic 805-60)” (“ASU 2023-05”). ASU 2023-05 is intended to (1) address accounting for contributions made to a joint venture upon formation and (2) reduce diversity in practice. ASU 2023-05 is effective for all joint ventures formed on or after January 1, 2025, with early adoption permitted. The Company is currently assessing the potential impact that the adoption of ASU 2023-05 will have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3. Real Estate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consisted of the following at September 30, 2023 and December 31, 2022 (in thousands):</w:t>
      </w:r>
    </w:p>
    <w:tbl>
      <w:tblPr>
        <w:tblW w:w="7987" w:type="dxa"/>
        <w:jc w:val="left"/>
        <w:tblInd w:w="0" w:type="dxa"/>
        <w:tblLayout w:type="fixed"/>
        <w:tblCellMar>
          <w:top w:w="28" w:type="dxa"/>
          <w:left w:w="28" w:type="dxa"/>
          <w:bottom w:w="28" w:type="dxa"/>
          <w:right w:w="28" w:type="dxa"/>
        </w:tblCellMar>
      </w:tblPr>
      <w:tblGrid>
        <w:gridCol w:w="1340"/>
        <w:gridCol w:w="1174"/>
        <w:gridCol w:w="1191"/>
        <w:gridCol w:w="109"/>
        <w:gridCol w:w="109"/>
        <w:gridCol w:w="109"/>
        <w:gridCol w:w="264"/>
        <w:gridCol w:w="1414"/>
        <w:gridCol w:w="136"/>
        <w:gridCol w:w="109"/>
        <w:gridCol w:w="109"/>
        <w:gridCol w:w="109"/>
        <w:gridCol w:w="256"/>
        <w:gridCol w:w="1371"/>
        <w:gridCol w:w="187"/>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5,200,195 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5,189,811 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held for future development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16,112,969 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15,820,724 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3,442,669 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3,200,743 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551,330 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26,591,712 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25,794,524 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(6,723,616)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(6,298,082)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19,868,096 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19,496,442 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(1)See Note 4.</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pre-development costs.</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consisted of the following at September 30, 2023 and December 31, 2022 (in thousands):</w:t>
      </w:r>
    </w:p>
    <w:tbl>
      <w:tblPr>
        <w:tblW w:w="7987" w:type="dxa"/>
        <w:jc w:val="left"/>
        <w:tblInd w:w="0" w:type="dxa"/>
        <w:tblLayout w:type="fixed"/>
        <w:tblCellMar>
          <w:top w:w="28" w:type="dxa"/>
          <w:left w:w="28" w:type="dxa"/>
          <w:bottom w:w="28" w:type="dxa"/>
          <w:right w:w="28" w:type="dxa"/>
        </w:tblCellMar>
      </w:tblPr>
      <w:tblGrid>
        <w:gridCol w:w="1340"/>
        <w:gridCol w:w="1174"/>
        <w:gridCol w:w="1191"/>
        <w:gridCol w:w="109"/>
        <w:gridCol w:w="109"/>
        <w:gridCol w:w="109"/>
        <w:gridCol w:w="264"/>
        <w:gridCol w:w="1414"/>
        <w:gridCol w:w="136"/>
        <w:gridCol w:w="109"/>
        <w:gridCol w:w="109"/>
        <w:gridCol w:w="109"/>
        <w:gridCol w:w="256"/>
        <w:gridCol w:w="1371"/>
        <w:gridCol w:w="187"/>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5,105,486 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5,095,102 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held for future development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15,841,413 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15,547,919 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3,442,669 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3,200,743 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551,330 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26,225,447 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25,427,010 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(6,601,957)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(6,180,474)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19,623,490 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19,246,536 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(1)See Note 4.</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pre-development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Developments/Redevelopments</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On January 5, 2023, the Company commenced the development of 290 Binney Street, an approximately 566,000 net rentable square foot laboratory/life sciences project in Cambridge, Massachusetts. Concurrent with the commencement of this project, the Kendall Center Blue Parking Garage was taken out of service and demolished to support the development of this project. 290 Binney Street is 100% pre-leased to AstraZeneca. There can be no assurance that the Company will complete development of the project on the terms and schedule currently contemplated or at all.</w:t>
      </w:r>
    </w:p>
    <w:p>
      <w:pPr>
        <w:pStyle w:val="TextBody"/>
        <w:bidi w:val="0"/>
        <w:spacing w:lineRule="auto" w:line="288" w:before="180" w:after="283"/>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On January 30, 2023, the Company commenced the redevelopment of 300 Binney Street at Kendall Center in Cambridge, Massachusetts. 300 Binney Street consisted of an approximately 195,000 net rentable square foot premier workplace that is being redeveloped into approximately 236,000 net rentable square feet of laboratory/life sciences space. BXP and BPLP recognized approximately $11.0 million of depreciation expense during the nine months ended September 30, 2023 associated with the acceleration of depreciation on the assets being removed from service and demolished as part of the redevelopment of the property. The project is 100% pre-leased to the Broad Institute.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April 29, 2023, the Company completed and fully placed in-service 2100 Pennsylvania Avenue, a premier workplace project with approximately 476,000 net rentable square feet located in Washington, DC.</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1, 2023, the Company completed and fully placed in-service its View Boston observatory at The Prudential Center, a redevelopment of the top three floors of 800 Boylston Street - The Prudential Center, located in Boston, Massachusetts. View Boston observatory at The Prudential Center consists of approximately 63,000 net rentable square feet of retail, including food and beverage, and observation space.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July 20, 2023, the Company completed and fully placed in-service 140 Kendrick Street - Building A, a premier workplace redevelopment project with approximately 104,000 net rentable square feet located in Needham, Massachusetts. The property is the first Net Zero, Carbon Neutral office repositioning of its scale in Massachusetts.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September 26, 2023, the Company partially placed in-service 180 CityPoint, an approximately 329,000 net rentable square feet laboratory/life sciences project located in Waltham, Massachusetts.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Arial;sans-serif" w:hAnsi="Arial;sans-serif"/>
          <w:b/>
          <w:color w:val="000000"/>
          <w:sz w:val="20"/>
        </w:rPr>
        <w:t>4. Leases</w:t>
      </w:r>
      <w:r>
        <w:rPr>
          <w:color w:val="000000"/>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estimates the collectability of its accrued rent and accounts receivable balances related to lease revenue. When evaluating the collectability of these accrued rent and accounts receivable balances, management considers tenant creditworthiness, current economic trends, and changes in tenants’ payment patterns, on a lease-by-lease basis. If the Company determines that the accrued rent and/or accounts receivable balances are no longer probable of collection then the balances are written-off and the lease is recognized on a cash basis.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If applicable, information related to write-offs of accrued rent, net balances and accounts receivable, net balances and reinstatements of accrued rent balances for the Company’s unconsolidated joint ventures can be found in Note 5.</w:t>
      </w:r>
    </w:p>
    <w:p>
      <w:pPr>
        <w:pStyle w:val="TextBody"/>
        <w:bidi w:val="0"/>
        <w:spacing w:lineRule="auto" w:line="288" w:before="280" w:after="283"/>
        <w:ind w:left="0" w:right="0" w:firstLine="495"/>
        <w:jc w:val="left"/>
        <w:rPr>
          <w:rFonts w:ascii="Arial;sans-serif" w:hAnsi="Arial;sans-serif"/>
          <w:b w:val="false"/>
          <w:color w:val="000000"/>
          <w:sz w:val="20"/>
          <w:u w:val="single"/>
        </w:rPr>
      </w:pPr>
      <w:r>
        <w:rPr>
          <w:rFonts w:ascii="Arial;sans-serif" w:hAnsi="Arial;sans-serif"/>
          <w:b w:val="false"/>
          <w:color w:val="000000"/>
          <w:sz w:val="20"/>
          <w:u w:val="single"/>
        </w:rPr>
        <w:t>Lessor</w:t>
      </w:r>
    </w:p>
    <w:p>
      <w:pPr>
        <w:pStyle w:val="TextBody"/>
        <w:bidi w:val="0"/>
        <w:spacing w:lineRule="auto" w:line="288" w:before="100" w:after="283"/>
        <w:ind w:left="0" w:right="0" w:firstLine="495"/>
        <w:jc w:val="left"/>
        <w:rPr/>
      </w:pPr>
      <w:r>
        <w:rPr>
          <w:rFonts w:ascii="Arial;sans-serif" w:hAnsi="Arial;sans-serif"/>
          <w:b w:val="false"/>
          <w:color w:val="000000"/>
          <w:sz w:val="20"/>
          <w:shd w:fill="FFFFFF" w:val="clear"/>
        </w:rPr>
        <w:t xml:space="preserve">The following table summarizes the components of lease revenue recognized under the Company’s operating and sales-type leases for the three and nine months ended September 30, 2023 and 2022 and included within the Company's Consolidated Statements of Operations (in </w:t>
      </w:r>
      <w:r>
        <w:rPr>
          <w:rFonts w:ascii="Arial;sans-serif" w:hAnsi="Arial;sans-serif"/>
          <w:b w:val="false"/>
          <w:color w:val="000000"/>
          <w:sz w:val="20"/>
        </w:rPr>
        <w:t>thousands):</w:t>
      </w:r>
    </w:p>
    <w:tbl>
      <w:tblPr>
        <w:tblW w:w="9423" w:type="dxa"/>
        <w:jc w:val="left"/>
        <w:tblInd w:w="0" w:type="dxa"/>
        <w:tblLayout w:type="fixed"/>
        <w:tblCellMar>
          <w:top w:w="28" w:type="dxa"/>
          <w:left w:w="28" w:type="dxa"/>
          <w:bottom w:w="28" w:type="dxa"/>
          <w:right w:w="28" w:type="dxa"/>
        </w:tblCellMar>
      </w:tblPr>
      <w:tblGrid>
        <w:gridCol w:w="918"/>
        <w:gridCol w:w="806"/>
        <w:gridCol w:w="810"/>
        <w:gridCol w:w="109"/>
        <w:gridCol w:w="109"/>
        <w:gridCol w:w="109"/>
        <w:gridCol w:w="248"/>
        <w:gridCol w:w="1006"/>
        <w:gridCol w:w="128"/>
        <w:gridCol w:w="128"/>
        <w:gridCol w:w="128"/>
        <w:gridCol w:w="128"/>
        <w:gridCol w:w="248"/>
        <w:gridCol w:w="1006"/>
        <w:gridCol w:w="128"/>
        <w:gridCol w:w="109"/>
        <w:gridCol w:w="109"/>
        <w:gridCol w:w="109"/>
        <w:gridCol w:w="213"/>
        <w:gridCol w:w="1033"/>
        <w:gridCol w:w="110"/>
        <w:gridCol w:w="110"/>
        <w:gridCol w:w="110"/>
        <w:gridCol w:w="110"/>
        <w:gridCol w:w="213"/>
        <w:gridCol w:w="1033"/>
        <w:gridCol w:w="155"/>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Lease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contractual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626,738 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1,877,573 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1,811,836 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367,438 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767,181 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739,255 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2,285,789 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2,179,274 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495"/>
        <w:jc w:val="left"/>
        <w:rPr>
          <w:rFonts w:ascii="Arial;sans-serif" w:hAnsi="Arial;sans-serif"/>
          <w:b w:val="false"/>
          <w:color w:val="000000"/>
          <w:sz w:val="20"/>
          <w:u w:val="single"/>
        </w:rPr>
      </w:pPr>
      <w:r>
        <w:rPr>
          <w:rFonts w:ascii="Arial;sans-serif" w:hAnsi="Arial;sans-serif"/>
          <w:b w:val="false"/>
          <w:color w:val="000000"/>
          <w:sz w:val="20"/>
          <w:u w:val="single"/>
        </w:rPr>
        <w:t>Lessee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August 1, 2023, a consolidated joint venture in which the Company has a 55% interest executed an up to 99-year ground lease with the Metropolitan Transportation Authority for an approximately 25,000 square foot site, the 343 Madison Avenue project in New York City (see Note 9). The 343 Madison Avenue project contemplates the construction of (1) a direct entrance to the Long Island Railroad’s new east side access project (Grand Central Madison) (“Phase 1”) and (2) an approximately 900,000 square foot premier workplace building with ground floor retail (“Phase 2”). The joint venture has the option until July 31, 2025 to terminate the ground lease prior to construction of the new building and receive reimbursement of up to $117.0 million for the cost of the construction of Phase 1. The Company is reasonably certain that it will not exercise this termination option as the Company completed a long-term competitive process to obtain the right to ground lease this site. There can be no assurance that Phase 1 will be completed on the terms currently contemplated or that Phase 2 of the development project will commence on the terms currently contemplated or at all. </w:t>
      </w:r>
    </w:p>
    <w:p>
      <w:pPr>
        <w:pStyle w:val="TextBody"/>
        <w:bidi w:val="0"/>
        <w:spacing w:lineRule="auto" w:line="288" w:before="180" w:after="283"/>
        <w:ind w:left="0" w:right="0" w:firstLine="495"/>
        <w:jc w:val="left"/>
        <w:rPr/>
      </w:pPr>
      <w:r>
        <w:rPr>
          <w:rFonts w:ascii="Arial;sans-serif" w:hAnsi="Arial;sans-serif"/>
          <w:b w:val="false"/>
          <w:color w:val="000000"/>
          <w:sz w:val="20"/>
        </w:rPr>
        <w:t>There is no rent due under the ground lease for the period from August 1, 2023 through July 31, 2028, with the exception of a payment of approximately $21.8 million that is due on July 31, 2025. Beginning August 1, 2028, the lease requires rent of approximately $10.9 million per year with adjustments every five years, with a minimum increase of 110% of the ground rent from the prior year. The incremental borrowing rate for this lease is 8.41% per annum. The net present value of the ground lease payments is approximately $134.5 million. The lease required the joint venture to pay a non-refundable deposit totaling $25.0 million, of which $15.0 million was placed in escrow in 2022 with the signing of a pre-lease agreement and $10.0 million was paid in 2023 as a requirement of entering into the ground lease. The consolidated joint venture classifies this ground lease as an operating lease. As a result, the consolidated joint venture recorded a Right of Use Assets – Operating Leases and Lease Liabilities – Operating Leases of approximately $160.1 million and $134.5 million, respectively, on its Consolidated Balance Sheets. The 343 Madison Avenue ground lease had operating lease costs of approximately $5.0 million and $5.0 million for the</w:t>
      </w:r>
      <w:r>
        <w:rPr>
          <w:color w:val="000000"/>
          <w:shd w:fill="FFFFFF" w:val="clear"/>
        </w:rPr>
        <w:t xml:space="preserve"> </w:t>
      </w:r>
      <w:r>
        <w:rPr>
          <w:rFonts w:ascii="Arial;sans-serif" w:hAnsi="Arial;sans-serif"/>
          <w:b w:val="false"/>
          <w:color w:val="000000"/>
          <w:sz w:val="20"/>
          <w:shd w:fill="FFFFFF" w:val="clear"/>
        </w:rPr>
        <w:t>three and nine months ended September 30, 2023</w:t>
      </w:r>
      <w:r>
        <w:rPr>
          <w:rFonts w:ascii="Arial;sans-serif" w:hAnsi="Arial;sans-serif"/>
          <w:b w:val="false"/>
          <w:color w:val="000000"/>
          <w:sz w:val="20"/>
        </w:rPr>
        <w:t xml:space="preserve">, respectively. </w:t>
      </w:r>
    </w:p>
    <w:p>
      <w:pPr>
        <w:pStyle w:val="TextBody"/>
        <w:bidi w:val="0"/>
        <w:spacing w:lineRule="auto" w:line="288" w:before="180" w:after="283"/>
        <w:ind w:left="0" w:right="0" w:firstLine="495"/>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table provides a maturity analysis for the 343 Madison Avenue operating lease as of August 1, 2023 (in thousands): </w:t>
      </w:r>
    </w:p>
    <w:tbl>
      <w:tblPr>
        <w:tblW w:w="6198" w:type="dxa"/>
        <w:jc w:val="left"/>
        <w:tblInd w:w="0" w:type="dxa"/>
        <w:tblLayout w:type="fixed"/>
        <w:tblCellMar>
          <w:top w:w="28" w:type="dxa"/>
          <w:left w:w="28" w:type="dxa"/>
          <w:bottom w:w="28" w:type="dxa"/>
          <w:right w:w="28" w:type="dxa"/>
        </w:tblCellMar>
      </w:tblPr>
      <w:tblGrid>
        <w:gridCol w:w="1796"/>
        <w:gridCol w:w="1579"/>
        <w:gridCol w:w="1589"/>
        <w:gridCol w:w="213"/>
        <w:gridCol w:w="867"/>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Operating</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Period from August 1, 2023 through December 31, 2023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3,054,054 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 portion</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(2,919,545)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payments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5. Investments in Unconsolidated Joint Ventures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investments in unconsolidated joint ventures consist of the following at September 30, 2023 and December 31, 2022:</w:t>
      </w:r>
    </w:p>
    <w:tbl>
      <w:tblPr>
        <w:tblW w:w="10205" w:type="dxa"/>
        <w:jc w:val="left"/>
        <w:tblInd w:w="0" w:type="dxa"/>
        <w:tblLayout w:type="fixed"/>
        <w:tblCellMar>
          <w:top w:w="28" w:type="dxa"/>
          <w:left w:w="28" w:type="dxa"/>
          <w:bottom w:w="28" w:type="dxa"/>
          <w:right w:w="28" w:type="dxa"/>
        </w:tblCellMar>
      </w:tblPr>
      <w:tblGrid>
        <w:gridCol w:w="1064"/>
        <w:gridCol w:w="626"/>
        <w:gridCol w:w="439"/>
        <w:gridCol w:w="109"/>
        <w:gridCol w:w="109"/>
        <w:gridCol w:w="109"/>
        <w:gridCol w:w="709"/>
        <w:gridCol w:w="709"/>
        <w:gridCol w:w="716"/>
        <w:gridCol w:w="109"/>
        <w:gridCol w:w="109"/>
        <w:gridCol w:w="109"/>
        <w:gridCol w:w="418"/>
        <w:gridCol w:w="418"/>
        <w:gridCol w:w="1040"/>
        <w:gridCol w:w="120"/>
        <w:gridCol w:w="120"/>
        <w:gridCol w:w="121"/>
        <w:gridCol w:w="218"/>
        <w:gridCol w:w="1010"/>
        <w:gridCol w:w="112"/>
        <w:gridCol w:w="109"/>
        <w:gridCol w:w="109"/>
        <w:gridCol w:w="109"/>
        <w:gridCol w:w="216"/>
        <w:gridCol w:w="1003"/>
        <w:gridCol w:w="165"/>
      </w:tblGrid>
      <w:tr>
        <w:trPr/>
        <w:tc>
          <w:tcPr>
            <w:tcW w:w="106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 of Investment (1)</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Nominal % Ownership</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Square 407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 Square North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(6,198)</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BP/CRF Metropolitan Square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Metropolitan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901 New York,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901 New York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WP Project Developer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Wisconsin Place Land and 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Street, 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501 K Street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1001 6th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Podium Developer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Podium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Tower Developer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Hub50House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 Tower Developer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Hub on Causeway - Hotel Air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Tower Developer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Causeway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Office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BNY Tower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Dock 72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CA-Colorado Center,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237,286 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7750 Wisconsin Avenue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7750 Wisconsin Avenue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BP-M 3HB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SMBP Venture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Santa Monica Business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 Holdings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(6)(7)</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Portfolio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324,038 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Rosecrans-Sepulveda Partners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Beach Cities Media Campus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 REIT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(7)(8)</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69,785 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PAS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(7)(9)</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 II/BXP Reston Gateway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Skymark - Reston Next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 Gateway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751 Gateway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80,714 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 JV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120,083 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ABXP Worldgate Investments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13100 and 13150 Worldgate Drive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1,496,848 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1,630,485 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(1)Investments with deficit balances aggregating approximately $40.0 million and $85.4 million at September 30, 2023 and December 31, 2022, respectively, are included within Other Liabilities in the Company’s Consolidated Balance Sheets.</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(2)This entity is a VIE as of September 30, 2023 (See Note 2). During the three months ended September 30, 2023, the Company completed a restructuring of its ownership in Metropolitan Square, as described below in this Note 5 and Note 14.</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Company’s economic ownership has increased based on the achievement of certain return thresholds. At September 30, 2023 and December 31, 2022, the Company’s economic ownership was approximately 50%.</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Company’s wholly-owned subsidiary that owns Wisconsin Place Office also owns a 33.33% interest in the joint venture entity that owns the land, parking garage and infrastructure of the project.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(5)This property includes net equity balances from the amenity joint venture.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(6)At December 31, 2022, this entity was a VIE.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(7)During the three months ended September 30, 2023, the Company recognized an other-than-temporary impairment loss on its investment.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(8)The Company’s ownership includes (1) a 33.0% direct interest in the joint venture, and (2) an additional 1% interest in each of the two entities through which each partner owns its interest in the joint venture.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(9)The Company’s ownership includes (1) a 35.79% direct interest in the joint venture, (2) an additional 5.837% indirect ownership in the joint venture, and (3) an additional 1% interest in each of the two entities through which each partner owns its interest in the joint venture. The Company’s partners will fund required capital until their aggregate investment is approximately 58% of all capital contributions; thereafter, the partners will fund required capital according to their percentage interests.</w:t>
      </w:r>
    </w:p>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pStyle w:val="TextBody"/>
        <w:bidi w:val="0"/>
        <w:spacing w:lineRule="auto" w:line="288" w:before="180" w:after="283"/>
        <w:ind w:left="0" w:right="0" w:firstLine="495"/>
        <w:jc w:val="left"/>
        <w:rPr/>
      </w:pPr>
      <w:r>
        <w:rPr>
          <w:rFonts w:ascii="Arial;sans-serif" w:hAnsi="Arial;sans-serif"/>
          <w:b w:val="false"/>
          <w:color w:val="000000"/>
          <w:sz w:val="20"/>
        </w:rPr>
        <w:t>The combined summarized balance sheets of the Company’s unconsolidated joint ventures are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2291"/>
        <w:gridCol w:w="2005"/>
        <w:gridCol w:w="2026"/>
        <w:gridCol w:w="288"/>
        <w:gridCol w:w="1338"/>
        <w:gridCol w:w="148"/>
        <w:gridCol w:w="109"/>
        <w:gridCol w:w="109"/>
        <w:gridCol w:w="109"/>
        <w:gridCol w:w="279"/>
        <w:gridCol w:w="1295"/>
        <w:gridCol w:w="208"/>
      </w:tblGrid>
      <w:tr>
        <w:trPr/>
        <w:tc>
          <w:tcPr>
            <w:tcW w:w="229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and development in process, net (1)</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6,852,171 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6,537,554 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812,748 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756,786 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7,664,919 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7,294,340 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MEMBERS’/PARTNERS’ EQUITY</w:t>
            </w:r>
          </w:p>
        </w:tc>
        <w:tc>
          <w:tcPr>
            <w:tcW w:w="1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and notes payable, net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4,048,987 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4,022,746 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(2)</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782,238 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716,271 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Members’/Partners’ equity</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2,833,694 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2,555,323 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members’/partners’ equity</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7,664,919 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7,294,340 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equity</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1,331,257 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1,238,929 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Basis differentials (3)</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391,556 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value of the Company’s investments in unconsolidated joint ventures (4)</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1,496,848 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1,630,485 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(1)At September 30, 2023 and December 31, 2022, this amount included right of use assets - finance leases totaling approximately $248.9 million. At September 30, 2023 and December 31, 2022, this amount included right of use assets - operating leases totaling approximately $20.3 million and $21.2 million,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(2)At September 30, 2023 and December 31, 2022, this amount included lease liabilities - finance leases totaling approximately $378.4 million and $382.2 million, respectively. At September 30, 2023 and December 31, 2022, this amount included lease liabilities - operating leases totaling approximately $30.5 million.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During the three months ended September 30, 2023, the Company recognized an other-than-temporary impairment loss on its investments in Platform 16, 360 Park Avenue South, 200 Fifth Avenue and Safeco Plaza of approximately $155.2 million, $54.0 million, $33.4 million and $29.9 million, respectively, as well as a $35.8 million gain on investment related to Metropolitan Square, as described below in this Note 5. In addition, certain acquisition, transaction and other costs may not be reflected in the net assets at the joint venture level. The majority of the Company’s basis differences are as follows:</w:t>
      </w:r>
    </w:p>
    <w:tbl>
      <w:tblPr>
        <w:tblW w:w="6010" w:type="dxa"/>
        <w:jc w:val="left"/>
        <w:tblInd w:w="0" w:type="dxa"/>
        <w:tblLayout w:type="fixed"/>
        <w:tblCellMar>
          <w:top w:w="28" w:type="dxa"/>
          <w:left w:w="28" w:type="dxa"/>
          <w:bottom w:w="28" w:type="dxa"/>
          <w:right w:w="28" w:type="dxa"/>
        </w:tblCellMar>
      </w:tblPr>
      <w:tblGrid>
        <w:gridCol w:w="742"/>
        <w:gridCol w:w="652"/>
        <w:gridCol w:w="661"/>
        <w:gridCol w:w="334"/>
        <w:gridCol w:w="1308"/>
        <w:gridCol w:w="172"/>
        <w:gridCol w:w="109"/>
        <w:gridCol w:w="109"/>
        <w:gridCol w:w="109"/>
        <w:gridCol w:w="321"/>
        <w:gridCol w:w="1259"/>
        <w:gridCol w:w="234"/>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Property</w:t>
            </w:r>
          </w:p>
        </w:tc>
        <w:tc>
          <w:tcPr>
            <w:tcW w:w="3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301,820 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94,497 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Metropolitan Square</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Dock 72</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(98,980)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 xml:space="preserve">These basis differentials (excluding land) will be amortized over the remaining lives of the related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(4)Investments with deficit balances aggregating approximately $40.0 million and $85.4 million at September 30, 2023 and December 31, 2022, respectively, are reflected within Other Liabilities in the Company’s Consolidated Balance Sheets.</w:t>
      </w:r>
    </w:p>
    <w:p>
      <w:pPr>
        <w:pStyle w:val="TextBody"/>
        <w:bidi w:val="0"/>
        <w:spacing w:lineRule="auto" w:line="288" w:before="280" w:after="283"/>
        <w:ind w:left="0" w:right="0" w:firstLine="495"/>
        <w:jc w:val="left"/>
        <w:rPr/>
      </w:pPr>
      <w:r>
        <w:rPr>
          <w:rFonts w:ascii="Arial;sans-serif" w:hAnsi="Arial;sans-serif"/>
          <w:b w:val="false"/>
          <w:color w:val="000000"/>
          <w:sz w:val="20"/>
        </w:rPr>
        <w:t>The combined summarized statements of operations of the Company’s unconsolidated joint ventures are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296"/>
        <w:gridCol w:w="1103"/>
        <w:gridCol w:w="1101"/>
        <w:gridCol w:w="239"/>
        <w:gridCol w:w="1035"/>
        <w:gridCol w:w="123"/>
        <w:gridCol w:w="123"/>
        <w:gridCol w:w="123"/>
        <w:gridCol w:w="123"/>
        <w:gridCol w:w="239"/>
        <w:gridCol w:w="972"/>
        <w:gridCol w:w="123"/>
        <w:gridCol w:w="109"/>
        <w:gridCol w:w="109"/>
        <w:gridCol w:w="109"/>
        <w:gridCol w:w="231"/>
        <w:gridCol w:w="1003"/>
        <w:gridCol w:w="119"/>
        <w:gridCol w:w="119"/>
        <w:gridCol w:w="119"/>
        <w:gridCol w:w="119"/>
        <w:gridCol w:w="231"/>
        <w:gridCol w:w="942"/>
        <w:gridCol w:w="119"/>
        <w:gridCol w:w="109"/>
        <w:gridCol w:w="167"/>
      </w:tblGrid>
      <w:tr>
        <w:trPr/>
        <w:tc>
          <w:tcPr>
            <w:tcW w:w="12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6" w:type="dxa"/>
            <w:gridSpan w:val="2"/>
            <w:tcBorders/>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276" w:type="dxa"/>
            <w:gridSpan w:val="2"/>
            <w:tcBorders/>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 (1)</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373,358 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115,037 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334,578 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early extinguishment of debt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(40,678)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(176,786)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instruments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income (loss)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investment (2)</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losses on investments (3)</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Basis differential (4)</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unconsolidated joint ventures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(247,556)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(1)Includes straight-line rent adjustments of approximately $7.7 million and $9.6 million for the three months ended September 30, 2023 and 2022, respectively, and approximately $20.9 million and $54.9 million for the nine months ended September 30, 2023 and 2022, respectively. </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(2)During the three months ended September 30, 2023, the Company completed a restructuring of its ownership in Metropolitan Square, as described below in this Note 5.</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(3)During the three months ended September 30, 2023, the Company recognized an other-than-temporary impairment loss on its investments in Platform 16, 360 Park Avenue South, 200 Fifth Avenue and Safeco Plaza of approximately $155.2 million, $54.0 million, $33.4 million and $29.9 million respectively, as described below in this Note 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(4)Includes straight-line rent adjustments of approximately $0.4 million and $0.1 million for the three months ended September 30, 2023 and 2022, respectively, and approximately $1.1 million and $0.3 million for the nine months ended September 30, 2023 and 2022, respectively. Also includes net above-/below-market rent adjustments of approximately $0.2 million and $0.1 million for the three months ended September 30, 2023 and 2022, respectively, and approximately $0.6 million and $0.3 million for the nine months ended September 30, 2023 and 2022.</w:t>
      </w:r>
    </w:p>
    <w:p>
      <w:pPr>
        <w:pStyle w:val="TextBody"/>
        <w:bidi w:val="0"/>
        <w:spacing w:lineRule="auto" w:line="288" w:before="400" w:after="283"/>
        <w:ind w:left="0" w:right="0" w:firstLine="490"/>
        <w:jc w:val="left"/>
        <w:rPr>
          <w:rFonts w:ascii="Arial;sans-serif" w:hAnsi="Arial;sans-serif"/>
          <w:b w:val="false"/>
          <w:color w:val="000000"/>
          <w:sz w:val="20"/>
        </w:rPr>
      </w:pPr>
      <w:r>
        <w:rPr>
          <w:rFonts w:ascii="Arial;sans-serif" w:hAnsi="Arial;sans-serif"/>
          <w:b w:val="false"/>
          <w:color w:val="000000"/>
          <w:sz w:val="20"/>
        </w:rPr>
        <w:t>On January 31, 2023, the Company acquired a 50% interest in a joint venture that owns 13100 and 13150 Worldgate Drive located in Herndon, Virginia for a gross purchase price of approximately $17.0 million. The acquisition was completed with available cash. 13100 and 13150 Worldgate Drive consists of two vacant office buildings aggregating approximately 350,000 rentable square feet and a 1,200-space structured parking deck situated on a 10-acre site. The joint venture intends to redevelop the property for residential use. There can be no assurance that the joint venture will commence the development as currently contemplated or at all.</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April 21, 2023, a joint venture in which the Company owns a 50% interest exercised an option to extend the maturity date of the construction loan collateralized by its 7750 Wisconsin Avenue property. Prior to the extension, the loan had a total commitment amount of approximately $252.6 million, bore interest at a variable rate equal to London interbank offered rate (“LIBOR”) plus 1.25% per annum and was scheduled to mature on April 26, 2023, with two, one-year extension options, subject to certain conditions. The extended loan continued to bear interest at LIBOR plus 1.25% per annum through June 1, 2023 after which, the interest rate was converted to a variable rate equal to Term Secured Overnight Finance Rate (“SOFR”) plus 1.35% per annum. The extended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now matures on April 26, 2024, with a one-year extension option, subject to certain conditions. 7750 Wisconsin Avenue is a premier workplace with approximately 734,000 net rentable square feet located in Bethesda, Maryland.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5, 2023, a joint venture in which the Company owns a 30% interest repaid the existing construction loan collateralized by its 500 North Capitol Street, NW property and obtained new mortgage loans with related parties. At the time of the pay off, the outstanding balance of the loan totaled approximately $105.0 million and the loan was scheduled to mature on June 6, 2023. The new mortgage loans have an aggregate principal balance of $105.0 million, bear interest at a weighted average fixed rate of 6.83% per annum and mature on June 5, 2026. The Company’s portion of the mortgage loans, $10.5 million, has been reflected as a Related Party Note Receivable on the Company’s Consolidated Balance Sheets. 500 North Capitol Street, NW is an approximately 231,000 net rentable square foot premier workplace in Washington, DC.</w:t>
      </w:r>
    </w:p>
    <w:p>
      <w:pPr>
        <w:pStyle w:val="TextBody"/>
        <w:bidi w:val="0"/>
        <w:spacing w:lineRule="auto" w:line="288" w:before="180" w:after="283"/>
        <w:ind w:left="0" w:right="0" w:firstLine="495"/>
        <w:jc w:val="left"/>
        <w:rPr/>
      </w:pPr>
      <w:r>
        <w:rPr>
          <w:rFonts w:ascii="Arial;sans-serif" w:hAnsi="Arial;sans-serif"/>
          <w:b w:val="false"/>
          <w:color w:val="000000"/>
          <w:sz w:val="20"/>
        </w:rPr>
        <w:t>On June 28, 2023, a joint venture in which the Company owns a 25% interest exercised an option to extend by 30 days the maturity date of the loan collateralized by its 3 Hudson Boulevard property. At the time of the extension, the outstanding balance of the loan totaled $80.0 million, bore interest at a variable rate equal to LIBOR plus 3.50% per annum and was scheduled to mature on July 13, 2023, with two extension options (30 days and 180 days, respectively), subject to certain conditions. Following the extension, the modified loan was scheduled to mature on August 13, 2023, with one 180-day extension option, subject to certain conditions. The extended loan continued to bear interest at a variable rate equal to LIBOR plus 3.50% per annum for the period from June 28, 2023 through July 6, 2023. For the period commencing on July 7, 2023 through the maturity date, the modified loan bore interest at a variable rate equal to Term SOFR plus approximately 3.61% per annum. On August 11, 2023, the joint venture exercised its second extension option of 180-days. The extended loan now matures on February 9, 2024. As of September 30, 2023, the loan had approximately $25.6 million of accrued interest due at the maturity date. 3 Hudson Boulevard consists of land and improvements held for future development located in New York, New York.</w:t>
      </w:r>
      <w:r>
        <w:rPr>
          <w:color w:val="000000"/>
        </w:rPr>
        <w:t xml:space="preserv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July 28, 2023, a joint venture in which the Company has a 50% interest modified and exercised an option to extend by one year the maturity date of its loan collateralized by 100 Causeway Street. At the time of the modification and extension, the loan had an outstanding balance totaling approximately $340.6 million, bore interest at Term SOFR plus 1.60% per annum, and was scheduled to mature on September 5, 2023. Following the modification and extension, the loan had an outstanding balance of $336.6 million, which included an approximately $4.0 million principal repayment, bears interest at Term SOFR plus 1.48% per annum, and matures on September 5, 2024, with an additional one-year extension option, subject to certain conditions. 100 Causeway Street is an approximately 634,000 square foot premier workplace located in Boston, Massachusetts and is approximately 95% leased.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September 1, 2023, a joint venture in which the Company has a 49% interest completed and fully placed in-service 751 Gateway, an approximately 231,000 square foot laboratory/life sciences project in South San Francisco, California. The property is 100% leased.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September 6, 2023, a joint venture in which the Company has a 50% interest modified the loan collateralized by its Hub on Causeway - Podium property. At the time of the modification, the loan had an outstanding balance of approximately $174.3 million, bore interest at Term SOFR plus 2.35% per annum, and was scheduled to mature on September 6, 2023. Following the modification, the modified loan had an outstanding balance of $154.3 million, which included an approximately $20.0 million principal repayment, bears interest at Daily SOFR plus 2.50% per annum, and matures on September 8, 2025, with a one-year extension option, subject to certain conditions. On September 8, 2023, the joint venture entered into interest rate swap contracts with notional amounts aggregating approximately $154.3 million through September 2, 2025, resulting in a fixed interest rate of approximately 7.35% per annum through the expiration of the interest rate swap contracts. The Hub on Causeway - Podium is an approximately 383,000 square foot premier workplace located in Boston, Massachusetts and is approximately 94% leased.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September 13, 2023, a joint venture in which the Company owned a 20% equity interest completed the first step of a two-step restructuring of its ownership in Metropolitan Square. The two-step restructuring will result in (i) an affiliate of the existing mezzanine lender purchasing the property and becoming the new property owner and the Company no longer having an equity interest in the property and (ii) the Company becoming a co-lender of up to $20.0 million under a new $100.0 million mezzanine loan (“New Mezz Loan”). Prior to the restructuring, the property was encumbered by an aggregate of $420.0 million of debt, consisting of a senior loan with an outstanding principal balance of $305.0 million (“Senior Loan”) and the existing $115.0 million mezzanine loan (“Existing Mezz Loan”). Step one of the restructuring was completed on September 13, 2023, and resulted in,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the cessation of the Company’s obligation to fund future investments through its then 20% equity interest, which caused the Company to recognize a gain on investment of approximately $35.8 million related to its deficit investment balance, which was primarily due to excess distributions, and (ii) the removal of the property from the Company’s in-service portfolio. Metropolitan Square is a 657,000 net rentable square foot premier workplace located at 655 15th Street, NW in the heart of downtown Washington, DC. See Note 14 for a description of step two of the restructuring. </w:t>
      </w:r>
    </w:p>
    <w:p>
      <w:pPr>
        <w:pStyle w:val="TextBody"/>
        <w:bidi w:val="0"/>
        <w:spacing w:lineRule="auto" w:line="288" w:before="1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Impairments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investments in unconsolidated joint ventures are reviewed for indicators of impairment on a quarterly basis and the Company records impairment charges when events or circumstances indicate that a decline in the fair values below the carrying amounts has occurred and such decline is other-than-temporary. During the three months ended September 30, 2023, the Company continued to evaluate declining market conditions and underlying key assumptions of certain investments in unconsolidated joint ventures, including the receipt and consideration of certain third-party joint venture property appraisals. Such evaluation of key impairment indicators resulted in the Company determining that the decline in value, for certain joint venture properties, was other-than-temporary and therefore the Company recorded impairment charges during the three months ended September 30, 2023, as described below.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three months ended June 30, 2023, a joint venture in which the Company has a 55% interest elected to pause vertical construction on Platform 16 in San Jose, California. Platform 16 was planned to be constructed in phases to best accommodate market demand. The first phase of the development project included the construction of an approximately 390,000 net rentable square foot premier workplace building and below-grade parking garage. The joint venture intends to complete the construction of the below-grade parking garage and building foundation elements over the next several months to facilitate a restart of construction in the future as demand improves. Upon electing to pause vertical construction, the Company performed an analysis to determine if there was an other-than temporary impairment. Based on the market rent assumptions and new expected timeline for completion of the project, as of June 30, 2023, the Company concluded there was not an other-than temporary impairment present. During the three months ended September 30, 2023, the real estate and leasing conditions in the San Jose, California market continued to deteriorate and the Company further extended its construction pause assumption. These conditions, combined with a decrease in market rent assumptions, resulted in the Company recognizing a non-cash impairment charge totaling approximately $155.2 million, which represented the decline in the fair value below the carrying value of the Company’s investment in the unconsolidated joint venture that owns Platform 16. The Company determined that its investment was categorized within Level 3 of the fair value hierarchy, as it utilized significant unobservable inputs in its assessment, including an exit capitalization rate of 6.0%, and a discount rate of 12.0%.</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2023, the Company recognized a non-cash impairment charge totaling approximately $54.0 million, which represented the decline in the fair value below the carrying value of the Company’s investment in the unconsolidated joint venture that owns 360 Park Avenue South. The Company assessed the impairment and concluded that it was other than temporary. The Company determined that its investment was categorized within Level 3 of the fair value hierarchy, as it utilized significant unobservable inputs in its assessment, including an exit capitalization rate of 5.5% and leasing the currently available space over a longer period of time ending in 2026. 360 Park Avenue South is currently under redevelopment to be a premier workplace with approximately 450,000 net rentable square feet located in New York City, New York.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2023, the Company recognized a non-cash impairment charge totaling approximately $33.4 million, which represented the decline in the fair value below the carrying value of the Company’s investment in the unconsolidated joint venture that owns 200 Fifth Avenue. The Company assessed the impairment and concluded that it was other than temporary. The Company determined that its investment was categorized within Level 3 of the fair value hierarchy, as it utilized significant unobservable inputs in its assessment, including an exit capitalization rate of 5.0% and a discount rate of 8.0%. 200 Fifth Avenue is a premier workplace with approximately 855,000 net rentable square feet located in New York City, New York.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2023, the Company recognized a non-cash impairment charge totaling approximately $29.9 million, which represented the decline in the fair value below the carrying value of the Company’s investment in the unconsolidated joint venture that owns Safeco Plaza. The Company assessed the impairment and concluded that it was other than temporary. The Company determined that its investment was categorized within Level 3 of the fair value hierarchy, as it utilized significant unobservable inputs in its assessment, including an exit capitalization rate of 5.5%, a discount rate of 8.0% and a major lobby and repositioning renovation.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Safeco Plaza is a premier workplace with approximately 779,000 net rentable square feet located in Seattle, Washington.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6. Debt</w:t>
      </w:r>
    </w:p>
    <w:p>
      <w:pPr>
        <w:pStyle w:val="TextBody"/>
        <w:bidi w:val="0"/>
        <w:spacing w:lineRule="auto" w:line="288" w:before="100" w:after="283"/>
        <w:ind w:left="0" w:right="0" w:firstLine="225"/>
        <w:jc w:val="left"/>
        <w:rPr>
          <w:rFonts w:ascii="Arial;sans-serif" w:hAnsi="Arial;sans-serif"/>
          <w:b w:val="false"/>
          <w:i/>
          <w:color w:val="000000"/>
          <w:sz w:val="20"/>
        </w:rPr>
      </w:pPr>
      <w:r>
        <w:rPr>
          <w:rFonts w:ascii="Arial;sans-serif" w:hAnsi="Arial;sans-serif"/>
          <w:b w:val="false"/>
          <w:i/>
          <w:color w:val="000000"/>
          <w:sz w:val="20"/>
        </w:rPr>
        <w:t>Unsecured Senior Notes</w:t>
      </w:r>
    </w:p>
    <w:p>
      <w:pPr>
        <w:pStyle w:val="TextBody"/>
        <w:bidi w:val="0"/>
        <w:spacing w:lineRule="auto" w:line="288" w:before="100" w:after="283"/>
        <w:ind w:left="0" w:right="0" w:firstLine="450"/>
        <w:jc w:val="left"/>
        <w:rPr/>
      </w:pPr>
      <w:r>
        <w:rPr>
          <w:rFonts w:ascii="Arial;sans-serif" w:hAnsi="Arial;sans-serif"/>
          <w:b w:val="false"/>
          <w:color w:val="000000"/>
          <w:sz w:val="20"/>
        </w:rPr>
        <w:t>The following summarizes the unsecured senior notes outstanding as of September 30, 2023 (dollars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102"/>
        <w:gridCol w:w="954"/>
        <w:gridCol w:w="959"/>
        <w:gridCol w:w="368"/>
        <w:gridCol w:w="358"/>
        <w:gridCol w:w="930"/>
        <w:gridCol w:w="109"/>
        <w:gridCol w:w="109"/>
        <w:gridCol w:w="109"/>
        <w:gridCol w:w="323"/>
        <w:gridCol w:w="323"/>
        <w:gridCol w:w="762"/>
        <w:gridCol w:w="109"/>
        <w:gridCol w:w="109"/>
        <w:gridCol w:w="109"/>
        <w:gridCol w:w="215"/>
        <w:gridCol w:w="1153"/>
        <w:gridCol w:w="111"/>
        <w:gridCol w:w="109"/>
        <w:gridCol w:w="109"/>
        <w:gridCol w:w="109"/>
        <w:gridCol w:w="505"/>
        <w:gridCol w:w="478"/>
        <w:gridCol w:w="683"/>
      </w:tblGrid>
      <w:tr>
        <w:trPr/>
        <w:tc>
          <w:tcPr>
            <w:tcW w:w="110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Coupon/Stated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Rate(1)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3.800 </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2024</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 Year Unsecured Senior Notes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3.650 </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3.766 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2026</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2026</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Year Unsecured Senior Notes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6.924 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2028</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3.400 </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21, 2029</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15, 2030</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10.75 Year Unsecured Senior Notes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2031</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 Year Unsecured Senior Notes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2032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 Year Unsecured Senior Notes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2033</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 Year Unsecured Senior Notes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6.619 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2034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principal</w:t>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w:t>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net</w:t>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10,488,568 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(1)Yield on issuance date including the effects of discounts on the notes, settlements of interest rate contracts and the amortization of financing costs.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(2)No principal amounts are due prior to maturity.</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On May 15, 2023, BPLP completed a public offering of $750.0 million in aggregate principal amount of its 6.500% unsecured senior notes due 2034. The notes were priced at 99.697% of the principal amount to yield an effective rate (including financing fees) of approximately 6.619% per annum to maturity. The notes will mature on January 15, 2034, unless earlier redeemed. The aggregate net proceeds from the offering were approximately $741.3 million after deducting underwriting discounts and transaction expenses.</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September 1, 2023, BPLP completed the repayment of $500.0 million in aggregate principal amount of its 3.125% senior notes due September 1, 2023. The repayment price was approximately $507.8 million, which was equal to the stated principal plus approximately $7.8 million of accrued and unpaid interest to, but not including, the repayment date. Excluding the accrued and unpaid interest, the repayment price was equal to the principal amount being repaid.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September 30, 2023, BPLP was in compliance with each of these financial restrictions and requirements.</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Unsecured Credit Facility</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BPLP’s unsecured credit facility (the “2021 Credit Facility”) provides for borrowings of up to $1.815 billion, as described below in this Note 6, through BPLP’s revolving facility (the “Revolving Facility”), subject to customary conditions. The 2021 Credit Facility matures on June 15, 2026 and includes a sustainability-linked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component. Under the 2021 Credit Facility, BPLP may increase the total commitment by up to $500.0 million by increasing the amount of the Revolving Facility and/or by incurring one or more term loans, in each case, subject to syndication of the increase and other conditions (the “Accordion”). On September 28, 2023, BPLP exercised a portion of the Accordion with three new lenders to the 2021 Credit Facility (“New Lenders”). Each of the New Lenders entered into a lender agreement with BPLP to provide an aggregate of $315.0 million in additional revolving credit commitments, which increased the maximum borrowing amount under the 2021 Credit Facility from $1.5 billion to $1.815 billion. All other terms of the 2021 Credit Facility remain unchanged.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At BPLP’s option, loans under the 2021 Credit Facility will bear interest at a rate per annum equal to (1) (a) in the case of loans denominated in Dollars, Term SOFR and SOFR, (b) in the case of loans denominated in Euro, EURIBOR, (c) in the case of loans denominated in Canadian Dollars, CDOR, and (d) in the case of loans denominated in Sterling, SONIA, in each case, plus a margin ranging from 70.0 to 140.0 basis points based on BPLP’s credit rating or (2) an alternate base rate equal to the greatest of (a) the Federal Funds rate plus 0.5%, (b) the administrative agent’s prime rate, (c) Term SOFR plus 1.00%, and (d) 1.00%, in each case, plus a margin ranging from 0 to 40 basis points based on BPLP’s credit rating.</w:t>
      </w:r>
    </w:p>
    <w:p>
      <w:pPr>
        <w:pStyle w:val="TextBody"/>
        <w:bidi w:val="0"/>
        <w:spacing w:lineRule="auto" w:line="288" w:before="180" w:after="283"/>
        <w:ind w:left="0" w:right="0" w:firstLine="495"/>
        <w:jc w:val="left"/>
        <w:rPr/>
      </w:pPr>
      <w:r>
        <w:rPr>
          <w:rFonts w:ascii="Arial;sans-serif" w:hAnsi="Arial;sans-serif"/>
          <w:b w:val="false"/>
          <w:color w:val="000000"/>
          <w:sz w:val="20"/>
        </w:rPr>
        <w:t>The 2021 Credit Facility also features a sustainability-linked pricing component such that if BPLP meets certain sustainability performance targets, the applicable per annum interest rate will be reduced by one basis point. In addition, the 2021 Credit Facility contains a competitive bid option for up to 65% of the Revolving Facility that allows banks that are part of the lender consortium to bid to make loan advances to BPLP</w:t>
      </w:r>
      <w:r>
        <w:rPr>
          <w:color w:val="000000"/>
        </w:rPr>
        <w:t xml:space="preserve"> </w:t>
      </w:r>
      <w:r>
        <w:rPr>
          <w:rFonts w:ascii="Arial;sans-serif" w:hAnsi="Arial;sans-serif"/>
          <w:b w:val="false"/>
          <w:color w:val="000000"/>
          <w:sz w:val="20"/>
        </w:rPr>
        <w:t>at a reduced interest rate.</w:t>
      </w:r>
    </w:p>
    <w:p>
      <w:pPr>
        <w:pStyle w:val="TextBody"/>
        <w:bidi w:val="0"/>
        <w:spacing w:lineRule="auto" w:line="288" w:before="180" w:after="283"/>
        <w:ind w:left="0" w:right="0" w:firstLine="495"/>
        <w:jc w:val="left"/>
        <w:rPr/>
      </w:pPr>
      <w:r>
        <w:rPr>
          <w:rFonts w:ascii="Arial;sans-serif" w:hAnsi="Arial;sans-serif"/>
          <w:b w:val="false"/>
          <w:color w:val="000000"/>
          <w:sz w:val="20"/>
        </w:rPr>
        <w:t>Pursuant to the 2021 Credit Facility, BPLP is obligated to pay (1) in quarterly installments a facility fee on the total commitment under the Revolving Facility at a rate per annum ranging from 0.10% to 0.30% based on BPLP’s credit rating and (2) an annual fee on the undrawn amount of each letter of credit ranging from 0.70% to 1.40% based on BPLP</w:t>
      </w:r>
      <w:r>
        <w:rPr>
          <w:color w:val="000000"/>
        </w:rPr>
        <w:t>’</w:t>
      </w:r>
      <w:r>
        <w:rPr>
          <w:rFonts w:ascii="Calibri;sans-serif" w:hAnsi="Calibri;sans-serif"/>
          <w:b w:val="false"/>
          <w:color w:val="000000"/>
          <w:sz w:val="22"/>
        </w:rPr>
        <w:t>s</w:t>
      </w:r>
      <w:r>
        <w:rPr>
          <w:color w:val="000000"/>
        </w:rPr>
        <w:t xml:space="preserve"> </w:t>
      </w:r>
      <w:r>
        <w:rPr>
          <w:rFonts w:ascii="Arial;sans-serif" w:hAnsi="Arial;sans-serif"/>
          <w:b w:val="false"/>
          <w:color w:val="000000"/>
          <w:sz w:val="20"/>
        </w:rPr>
        <w:t>credit rating.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1, 2023, BPLP amended the 2021 Credit Facility to replace the LIBOR-based daily floating rate option with a SOFR-based daily floating rate option and to add options for SOFR-based term floating rates and rates for alternative currency loans. In addition, the amendment added a SOFR credit spread adjustment of 0.10%. Other than the foregoing, the material terms of the 2021 Credit Facility remain unchanged.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Based on BPLP’s September 30, 2023 credit rating, (1) the applicable Daily SOFR, Term SOFR, alternative currency daily rate, and alternative currency term rate margins are 0.775%, (2) the alternate base rate margin is zero basis points and (3) the facility fee is 0.15% per annum.</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At September 30, 2023, BPLP had no amount outstanding under the Revolving Facility.</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Unsecured Term Loan</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January 4, 2023, BPLP entered into a credit agreement that provided for a $1.2 billion unsecured term loan facility (the “2023 Unsecured Term Loan”).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BPLP exercised its option to draw $1.2 billion under the 2023 Unsecured Term Loan, a portion of which was used to repay in full the $730.0 million outstanding under its prior unsecured credit agreement (the “2022 Unsecured Term Loan”), which was scheduled to mature on May 16, 2023. There was no prepayment penalty associated with the repayment of the 2022 Unsecured Term Loan. </w:t>
      </w:r>
    </w:p>
    <w:p>
      <w:pPr>
        <w:pStyle w:val="TextBody"/>
        <w:bidi w:val="0"/>
        <w:spacing w:lineRule="auto" w:line="288" w:before="180" w:after="283"/>
        <w:ind w:left="0" w:right="0" w:firstLine="490"/>
        <w:jc w:val="left"/>
        <w:rPr/>
      </w:pPr>
      <w:r>
        <w:rPr>
          <w:rFonts w:ascii="Arial;sans-serif" w:hAnsi="Arial;sans-serif"/>
          <w:b w:val="false"/>
          <w:color w:val="000000"/>
          <w:sz w:val="20"/>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 Based on BPLP’s credit rating upon entry into the credit agreement, the base rate margin is 0 basis points and the Term SOFR margin is 0.85%. As of September 30, 2023, the 2023 Unsecured Term Loan bears interest at a rate equal to adjusted Term SOFR plus 0.85% (see Note 7</w:t>
      </w:r>
      <w:r>
        <w:rPr>
          <w:rFonts w:ascii="Arial;sans-serif" w:hAnsi="Arial;sans-serif"/>
          <w:b w:val="false"/>
          <w:i/>
          <w:color w:val="000000"/>
          <w:sz w:val="20"/>
        </w:rPr>
        <w:t>)</w:t>
      </w:r>
      <w:r>
        <w:rPr>
          <w:rFonts w:ascii="Arial;sans-serif" w:hAnsi="Arial;sans-serif"/>
          <w:b w:val="false"/>
          <w:color w:val="000000"/>
          <w:sz w:val="20"/>
        </w:rPr>
        <w:t>. At September 30, 2023, BPLP had $1.2 billion outstanding under the 2023 Unsecured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2021 Credit Facility and 2023 Unsecured Term Loan Compliance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agreements governing the 2021 Credit Facility and 2023 Unsecured Term Loan contain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in the case of the 2021 Credit Facility, all outstanding amounts and the cancellation of all commitments outstanding under the 2021 Credit Facility and, in the case of the 2023 Unsecured Term Loan, any outstanding amount under the 2023 Unsecured Term Loan. Among other covenants, the 2021 Credit Facility and the 2023 Unsecured Term Loan require that BPLP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September 30, 2023, BPLP was in compliance with each of these financial and other covenant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7. Derivative Instruments and Hedging Activities</w:t>
      </w:r>
    </w:p>
    <w:p>
      <w:pPr>
        <w:pStyle w:val="TextBody"/>
        <w:bidi w:val="0"/>
        <w:spacing w:lineRule="auto" w:line="288" w:before="100" w:after="283"/>
        <w:ind w:left="0" w:right="0" w:firstLine="495"/>
        <w:jc w:val="left"/>
        <w:rPr/>
      </w:pPr>
      <w:r>
        <w:rPr>
          <w:rFonts w:ascii="Arial;sans-serif" w:hAnsi="Arial;sans-serif"/>
          <w:b w:val="false"/>
          <w:color w:val="000000"/>
          <w:sz w:val="20"/>
        </w:rPr>
        <w:t>On May 2, 2023, BPLP entered into four interest rate swap contracts with notional amounts aggregating $1.2 billion. BPLP entered into these interest rate swap contracts to reduce its exposure to the variability in future cash flows attributable to changes in the 2023 Unsecured Term Loan interest rate. These interest rate swaps were entered into to fix Term SOFR, the reference rate for BPLP’s 2023 Unsecured Term Loan, at a weighted-average rate of 4.6420% for the period commencing on May 4, 2023 and ending on May 16, 2024 (see Note 6</w:t>
      </w:r>
      <w:r>
        <w:rPr>
          <w:rFonts w:ascii="Arial;sans-serif" w:hAnsi="Arial;sans-serif"/>
          <w:b w:val="false"/>
          <w:i/>
          <w:color w:val="000000"/>
          <w:sz w:val="20"/>
        </w:rPr>
        <w:t>)</w:t>
      </w:r>
      <w:r>
        <w:rPr>
          <w:rFonts w:ascii="Arial;sans-serif" w:hAnsi="Arial;sans-serif"/>
          <w:b w:val="false"/>
          <w:color w:val="000000"/>
          <w:sz w:val="20"/>
        </w:rPr>
        <w:t xml:space="preserve">. For the three months ended September 30, 2023 and the period from May 4, 2023 through September 30, 2023, the Company recognized approximately $(1.9) million and $(2.8) million, respectively, of interest expense related to its interest rate swap contracts. </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BPLP assesses the effectiveness of its hedges both at inception and on an ongoing basis. If the hedges are deemed to be effective, the fair value is recorded in “Accumulated other comprehensive income (loss)” in the Company’s Consolidated Balance Sheets and is subsequently reclassified into “Interest expense” in the Company’s </w:t>
      </w:r>
      <w:r>
        <w:rPr>
          <w:rFonts w:ascii="Arial;sans-serif" w:hAnsi="Arial;sans-serif"/>
          <w:b w:val="false"/>
          <w:color w:val="000000"/>
          <w:sz w:val="20"/>
          <w:shd w:fill="FFFFFF" w:val="clear"/>
        </w:rPr>
        <w:t>Consolidated Statements of Operations</w:t>
      </w:r>
      <w:r>
        <w:rPr>
          <w:color w:val="000000"/>
        </w:rPr>
        <w:t xml:space="preserve"> </w:t>
      </w:r>
      <w:r>
        <w:rPr>
          <w:rFonts w:ascii="Arial;sans-serif" w:hAnsi="Arial;sans-serif"/>
          <w:b w:val="false"/>
          <w:color w:val="000000"/>
          <w:sz w:val="20"/>
        </w:rPr>
        <w:t xml:space="preserve">in the period that the hedged forecasted transactions affect earnings. BPLP’s derivative financial instruments are cash flow hedges that are designated as effective hedges, and are carried at their estimated fair value on a recurring basis (See Note 2). The Company did not incur any ineffectiveness during the three and nine months ended September 30, 2023.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BPLP’s interest rate swap contracts consisted of the following at September 30, 2023 (dollars in thousands):</w:t>
      </w:r>
    </w:p>
    <w:tbl>
      <w:tblPr>
        <w:tblW w:w="10205" w:type="dxa"/>
        <w:jc w:val="left"/>
        <w:tblInd w:w="0" w:type="dxa"/>
        <w:tblLayout w:type="fixed"/>
        <w:tblCellMar>
          <w:top w:w="28" w:type="dxa"/>
          <w:left w:w="28" w:type="dxa"/>
          <w:bottom w:w="28" w:type="dxa"/>
          <w:right w:w="28" w:type="dxa"/>
        </w:tblCellMar>
      </w:tblPr>
      <w:tblGrid>
        <w:gridCol w:w="409"/>
        <w:gridCol w:w="359"/>
        <w:gridCol w:w="361"/>
        <w:gridCol w:w="109"/>
        <w:gridCol w:w="109"/>
        <w:gridCol w:w="109"/>
        <w:gridCol w:w="229"/>
        <w:gridCol w:w="1021"/>
        <w:gridCol w:w="127"/>
        <w:gridCol w:w="109"/>
        <w:gridCol w:w="109"/>
        <w:gridCol w:w="109"/>
        <w:gridCol w:w="290"/>
        <w:gridCol w:w="290"/>
        <w:gridCol w:w="291"/>
        <w:gridCol w:w="109"/>
        <w:gridCol w:w="109"/>
        <w:gridCol w:w="109"/>
        <w:gridCol w:w="272"/>
        <w:gridCol w:w="272"/>
        <w:gridCol w:w="273"/>
        <w:gridCol w:w="109"/>
        <w:gridCol w:w="109"/>
        <w:gridCol w:w="109"/>
        <w:gridCol w:w="278"/>
        <w:gridCol w:w="278"/>
        <w:gridCol w:w="264"/>
        <w:gridCol w:w="128"/>
        <w:gridCol w:w="112"/>
        <w:gridCol w:w="112"/>
        <w:gridCol w:w="286"/>
        <w:gridCol w:w="270"/>
        <w:gridCol w:w="264"/>
        <w:gridCol w:w="109"/>
        <w:gridCol w:w="109"/>
        <w:gridCol w:w="109"/>
        <w:gridCol w:w="388"/>
        <w:gridCol w:w="375"/>
        <w:gridCol w:w="377"/>
        <w:gridCol w:w="109"/>
        <w:gridCol w:w="109"/>
        <w:gridCol w:w="109"/>
        <w:gridCol w:w="196"/>
        <w:gridCol w:w="558"/>
        <w:gridCol w:w="163"/>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Aggregate 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Strike Rate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Balance Sheet Location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Effective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Low </w:t>
            </w:r>
          </w:p>
        </w:tc>
        <w:tc>
          <w:tcPr>
            <w:tcW w:w="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High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1,200,000 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May 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May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4.638 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4.646 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location in the financial statements of the gains or losses recognized related to the Company’s cash flow hedges for the three and nine months ended September 30, 2023 and 2022 (dollars in thousands):</w:t>
      </w:r>
    </w:p>
    <w:tbl>
      <w:tblPr>
        <w:tblW w:w="10205" w:type="dxa"/>
        <w:jc w:val="left"/>
        <w:tblInd w:w="0" w:type="dxa"/>
        <w:tblLayout w:type="fixed"/>
        <w:tblCellMar>
          <w:top w:w="28" w:type="dxa"/>
          <w:left w:w="28" w:type="dxa"/>
          <w:bottom w:w="28" w:type="dxa"/>
          <w:right w:w="28" w:type="dxa"/>
        </w:tblCellMar>
      </w:tblPr>
      <w:tblGrid>
        <w:gridCol w:w="1513"/>
        <w:gridCol w:w="1331"/>
        <w:gridCol w:w="1333"/>
        <w:gridCol w:w="109"/>
        <w:gridCol w:w="109"/>
        <w:gridCol w:w="109"/>
        <w:gridCol w:w="236"/>
        <w:gridCol w:w="724"/>
        <w:gridCol w:w="122"/>
        <w:gridCol w:w="122"/>
        <w:gridCol w:w="122"/>
        <w:gridCol w:w="122"/>
        <w:gridCol w:w="236"/>
        <w:gridCol w:w="841"/>
        <w:gridCol w:w="122"/>
        <w:gridCol w:w="109"/>
        <w:gridCol w:w="109"/>
        <w:gridCol w:w="109"/>
        <w:gridCol w:w="228"/>
        <w:gridCol w:w="813"/>
        <w:gridCol w:w="118"/>
        <w:gridCol w:w="118"/>
        <w:gridCol w:w="118"/>
        <w:gridCol w:w="118"/>
        <w:gridCol w:w="228"/>
        <w:gridCol w:w="813"/>
        <w:gridCol w:w="173"/>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2022</w:t>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related to the effective portion recognized in other comprehensive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related to the effective portion subsequently reclassified to earnings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5,030 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relate do the ineffective portion and amount 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the Company’s share of gain (loss) related to the effective portion of derivatives outstanding at its unconsolidated joint venture properties.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(2)Consists of amounts from previous interest rate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(loss) and equity.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BPLP’s agreements with the swap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September 30, 2023, the Company had not posted any collateral related to the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8. Commitments and Contingencies </w:t>
      </w:r>
    </w:p>
    <w:p>
      <w:pPr>
        <w:pStyle w:val="TextBody"/>
        <w:bidi w:val="0"/>
        <w:spacing w:lineRule="auto" w:line="288" w:before="100" w:after="283"/>
        <w:ind w:left="0" w:right="0" w:firstLine="225"/>
        <w:jc w:val="left"/>
        <w:rPr>
          <w:rFonts w:ascii="Arial;sans-serif" w:hAnsi="Arial;sans-serif"/>
          <w:b w:val="false"/>
          <w:i/>
          <w:color w:val="000000"/>
          <w:sz w:val="20"/>
        </w:rPr>
      </w:pPr>
      <w:r>
        <w:rPr>
          <w:rFonts w:ascii="Arial;sans-serif" w:hAnsi="Arial;sans-serif"/>
          <w:b w:val="false"/>
          <w:i/>
          <w:color w:val="000000"/>
          <w:sz w:val="20"/>
        </w:rPr>
        <w:t>General</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had letter of credit and performance obligations related to lender and development requirements that total approximately $21.6 million at September 30, 2023.</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September 30, 2023, the maximum funding obligation under the guarantee was approximately $10.0 million. The Company earns a fee from the joint venture for providing the guarantee and has an agreement with the outside partners to reimburse the joint venture for their share of any payments made under the guarantee. As of September 30, 2023, no amounts related to the guarantee were recorded as liabilities in the Company’s consolidated financial statements.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development of the Company’s 290 Binney Street project located in Cambridge, Massachusetts, which commenced on January 5, 2023 (see Note 3), the Cambridge Zoning Ordinance requires that a building permit for the construction of a residential project of at least 400,000 square feet be issued prior to or concurrently with the issuance of a building permit for the commercial building. 290 Binney Street and the residential project are components of the Company’s future life sciences development project located in the heart of Kendall Square in Cambridge, Massachusetts. When completed the Company expects the project will consist of two premier workplace properties aggregating approximately 1.1 million rentable square feet of life sciences space and the approximately 400,000 square foot residential building. The commencement of construction of each phase of the overall project is subject to various conditions, some of which are not within the Company’s control. There can be no assurance that the conditions will be satisfied or that the Company will commence the development of the remaining phases on the terms and schedule currently contemplated or at all.</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Insurance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property insurance program per occurrence limits are $1.0 billion for its portfolio insurance program, including coverage for acts of terrorism other than nuclear, biological, chemical or radiological terrorism (“Terrorism Coverage”). The Company also carries $1.35 billion of property insurance in excess of the $1.0 billion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coverage in the Company’s property insurance program for 601 Lexington Avenue, New York, New York, consisting of $750 million of property and Terrorism Coverage in excess of the Company’s property insurance program and $600 million of Terrorism Coverage only in excess of the $1.75 billion of coverage.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$330 million annual aggregate limit, $30 million of which is provided by IXP, as a direct insurer. This insurance is subject to a deductible in the amount of 5%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9. Noncontrolling Interests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Noncontrolling interests relate to the interests in BPLP not owned by BXP and interests in consolidated property partnerships not wholly-owned by the Company. As of September 30, 2023, the noncontrolling interests in BPLP consisted of 16,509,597 OP Units, 2,072,732 LTIP Units (including 480,511 LTIP Units earned by employees under the Company’s multi-year long-term incentive awards granted between 2012 and 2020 (i.e., 2012 OPP and 2013 - 2020 MYLTIP awards)), 349,267 2021 MYLTIP Units, 252,151 2022 MYLTIP Units and 322,053 2023 MYLTIP Units held by parties other than BXP.</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Noncontrolling Interest—Common Units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nine months ended September 30, 2023, 100,422 OP Units were presented by the holders for redemption (including an aggregate of 93,586 OP Units issued upon conversion of LTIP Units, 2012 OPP Units and MYLTIP Units) and were redeemed by BXP in exchange for an equal number of shares of Common Stock.</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September 30, 2023, BPLP had outstanding 349,267 2021 MYLTIP Units, 252,151 2022 MYLTIP Units and 322,053 2023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2021 - 2023 MYLTIP, the Company will make a “catch-up” cash payment on the MYLTIP Units that are ultimately earned in an amount equal to the regular and special dividends, if any, declared during the performance period on Common Stock, less the distributions actually paid during the performance period on all of the awarded 2021 - 2023 MYLTIP Units.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February 3, 2023, the measurement period for the Company’s 2020 MYLTIP awards ended and, based on BXP’s relative TSR performance, the final payout was determined to be 50% of target, or an aggregate of approximately $3.8 million (after giving effect to employee separations). As a result, an aggregate of 152,460 2020 MYLTIP Units that had been previously granted were automatically forfeited.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BPLP’s distributions on the OP Units and LTIP Units (including the 2012 OPP Units, 2013 - 2019 MYLTIP Units and, after the February 3, 2023 measurement date, the 2020 MYLTIP Units) and its distributions on the 2020 MYLTIP Units (prior to the February 3, 2023 measurement date) and 2021 - 2023 MYLTIP Units (after the February 7, 2023 issuance date of the 2023 MYLTIP Units) that occurred during the nine months ended September 30, 2023:</w:t>
      </w:r>
    </w:p>
    <w:tbl>
      <w:tblPr>
        <w:tblW w:w="10205" w:type="dxa"/>
        <w:jc w:val="left"/>
        <w:tblInd w:w="0" w:type="dxa"/>
        <w:tblLayout w:type="fixed"/>
        <w:tblCellMar>
          <w:top w:w="28" w:type="dxa"/>
          <w:left w:w="28" w:type="dxa"/>
          <w:bottom w:w="28" w:type="dxa"/>
          <w:right w:w="28" w:type="dxa"/>
        </w:tblCellMar>
      </w:tblPr>
      <w:tblGrid>
        <w:gridCol w:w="664"/>
        <w:gridCol w:w="584"/>
        <w:gridCol w:w="578"/>
        <w:gridCol w:w="109"/>
        <w:gridCol w:w="109"/>
        <w:gridCol w:w="109"/>
        <w:gridCol w:w="519"/>
        <w:gridCol w:w="519"/>
        <w:gridCol w:w="521"/>
        <w:gridCol w:w="109"/>
        <w:gridCol w:w="109"/>
        <w:gridCol w:w="109"/>
        <w:gridCol w:w="1086"/>
        <w:gridCol w:w="1086"/>
        <w:gridCol w:w="1089"/>
        <w:gridCol w:w="109"/>
        <w:gridCol w:w="109"/>
        <w:gridCol w:w="109"/>
        <w:gridCol w:w="755"/>
        <w:gridCol w:w="753"/>
        <w:gridCol w:w="1070"/>
      </w:tblGrid>
      <w:tr>
        <w:trPr/>
        <w:tc>
          <w:tcPr>
            <w:tcW w:w="6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OP Unit and LTIP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MYLTIP Unit</w:t>
            </w:r>
          </w:p>
        </w:tc>
      </w:tr>
      <w:tr>
        <w:trPr/>
        <w:tc>
          <w:tcPr>
            <w:tcW w:w="1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nine months ended September 30, 2022:</w:t>
      </w:r>
    </w:p>
    <w:tbl>
      <w:tblPr>
        <w:tblW w:w="10205" w:type="dxa"/>
        <w:jc w:val="left"/>
        <w:tblInd w:w="0" w:type="dxa"/>
        <w:tblLayout w:type="fixed"/>
        <w:tblCellMar>
          <w:top w:w="28" w:type="dxa"/>
          <w:left w:w="28" w:type="dxa"/>
          <w:bottom w:w="28" w:type="dxa"/>
          <w:right w:w="28" w:type="dxa"/>
        </w:tblCellMar>
      </w:tblPr>
      <w:tblGrid>
        <w:gridCol w:w="664"/>
        <w:gridCol w:w="584"/>
        <w:gridCol w:w="578"/>
        <w:gridCol w:w="109"/>
        <w:gridCol w:w="109"/>
        <w:gridCol w:w="109"/>
        <w:gridCol w:w="519"/>
        <w:gridCol w:w="519"/>
        <w:gridCol w:w="521"/>
        <w:gridCol w:w="109"/>
        <w:gridCol w:w="109"/>
        <w:gridCol w:w="109"/>
        <w:gridCol w:w="1086"/>
        <w:gridCol w:w="1086"/>
        <w:gridCol w:w="1089"/>
        <w:gridCol w:w="109"/>
        <w:gridCol w:w="109"/>
        <w:gridCol w:w="109"/>
        <w:gridCol w:w="755"/>
        <w:gridCol w:w="753"/>
        <w:gridCol w:w="1070"/>
      </w:tblGrid>
      <w:tr>
        <w:trPr/>
        <w:tc>
          <w:tcPr>
            <w:tcW w:w="6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OP Unit and LTIP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MYLTIP Unit</w:t>
            </w:r>
          </w:p>
        </w:tc>
      </w:tr>
      <w:tr>
        <w:trPr/>
        <w:tc>
          <w:tcPr>
            <w:tcW w:w="1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2013 - 2020 MYLTIP Units), assuming in each case that all conditions had been met for the conversion thereof, had all of such units been redeemed at September 30, 2023 was approximately $1.2 billion based on the last reported price of a share of Common Stock on the New York Stock Exchange of $59.48 per share on September 29, 2023.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Noncontrolling Interests—Property Partnerships</w:t>
      </w:r>
    </w:p>
    <w:p>
      <w:pPr>
        <w:pStyle w:val="TextBody"/>
        <w:bidi w:val="0"/>
        <w:spacing w:lineRule="auto" w:line="288" w:before="100" w:after="283"/>
        <w:ind w:left="0" w:right="0" w:firstLine="495"/>
        <w:jc w:val="left"/>
        <w:rPr/>
      </w:pPr>
      <w:r>
        <w:rPr>
          <w:rFonts w:ascii="Arial;sans-serif" w:hAnsi="Arial;sans-serif"/>
          <w:b w:val="false"/>
          <w:color w:val="000000"/>
          <w:sz w:val="20"/>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$1.6 billion and $1.5 billion a</w:t>
      </w:r>
      <w:r>
        <w:rPr>
          <w:rFonts w:ascii="Arial;sans-serif" w:hAnsi="Arial;sans-serif"/>
          <w:b w:val="false"/>
          <w:color w:val="000000"/>
          <w:sz w:val="20"/>
          <w:shd w:fill="FFFFFF" w:val="clear"/>
        </w:rPr>
        <w:t>t September 30, 2023 and December 31, 2022,</w:t>
      </w:r>
      <w:r>
        <w:rPr>
          <w:color w:val="000000"/>
        </w:rPr>
        <w:t xml:space="preserve"> </w:t>
      </w:r>
      <w:r>
        <w:rPr>
          <w:rFonts w:ascii="Arial;sans-serif" w:hAnsi="Arial;sans-serif"/>
          <w:b w:val="false"/>
          <w:color w:val="000000"/>
          <w:sz w:val="20"/>
        </w:rPr>
        <w:t>respectively, are included in Noncontrolling Interests—Property Partnerships on the accompanying Consolidated Balance Sheets.</w:t>
      </w:r>
    </w:p>
    <w:p>
      <w:pPr>
        <w:pStyle w:val="TextBody"/>
        <w:bidi w:val="0"/>
        <w:spacing w:lineRule="auto" w:line="288" w:before="180" w:after="283"/>
        <w:ind w:left="0" w:right="0" w:firstLine="495"/>
        <w:jc w:val="left"/>
        <w:rPr/>
      </w:pPr>
      <w:r>
        <w:rPr>
          <w:rFonts w:ascii="Arial;sans-serif" w:hAnsi="Arial;sans-serif"/>
          <w:b w:val="false"/>
          <w:color w:val="000000"/>
          <w:sz w:val="20"/>
        </w:rPr>
        <w:t>On July 28, 2023, the Company entered into a joint venture agreement with an institutional investor for the future development of 343 Madison Avenue located on Madison Avenue between 44th and 45th Streets in New York City, New York adjacent to Grand Central Station. Prior to the formation of the joint venture, the Company and the institutional investor were engaged in a collaborative arrangement. The Company owns a 55% interest in the venture and its partner owns a 45% interest, and the Company will provide customary development, property management, and leasing services. The joint venture partner contributed approximately $4.8 million in cash and $17.5 million in improvements and prepaid ground rent for their 45% ownership interest in the joint venture. The Company contributed approximately $5.9 million in cash and $21.4 million in improvements and prepaid ground rent for its 55% ownership interest in the joint venture. The transaction did not qualify as a sale of real estate for financial reporting purposes as the Company continues to effectively control this property and will continue to account for the property on a consolidated basis in its financial statements,</w:t>
      </w:r>
      <w:r>
        <w:rPr>
          <w:color w:val="000000"/>
        </w:rPr>
        <w:t xml:space="preserve"> </w:t>
      </w:r>
      <w:r>
        <w:rPr>
          <w:rFonts w:ascii="Calibri;sans-serif" w:hAnsi="Calibri;sans-serif"/>
          <w:b w:val="false"/>
          <w:color w:val="000000"/>
          <w:sz w:val="22"/>
        </w:rPr>
        <w:t>s</w:t>
      </w:r>
      <w:r>
        <w:rPr>
          <w:rFonts w:ascii="Arial;sans-serif" w:hAnsi="Arial;sans-serif"/>
          <w:b w:val="false"/>
          <w:color w:val="000000"/>
          <w:sz w:val="20"/>
        </w:rPr>
        <w:t xml:space="preserve">ee Note 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10. Stockholders’ Equity / Partners’ Capital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September 30, 2023, BXP had 156,939,180 shares of Common Stock outstanding.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September 30, 2023, BXP owned 1,755,215 general partnership units and 155,183,965 limited partnership units in BPLP.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nine months ended September 30, 2023, BXP did not issue any shares of Common Stock upon the exercise of options to purchase Common Stock. As a result of the applicable exercise period ending, 103,641 options were forfeited during the nine months ended September 30, 2023. As of September 30, 2023, BXP no longer has any outstanding options.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nine months ended September 30, 2023, BXP issued 100,422 shares of Common Stock in connection with the redemption of an equal number of redeemable OP Units from limited partners.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BXP’s dividends per share and BPLP’s distributions per OP Unit and LTIP Unit paid or declared in 2023 and during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8329"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534"/>
        <w:gridCol w:w="534"/>
        <w:gridCol w:w="536"/>
        <w:gridCol w:w="109"/>
        <w:gridCol w:w="109"/>
        <w:gridCol w:w="109"/>
        <w:gridCol w:w="624"/>
        <w:gridCol w:w="624"/>
        <w:gridCol w:w="626"/>
        <w:gridCol w:w="109"/>
        <w:gridCol w:w="109"/>
        <w:gridCol w:w="109"/>
        <w:gridCol w:w="584"/>
        <w:gridCol w:w="584"/>
        <w:gridCol w:w="82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Distribution (Per Unit)</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11. Segment Information </w:t>
      </w:r>
    </w:p>
    <w:p>
      <w:pPr>
        <w:pStyle w:val="TextBody"/>
        <w:bidi w:val="0"/>
        <w:spacing w:lineRule="auto" w:line="288" w:before="100" w:after="283"/>
        <w:ind w:left="0" w:right="0" w:firstLine="495"/>
        <w:jc w:val="left"/>
        <w:rPr/>
      </w:pPr>
      <w:r>
        <w:rPr>
          <w:rFonts w:ascii="Arial;sans-serif" w:hAnsi="Arial;sans-serif"/>
          <w:b w:val="false"/>
          <w:color w:val="000000"/>
          <w:sz w:val="20"/>
          <w:shd w:fill="FFFFFF" w:val="clear"/>
        </w:rPr>
        <w:t>The following tables present reconciliations of Net Income Attributable to Boston Properties, Inc. to the Company’s share of Net Operating Income and Net Income Attributable to Boston Properties Limited Partnership to the Company’s share of Net Operating Income for the three and nine months</w:t>
      </w:r>
      <w:r>
        <w:rPr>
          <w:color w:val="000000"/>
        </w:rPr>
        <w:t xml:space="preserve"> </w:t>
      </w:r>
      <w:r>
        <w:rPr>
          <w:rFonts w:ascii="Arial;sans-serif" w:hAnsi="Arial;sans-serif"/>
          <w:b w:val="false"/>
          <w:color w:val="000000"/>
          <w:sz w:val="20"/>
          <w:shd w:fill="FFFFFF" w:val="clear"/>
        </w:rPr>
        <w:t>ended September 30, 2023 and 2022.</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BXP</w:t>
      </w:r>
    </w:p>
    <w:tbl>
      <w:tblPr>
        <w:tblW w:w="10205" w:type="dxa"/>
        <w:jc w:val="left"/>
        <w:tblInd w:w="0" w:type="dxa"/>
        <w:tblLayout w:type="fixed"/>
        <w:tblCellMar>
          <w:top w:w="28" w:type="dxa"/>
          <w:left w:w="28" w:type="dxa"/>
          <w:bottom w:w="28" w:type="dxa"/>
          <w:right w:w="28" w:type="dxa"/>
        </w:tblCellMar>
      </w:tblPr>
      <w:tblGrid>
        <w:gridCol w:w="1403"/>
        <w:gridCol w:w="1016"/>
        <w:gridCol w:w="1022"/>
        <w:gridCol w:w="109"/>
        <w:gridCol w:w="109"/>
        <w:gridCol w:w="109"/>
        <w:gridCol w:w="220"/>
        <w:gridCol w:w="918"/>
        <w:gridCol w:w="114"/>
        <w:gridCol w:w="114"/>
        <w:gridCol w:w="114"/>
        <w:gridCol w:w="114"/>
        <w:gridCol w:w="220"/>
        <w:gridCol w:w="896"/>
        <w:gridCol w:w="114"/>
        <w:gridCol w:w="109"/>
        <w:gridCol w:w="109"/>
        <w:gridCol w:w="109"/>
        <w:gridCol w:w="211"/>
        <w:gridCol w:w="1024"/>
        <w:gridCol w:w="109"/>
        <w:gridCol w:w="109"/>
        <w:gridCol w:w="109"/>
        <w:gridCol w:w="109"/>
        <w:gridCol w:w="211"/>
        <w:gridCol w:w="1024"/>
        <w:gridCol w:w="109"/>
        <w:gridCol w:w="109"/>
        <w:gridCol w:w="162"/>
      </w:tblGrid>
      <w:tr>
        <w:trPr/>
        <w:tc>
          <w:tcPr>
            <w:tcW w:w="140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271" w:type="dxa"/>
            <w:gridSpan w:val="2"/>
            <w:tcBorders/>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non-real estate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assignment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475,918 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BPLP</w:t>
      </w:r>
    </w:p>
    <w:tbl>
      <w:tblPr>
        <w:tblW w:w="10205" w:type="dxa"/>
        <w:jc w:val="left"/>
        <w:tblInd w:w="0" w:type="dxa"/>
        <w:tblLayout w:type="fixed"/>
        <w:tblCellMar>
          <w:top w:w="28" w:type="dxa"/>
          <w:left w:w="28" w:type="dxa"/>
          <w:bottom w:w="28" w:type="dxa"/>
          <w:right w:w="28" w:type="dxa"/>
        </w:tblCellMar>
      </w:tblPr>
      <w:tblGrid>
        <w:gridCol w:w="1382"/>
        <w:gridCol w:w="1028"/>
        <w:gridCol w:w="1030"/>
        <w:gridCol w:w="109"/>
        <w:gridCol w:w="109"/>
        <w:gridCol w:w="109"/>
        <w:gridCol w:w="220"/>
        <w:gridCol w:w="918"/>
        <w:gridCol w:w="114"/>
        <w:gridCol w:w="114"/>
        <w:gridCol w:w="114"/>
        <w:gridCol w:w="114"/>
        <w:gridCol w:w="220"/>
        <w:gridCol w:w="896"/>
        <w:gridCol w:w="114"/>
        <w:gridCol w:w="109"/>
        <w:gridCol w:w="109"/>
        <w:gridCol w:w="109"/>
        <w:gridCol w:w="211"/>
        <w:gridCol w:w="1024"/>
        <w:gridCol w:w="109"/>
        <w:gridCol w:w="109"/>
        <w:gridCol w:w="109"/>
        <w:gridCol w:w="109"/>
        <w:gridCol w:w="211"/>
        <w:gridCol w:w="1024"/>
        <w:gridCol w:w="109"/>
        <w:gridCol w:w="109"/>
        <w:gridCol w:w="163"/>
      </w:tblGrid>
      <w:tr>
        <w:trPr/>
        <w:tc>
          <w:tcPr>
            <w:tcW w:w="138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272" w:type="dxa"/>
            <w:gridSpan w:val="2"/>
            <w:tcBorders/>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(122,696)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403,578 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non-real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assignment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490,999 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475,918 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operating income (“NOI”) is a non-GAAP financial measure equal to net income (loss) attributable to Boston Properties, Inc. and net income (loss) attributable to Boston Properties Limited Partnership, as applicable, the most directly comparable GAAP financial measures, plus (1) net income (loss) attributable to noncontrolling interests, interest expense, loss from unconsolidated joint ventures, depreciation and amortization expense, transaction costs, payroll and related costs from management services contracts and corporate general and administrative expense less (2) unrealized gain (loss) on non-real estate investment, gains (losses) from investments in securities, other income - assignment fee, interest and other income (loss), gains on sales of real estate,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(loss) attributable to Boston Properties, Inc. and net income (loss)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internal reporting utilizes its share of NOI, which includes its share of NOI from consolidated and unconsolidated joint ventures, which is a non-GAAP financial measure that is calculated as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as defined above, also does not include its share of losses from early extinguishment of debt from unconsolidated joint ventures, unrealized gain on derivative instruments, gain on investment, and impairment losses on investments, all of which are included within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Asset information by segment is not reported because the Company does not use this measure to assess performance. Therefore, depreciation and amortization expense is not allocated among segments. Interest expense, loss from unconsolidated joint ventures, depreciation and amortization expense, transaction costs, payroll and related costs from management services contracts, corporate general and administrative expense, unrealized gain (loss) on non-real estate investment, gains (losses) from investments in securities, other income - assignment fee, interest and other income (loss), gains on sales of real estate, direct reimbursements of payroll and related costs from management services contracts and development and management services revenue are not included in NOI and are provided as reconciling items to the Company’s reconciliations of its share of NOI to net income.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Company’s segments are based on the Company’s method of internal reporting which classifies its operations by geographic area. The Company’s segments by geographic area are Boston, Los Angeles, New York, San Francisco, Seattle and Washington, DC. The Company also presents information for each segment by property type, including Premier Workplace (which includes office, life sciences and retail), Residential and Hotel.</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Information by geographic area and property type (dollars in thousands):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September 30, 2023:</w:t>
      </w:r>
    </w:p>
    <w:tbl>
      <w:tblPr>
        <w:tblW w:w="12229" w:type="dxa"/>
        <w:jc w:val="left"/>
        <w:tblInd w:w="0" w:type="dxa"/>
        <w:tblLayout w:type="fixed"/>
        <w:tblCellMar>
          <w:top w:w="28" w:type="dxa"/>
          <w:left w:w="28" w:type="dxa"/>
          <w:bottom w:w="28" w:type="dxa"/>
          <w:right w:w="28" w:type="dxa"/>
        </w:tblCellMar>
      </w:tblPr>
      <w:tblGrid>
        <w:gridCol w:w="769"/>
        <w:gridCol w:w="319"/>
        <w:gridCol w:w="29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 (1)</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785,820 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811,093 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(50,047)</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39,165 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September 30, 2022:</w:t>
      </w:r>
    </w:p>
    <w:tbl>
      <w:tblPr>
        <w:tblW w:w="12229" w:type="dxa"/>
        <w:jc w:val="left"/>
        <w:tblInd w:w="0" w:type="dxa"/>
        <w:tblLayout w:type="fixed"/>
        <w:tblCellMar>
          <w:top w:w="28" w:type="dxa"/>
          <w:left w:w="28" w:type="dxa"/>
          <w:bottom w:w="28" w:type="dxa"/>
          <w:right w:w="28" w:type="dxa"/>
        </w:tblCellMar>
      </w:tblPr>
      <w:tblGrid>
        <w:gridCol w:w="769"/>
        <w:gridCol w:w="319"/>
        <w:gridCol w:w="29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 (1)</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753,069 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779,158 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(48,306)</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35,316 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475,918 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Information by geographic area and property type (dollars in thousands):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nine months ended September 30, 2023:</w:t>
      </w:r>
    </w:p>
    <w:tbl>
      <w:tblPr>
        <w:tblW w:w="12484" w:type="dxa"/>
        <w:jc w:val="left"/>
        <w:tblInd w:w="0" w:type="dxa"/>
        <w:tblLayout w:type="fixed"/>
        <w:tblCellMar>
          <w:top w:w="28" w:type="dxa"/>
          <w:left w:w="28" w:type="dxa"/>
          <w:bottom w:w="28" w:type="dxa"/>
          <w:right w:w="28" w:type="dxa"/>
        </w:tblCellMar>
      </w:tblPr>
      <w:tblGrid>
        <w:gridCol w:w="769"/>
        <w:gridCol w:w="319"/>
        <w:gridCol w:w="29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97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 (1)</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2,331,442 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863,493 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2,402,764 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865,552 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906,388 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541,855 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476,956 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1,496,376 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(145,102)</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122,175 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533,203 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1,473,449 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nine months ended September 30, 2022:</w:t>
      </w:r>
    </w:p>
    <w:tbl>
      <w:tblPr>
        <w:tblW w:w="12672" w:type="dxa"/>
        <w:jc w:val="left"/>
        <w:tblInd w:w="0" w:type="dxa"/>
        <w:tblLayout w:type="fixed"/>
        <w:tblCellMar>
          <w:top w:w="28" w:type="dxa"/>
          <w:left w:w="28" w:type="dxa"/>
          <w:bottom w:w="28" w:type="dxa"/>
          <w:right w:w="28" w:type="dxa"/>
        </w:tblCellMar>
      </w:tblPr>
      <w:tblGrid>
        <w:gridCol w:w="769"/>
        <w:gridCol w:w="319"/>
        <w:gridCol w:w="29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203"/>
        <w:gridCol w:w="203"/>
        <w:gridCol w:w="109"/>
        <w:gridCol w:w="211"/>
        <w:gridCol w:w="826"/>
        <w:gridCol w:w="271"/>
        <w:gridCol w:w="109"/>
        <w:gridCol w:w="109"/>
        <w:gridCol w:w="109"/>
        <w:gridCol w:w="211"/>
        <w:gridCol w:w="97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 (1)</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772,060 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2,215,290 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2,287,903 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802,531 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1,442,266 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(143,223)</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108,347 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1,407,390 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12. Earnings Per Share / Common Unit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provides a reconciliation of both the net income (loss) attributable to Boston Properties, Inc. and the number of common shares used in the computation of basic earnings per share (“EPS”), which is calculated by dividing net income (loss) attributable to Boston Properties, Inc.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2013 - 2020 MYLTIP Units required, and the 2021 - 2023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014" w:type="dxa"/>
        <w:jc w:val="left"/>
        <w:tblInd w:w="0" w:type="dxa"/>
        <w:tblLayout w:type="fixed"/>
        <w:tblCellMar>
          <w:top w:w="28" w:type="dxa"/>
          <w:left w:w="28" w:type="dxa"/>
          <w:bottom w:w="28" w:type="dxa"/>
          <w:right w:w="28" w:type="dxa"/>
        </w:tblCellMar>
      </w:tblPr>
      <w:tblGrid>
        <w:gridCol w:w="1956"/>
        <w:gridCol w:w="1719"/>
        <w:gridCol w:w="1725"/>
        <w:gridCol w:w="242"/>
        <w:gridCol w:w="1053"/>
        <w:gridCol w:w="125"/>
        <w:gridCol w:w="125"/>
        <w:gridCol w:w="125"/>
        <w:gridCol w:w="125"/>
        <w:gridCol w:w="444"/>
        <w:gridCol w:w="444"/>
        <w:gridCol w:w="446"/>
        <w:gridCol w:w="125"/>
        <w:gridCol w:w="125"/>
        <w:gridCol w:w="125"/>
        <w:gridCol w:w="242"/>
        <w:gridCol w:w="691"/>
        <w:gridCol w:w="177"/>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2023</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br/>
              <w:t>(Denominator)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Share</w:t>
              <w:br/>
              <w:t>Amount</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share amounts)</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Boston Properties, Inc.</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Boston Properties, Inc.</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2022</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br/>
              <w:t>(Denominator)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Share</w:t>
              <w:br/>
              <w:t>Amount</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share amounts)</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Inc.</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156,754 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156,754 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157,133 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79" w:type="dxa"/>
        <w:jc w:val="left"/>
        <w:tblInd w:w="0" w:type="dxa"/>
        <w:tblLayout w:type="fixed"/>
        <w:tblCellMar>
          <w:top w:w="28" w:type="dxa"/>
          <w:left w:w="28" w:type="dxa"/>
          <w:bottom w:w="28" w:type="dxa"/>
          <w:right w:w="28" w:type="dxa"/>
        </w:tblCellMar>
      </w:tblPr>
      <w:tblGrid>
        <w:gridCol w:w="1625"/>
        <w:gridCol w:w="1427"/>
        <w:gridCol w:w="1433"/>
        <w:gridCol w:w="253"/>
        <w:gridCol w:w="902"/>
        <w:gridCol w:w="131"/>
        <w:gridCol w:w="131"/>
        <w:gridCol w:w="131"/>
        <w:gridCol w:w="131"/>
        <w:gridCol w:w="444"/>
        <w:gridCol w:w="444"/>
        <w:gridCol w:w="446"/>
        <w:gridCol w:w="131"/>
        <w:gridCol w:w="131"/>
        <w:gridCol w:w="131"/>
        <w:gridCol w:w="253"/>
        <w:gridCol w:w="650"/>
        <w:gridCol w:w="185"/>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2023</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br/>
              <w:t>(Denominator)</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Share</w:t>
              <w:br/>
              <w:t>Amount</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share amounts)</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156,837 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157,177 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9902" w:type="dxa"/>
        <w:jc w:val="left"/>
        <w:tblInd w:w="0" w:type="dxa"/>
        <w:tblLayout w:type="fixed"/>
        <w:tblCellMar>
          <w:top w:w="28" w:type="dxa"/>
          <w:left w:w="28" w:type="dxa"/>
          <w:bottom w:w="28" w:type="dxa"/>
          <w:right w:w="28" w:type="dxa"/>
        </w:tblCellMar>
      </w:tblPr>
      <w:tblGrid>
        <w:gridCol w:w="1956"/>
        <w:gridCol w:w="1718"/>
        <w:gridCol w:w="1725"/>
        <w:gridCol w:w="244"/>
        <w:gridCol w:w="993"/>
        <w:gridCol w:w="126"/>
        <w:gridCol w:w="126"/>
        <w:gridCol w:w="126"/>
        <w:gridCol w:w="126"/>
        <w:gridCol w:w="444"/>
        <w:gridCol w:w="444"/>
        <w:gridCol w:w="446"/>
        <w:gridCol w:w="126"/>
        <w:gridCol w:w="126"/>
        <w:gridCol w:w="126"/>
        <w:gridCol w:w="244"/>
        <w:gridCol w:w="628"/>
        <w:gridCol w:w="178"/>
      </w:tblGrid>
      <w:tr>
        <w:trPr/>
        <w:tc>
          <w:tcPr>
            <w:tcW w:w="195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2022</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br/>
              <w:t>(Denominator)</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Share</w:t>
              <w:br/>
              <w:t>Amount</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share amounts)</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156,708 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726,142 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156,708 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726,142 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157,144 </w:t>
            </w:r>
          </w:p>
        </w:tc>
        <w:tc>
          <w:tcPr>
            <w:tcW w:w="4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140" w:type="dxa"/>
            <w:gridSpan w:val="12"/>
            <w:tcBorders/>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140" w:type="dxa"/>
            <w:gridSpan w:val="12"/>
            <w:tcBorders/>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provides a reconciliation of both the net income (loss) attributable to Boston Properties Limited Partnership and the number of common units used in the computation of basic earnings per common unit, which is calculated by dividing net income (loss) attributable to Boston Properties Limited Partnership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2013 - 2020 MYLTIP Units required, and the 2021 - 2023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18,002,000 and 17,662,000 redeemable common units for the three months ended September 30, 2023 and 2022, respectively, and 17,928,000 and 17,631,000 redeemable common units for the nine months ended September 30, 2023 and 2022, respectively.</w:t>
      </w:r>
    </w:p>
    <w:tbl>
      <w:tblPr>
        <w:tblW w:w="10205" w:type="dxa"/>
        <w:jc w:val="left"/>
        <w:tblInd w:w="0" w:type="dxa"/>
        <w:tblLayout w:type="fixed"/>
        <w:tblCellMar>
          <w:top w:w="28" w:type="dxa"/>
          <w:left w:w="28" w:type="dxa"/>
          <w:bottom w:w="28" w:type="dxa"/>
          <w:right w:w="28" w:type="dxa"/>
        </w:tblCellMar>
      </w:tblPr>
      <w:tblGrid>
        <w:gridCol w:w="2072"/>
        <w:gridCol w:w="1790"/>
        <w:gridCol w:w="1797"/>
        <w:gridCol w:w="238"/>
        <w:gridCol w:w="1029"/>
        <w:gridCol w:w="123"/>
        <w:gridCol w:w="123"/>
        <w:gridCol w:w="123"/>
        <w:gridCol w:w="123"/>
        <w:gridCol w:w="442"/>
        <w:gridCol w:w="441"/>
        <w:gridCol w:w="443"/>
        <w:gridCol w:w="123"/>
        <w:gridCol w:w="123"/>
        <w:gridCol w:w="123"/>
        <w:gridCol w:w="238"/>
        <w:gridCol w:w="673"/>
        <w:gridCol w:w="181"/>
      </w:tblGrid>
      <w:tr>
        <w:trPr/>
        <w:tc>
          <w:tcPr>
            <w:tcW w:w="2072"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2023</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Units</w:t>
              <w:br/>
              <w:t>(Denominator)</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Unit</w:t>
              <w:br/>
              <w:t>Amount</w:t>
            </w:r>
          </w:p>
        </w:tc>
      </w:tr>
      <w:tr>
        <w:trPr/>
        <w:tc>
          <w:tcPr>
            <w:tcW w:w="5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unit amounts)</w:t>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Boston Properties Limited Partnership</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174,882 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Boston Properties Limited Partnership</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174,882 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2043"/>
        <w:gridCol w:w="1785"/>
        <w:gridCol w:w="1793"/>
        <w:gridCol w:w="250"/>
        <w:gridCol w:w="1017"/>
        <w:gridCol w:w="129"/>
        <w:gridCol w:w="129"/>
        <w:gridCol w:w="129"/>
        <w:gridCol w:w="129"/>
        <w:gridCol w:w="443"/>
        <w:gridCol w:w="443"/>
        <w:gridCol w:w="445"/>
        <w:gridCol w:w="129"/>
        <w:gridCol w:w="129"/>
        <w:gridCol w:w="129"/>
        <w:gridCol w:w="250"/>
        <w:gridCol w:w="642"/>
        <w:gridCol w:w="191"/>
      </w:tblGrid>
      <w:tr>
        <w:trPr/>
        <w:tc>
          <w:tcPr>
            <w:tcW w:w="204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2022</w:t>
            </w:r>
          </w:p>
        </w:tc>
      </w:tr>
      <w:tr>
        <w:trPr/>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Units</w:t>
              <w:br/>
              <w:t>(Denominator)</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Unit</w:t>
              <w:br/>
              <w:t>Amount</w:t>
            </w:r>
          </w:p>
        </w:tc>
      </w:tr>
      <w:tr>
        <w:trPr/>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unit amounts)</w:t>
            </w:r>
          </w:p>
        </w:tc>
      </w:tr>
      <w:tr>
        <w:trP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Limited Partnership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403,578 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174,416 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402,730 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174,416 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2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402,730 </w:t>
            </w:r>
          </w:p>
        </w:tc>
        <w:tc>
          <w:tcPr>
            <w:tcW w:w="1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174,795 </w:t>
            </w:r>
          </w:p>
        </w:tc>
        <w:tc>
          <w:tcPr>
            <w:tcW w:w="4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21"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1"/>
        <w:gridCol w:w="1814"/>
        <w:gridCol w:w="1822"/>
        <w:gridCol w:w="243"/>
        <w:gridCol w:w="991"/>
        <w:gridCol w:w="125"/>
        <w:gridCol w:w="125"/>
        <w:gridCol w:w="125"/>
        <w:gridCol w:w="125"/>
        <w:gridCol w:w="443"/>
        <w:gridCol w:w="443"/>
        <w:gridCol w:w="445"/>
        <w:gridCol w:w="125"/>
        <w:gridCol w:w="125"/>
        <w:gridCol w:w="125"/>
        <w:gridCol w:w="243"/>
        <w:gridCol w:w="626"/>
        <w:gridCol w:w="189"/>
      </w:tblGrid>
      <w:tr>
        <w:trPr/>
        <w:tc>
          <w:tcPr>
            <w:tcW w:w="207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2023</w:t>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Units</w:t>
              <w:br/>
              <w:t>(Denominator)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Unit</w:t>
              <w:br/>
              <w:t>Amount</w:t>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unit amounts)</w:t>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Limited Partnership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174,765 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175,105 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2022</w:t>
            </w:r>
          </w:p>
        </w:tc>
      </w:tr>
      <w:tr>
        <w:trPr/>
        <w:tc>
          <w:tcPr>
            <w:tcW w:w="5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Units</w:t>
              <w:br/>
              <w:t>(Denominator)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 Unit</w:t>
              <w:br/>
              <w:t>Amount</w:t>
            </w:r>
          </w:p>
        </w:tc>
      </w:tr>
      <w:tr>
        <w:trPr/>
        <w:tc>
          <w:tcPr>
            <w:tcW w:w="5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unit amounts)</w:t>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Limited Partnership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819,195 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174,339 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Limited Partnership </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818,080 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174,339 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Limited Partnership </w:t>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818,080 </w:t>
            </w:r>
          </w:p>
        </w:tc>
        <w:tc>
          <w:tcPr>
            <w:tcW w:w="1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174,775 </w:t>
            </w:r>
          </w:p>
        </w:tc>
        <w:tc>
          <w:tcPr>
            <w:tcW w:w="4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139" w:type="dxa"/>
            <w:gridSpan w:val="12"/>
            <w:tcBorders/>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139" w:type="dxa"/>
            <w:gridSpan w:val="12"/>
            <w:tcBorders/>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13. Stock Option and Incentive Plan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January 25, 2023, BXP’s Compensation Committee approved the grant of 2023 MYLTIP awards under the Boston Properties, Inc. 2021 Stock Incentive Plan (the “2021 Plan”) to certain executive officers of BXP, effective February 7, 2023. The 2023 MYLTIP awards consist of two, equally weighted (50% each) components that utilize BXP’s TSR over a three-year measurement period as the performance metric.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Total earned awards under the 2023 MYLTIP, if any, will equal the sum of the number of LTIP Units earned under the first and second components and will range from zero to a maximum of 322,053 LTIP Units with a target of approximately 161,026 LTIP Units and linear interpolation between zero and maximum. Earned awards (if any) will vest 100% on February 6, 2026, but, in general, may not be converted, redeemed, sold or otherwise transferred for one additional year thereafter. The 2023 MYLTIP awards are in the form of LTIP Units issued on the grant date, and they are subject to forfeiture to the extent awards are not earned. Prior to the performance measurement date holders of the 2023 MYLTIP Units are only entitled to one-tenth (10%) of the regular quarterly distributions payable on common partnership units. Following the completion of the three-year performance period, the Company will also make a “catch-up” cash payment on the 2023 MYLTIP Units that are ultimately earned in an amount equal to the regular and special distributions, if any, declared during the performance period on BXP’s Common Stock, less the distributions actually paid to holders of 2023 MYLTIP Units during the performance period on all of the awarded 2023 MYLTIP Units. Under ASC 718 “Compensation - Stock Compensation,” the 2023 MYLTIP awards have an aggregate value of approximately $13.1 million, which amount will generally be amortized into earnings under the graded vesting method.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February 3, 2023, the measurement period for the Company’s 2020 MYLTIP awards ended and, based on BXP’s relative TSR performance, the final payout was determined to be 50% of target, or an aggregate of approximately $3.8 million (after giving effect to employee separations). As a result, an aggregate of 152,460 2020 MYLTIP Units that had been previously granted were automatically forfeited.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nine months ended September 30, 2023, BXP issued 73,414 shares of restricted common stock and BPLP issued 430,824 LTIP Units and 322,053 2023 MYLTIP Units to employees and non-employee directors under the 2021 Plan. Employees and non-employee directors paid $0.01 per share of restricted common stock and $0.25 per LTIP Unit and 2023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 granted during the nine months ended September 30, 2023 were valued at approximately $5.4 million. The LTIP Units granted were valued at approximately $29.4 million using a Monte Carlo simulation method model. Because the 2012 OPP Units and 2013 - 2023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 $4.8 million and $7.7 million for the three months ended September 30, 2023 and 2022, respectively, and $45.7 million and $43.2 million for the nine months ended September 30, 2023 and 2022, respectively. At September 30, 2023, there was (1) an aggregate of approximately $25.1 million of unrecognized compensation expense related to unvested restricted stock, LTIP Units and 2020 MYLTIP Units and (2) an aggregate of approximately $0.5 million of unrecognized compensation expense related to unvested 2021 - 2023 MYLTIP Units that is expected to be recognized over a weighted-average period of approximately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14. Subsequent Events </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On October 2, 2023, step two of the Metropolitan Square restructuring (See Note 5 for a description of step one) was completed and included (i) the sale of the property and assignment of the Senior Loan to the new owner, and (ii) the closing of the New Mezz Loan with a maximum principal amount of $100.0 million that is senior to the Existing Mezz Loan and subordinate only to the Senior Loan. The New Mezz Loan may be drawn upon for future lease-up, operating and other costs on an as needed basis, and amounts borrowed will bear interest at a per annum rate of 12%, compounded monthly. The Company will fund 20%, or up to $20.0 million, of any amounts borrowed under the New Mezz Loan. In addition, the Company will continue to provide property management and leasing services to the property with the potential to earn additional incentive fees. Metropolitan Square is an approximately 657,000 square foot premier workplace located at 655 15th Street, NW in the heart of downtown Washington, DC.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On October 26, 2023, the Company closed on a mortgage loan collateralized by its 325 Main Street, 355 Main Street, 90 Broadway and Cambridge East Garage (also known as Kendall Center Green Garage) properties located in Cambridge, Massachusetts. The mortgage loan, totaling $600 million, requires interest-only payments at Daily Compounded SOFR plus 2.25% per annum until maturity on October 26, 2028.</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November 4, 2023, the Company entered into an Amended and Restated Employment Agreement with Owen D. Thomas. For additional information, see Part II, Item 5(a) of this From 10-Q.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On November 6, 2023, WeWork Inc. and certain of its direct and indirect subsidiaries (collectively, “WeWork”) filed voluntary petitions to commence proceedings under Chapter 11 of title 11 of the United States Code in the United States Bankruptcy Court for the District of New Jersey. WeWork is a tenant at five of the Company’s premier workplaces and leases an aggregate of approximately 493,000 square feet, approximately 0.97% of the Company’s in-service portfolio. There can be no assurance that WeWork will not reject one or more of the five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2—Management’s Discussion and Analysis of Financial Condition and Results of Operations.</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discussion should be read in conjunction with the financial statements and notes thereto appearing elsewhere in this report.</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most significant factors that may cause actual results to differ materially from those expressed or implied by the forward-looking statements include the risks and uncertainties related to the impact of changes in general economic and capital market conditions, including continued inflation, increasing interest rates, supply chain disruptions, labor market disruptions, dislocation and volatility in capital markets, and potential longer-term changes in consumer and client behavior resulting from the severity and duration of any downturn in the U.S. or global economy, sustained changes in client preferences and space utilization, as well as the other important factors below and the risks described in (i) our Annual Report on Form 10-K for the fiscal year ended December 31, 2022 including those described under the caption “Risk Factors,” (ii) our Quarterly Report on Form 10-Q for the fiscal quarters ended March 31, 2023 and June 30, 2023, (iii) our subsequent filings under the Exchange Act and (iv) the risk factors set forth in this Form 10-Q in Part II, Item 1A, if any.</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Some of the risks and uncertainties that may cause our actual results, performance or achievements to differ materially from those expressed or implied by forward-looking statements include, among others, the following:</w:t>
      </w:r>
    </w:p>
    <w:p>
      <w:pPr>
        <w:pStyle w:val="TextBody"/>
        <w:bidi w:val="0"/>
        <w:spacing w:lineRule="auto" w:line="288" w:before="100" w:after="283"/>
        <w:ind w:left="0" w:right="0" w:hanging="720"/>
        <w:jc w:val="left"/>
        <w:rPr/>
      </w:pPr>
      <w:r>
        <w:rPr>
          <w:color w:val="000000"/>
        </w:rPr>
        <w:t>•</w:t>
      </w:r>
      <w:r>
        <w:rPr>
          <w:rFonts w:ascii="Arial;sans-serif" w:hAnsi="Arial;sans-serif"/>
          <w:b w:val="false"/>
          <w:color w:val="000000"/>
          <w:sz w:val="20"/>
        </w:rPr>
        <w:t>volatile or adverse global economic and geopolitical conditions, health crises, dislocations in the credit markets and potential financial contagion from recent or future failures of banking institutions could adversely affect economic conditions and/or restrict our access to cost-effective capital, which could have a material adverse effect on our business opportunities, results of operations and financial condition;</w:t>
      </w:r>
    </w:p>
    <w:p>
      <w:pPr>
        <w:pStyle w:val="TextBody"/>
        <w:bidi w:val="0"/>
        <w:spacing w:lineRule="auto" w:line="288" w:before="120" w:after="283"/>
        <w:ind w:left="0" w:right="0" w:hanging="720"/>
        <w:jc w:val="left"/>
        <w:rPr/>
      </w:pPr>
      <w:r>
        <w:rPr>
          <w:color w:val="000000"/>
          <w:shd w:fill="FFFFFF" w:val="clear"/>
        </w:rPr>
        <w:t>•</w:t>
      </w:r>
      <w:r>
        <w:rPr>
          <w:rFonts w:ascii="Arial;sans-serif" w:hAnsi="Arial;sans-serif"/>
          <w:b w:val="false"/>
          <w:color w:val="000000"/>
          <w:sz w:val="20"/>
        </w:rPr>
        <w:t>general risks affecting the real estate industry (including, without limitation, the inability to enter into or renew leases, changes in client preferences and space utilization, dependence on clients’ financial condition, and competition from other developers, owners and operators of real estate);</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the impact of geopolitical conflicts; </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the immediate and long-term impact of the outbreak of a highly infectious or contagious disease on our and our clients’ financial condition, results of operations and cash flows (including the impact of actions taken to contain the outbreak or mitigate its impact, the direct and indirect economic effects of the outbreak and containment measures on our clients, and the ability of our clients to successfully operate their businesses); </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failure to manage effectively our growth and expansion into new markets and sub-markets or to integrate acquisitions and developments successfully;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the ability of our joint venture partners to satisfy their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20" w:after="283"/>
        <w:ind w:left="0" w:right="0" w:hanging="720"/>
        <w:jc w:val="left"/>
        <w:rPr/>
      </w:pPr>
      <w:r>
        <w:rPr>
          <w:color w:val="000000"/>
          <w:shd w:fill="FFFFFF" w:val="clear"/>
        </w:rPr>
        <w:t>•</w:t>
      </w:r>
      <w:r>
        <w:rPr>
          <w:rFonts w:ascii="Arial;sans-serif" w:hAnsi="Arial;sans-serif"/>
          <w:b w:val="false"/>
          <w:color w:val="000000"/>
          <w:sz w:val="20"/>
        </w:rPr>
        <w:t>risks and uncertainties affecting property development and construction (including, without limitation, continued inflation, supply chain disruptions, labor shortages, construction delays, increased construction costs, cost overruns, inability to obtain necessary permits, client accounting considerations that may result in negotiated lease provisions that limit a client’s liability during construction, and public opposition to such activities);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the availability and terms of financing and the use of debt to fund acquisitions and developments or refinance existing indebtedness, including the impact of higher interest rates on the cost and/or availability of financing;</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forward interest rate contracts and derivatives and the effectiveness of such arrangements;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actual or threatened terrorist attacks;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costs of compliance with the Americans with Disabilities Act and other similar laws;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potential liability for uninsured losses and environmental contamination;</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climate change and severe weather events, as well as the regulatory efforts intended to reduce the effects of climate change;</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risks associated with security breaches through cyber attacks, cyber intrusions or otherwise, as well as other significant disruptions of our information technology (IT) networks and related systems, which support our operations and our buildings; </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BXP’s potential failure to qualify as a REIT under the Internal Revenue Code of 1986, as amended;</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possible adverse changes in tax and environmental laws;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the impact of newly adopted accounting principles on our accounting policies and on period-to-period comparisons of financial results;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possible state and local tax audits; and</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risks associated with our dependence on key personnel whose continued service is not guaranteed.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BXP is one of the largest publicly traded office real estate investment trusts (REITs) (based on total market capitalization as of September 30, 2023) in the U.S. that develops, owns, and manages primarily premier workplaces. Our properties are concentrated in six dynamic gateway markets in the U.S.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improvements, free rent periods and other landlord concessions, anticipated operating expenses and real estate taxes, current and anticipated vacancy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properties and the market overall (including sublease space), current and expected future demand for the space, the impact of other clients’ expansion rights, and general economic factors.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core strategy has always been to develop, acquire and manage premier workplaces in gateway markets with high barriers-to-entry and attractive demand drivers, and to focus on executing long-term leases with financially strong clients. Our client base is diverse across market sectors. As of September 30, 2023, the weighted-average remaining lease term for our in-place leases based on square feet, including those signed by our unconsolidated joint ventures but excluding residential units, was approximately 7.6 years. The weighted-average remaining lease term for our 20 largest clients, based on leased square footage, was approximately 10.5 years as of September 30, 2023. </w:t>
      </w:r>
    </w:p>
    <w:p>
      <w:pPr>
        <w:pStyle w:val="TextBody"/>
        <w:bidi w:val="0"/>
        <w:spacing w:lineRule="auto" w:line="288" w:before="180" w:after="283"/>
        <w:ind w:left="0" w:right="0" w:firstLine="450"/>
        <w:jc w:val="left"/>
        <w:rPr/>
      </w:pPr>
      <w:r>
        <w:rPr>
          <w:rFonts w:ascii="Arial;sans-serif" w:hAnsi="Arial;sans-serif"/>
          <w:b w:val="false"/>
          <w:color w:val="000000"/>
          <w:sz w:val="20"/>
        </w:rPr>
        <w:t>To be successful in any leasing environment, we believe we must consider all aspects of the client-landlord relationship.</w:t>
      </w:r>
      <w:r>
        <w:rPr>
          <w:color w:val="000000"/>
        </w:rPr>
        <w:t xml:space="preserve"> </w:t>
      </w:r>
      <w:r>
        <w:rPr>
          <w:rFonts w:ascii="Arial;sans-serif" w:hAnsi="Arial;sans-serif"/>
          <w:b w:val="false"/>
          <w:color w:val="000000"/>
          <w:sz w:val="20"/>
        </w:rPr>
        <w:t>In this regard, we believe that our competitive leasing advantage is based on the following attributes: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understanding of our client’s short- and long-term space utilization and amenity needs in the local markets;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our track record of developing and operating premier workplaces in a sustainable and responsible manner;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reputation as a high-quality developer, owner and manager of premier workplaces in our markets;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financial strength and our ability to maintain high building standards;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relationships with local brokers.</w:t>
      </w:r>
    </w:p>
    <w:p>
      <w:pPr>
        <w:pStyle w:val="TextBody"/>
        <w:bidi w:val="0"/>
        <w:spacing w:lineRule="auto" w:line="288" w:before="300" w:after="283"/>
        <w:ind w:left="0" w:right="0" w:firstLine="450"/>
        <w:jc w:val="left"/>
        <w:rPr>
          <w:rFonts w:ascii="Arial;sans-serif" w:hAnsi="Arial;sans-serif"/>
          <w:b w:val="false"/>
          <w:i/>
          <w:color w:val="000000"/>
          <w:sz w:val="20"/>
        </w:rPr>
      </w:pPr>
      <w:r>
        <w:rPr>
          <w:rFonts w:ascii="Arial;sans-serif" w:hAnsi="Arial;sans-serif"/>
          <w:b w:val="false"/>
          <w:i/>
          <w:color w:val="000000"/>
          <w:sz w:val="20"/>
        </w:rPr>
        <w:t>Outlook</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Despite the Federal Reserve having increased the discount rate to 5.25% and the 10-year U.S. Treasury having risen nearly 3% since March 2022, the U.S. economy’s headline statistics remain stable with GDP growth at 4.9% in the third quarter, 150,000 jobs created in October, and the unemployment rate slightly increased to 3.9%. However, this economic picture may not accurately reflect the market tone and operating environment for many of our clients. Assuming forecasts for negative earnings growth in the third quarter are accurate, the S&amp;P 500 annual earnings growth has been negative for the last four quarters. We believe much of the recent strength in the GDP has been consumption related, and job creation has been in the leisure and hospitality, healthcare, education, and government sectors; not the office using sectors, such as information and financial services. Our clients are corporations that actively manage their headcount and operating expenses in times of weak or negative earnings growth. As a result, they are taking more time to make leasing decisions, leasing less space, offering space they have for sublease or taking a combination of one or more of the foregoing actions. This has contributed to the slower leasing volume in 2023 compared to last year. Although remote work continues to be a factor, we believe economic conditions are the primary driver of our slower leasing activity in 2023, and we expect leasing activity will rebound when earnings growth returns.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believe the sentiment surrounding return-to-office and the effects on office buildings is worse than the reality of what BXP is experiencing. We continue to be encouraged with the return-to-office trajectory we are experiencing in our buildings as well as the commentary and actions of many of our clients with respect to their in-person work policies. Several large companies have notified their employees that their attendance in office will be included in performance reviews and that employees who already have received approval for remote work may now have that status reevaluated. A primary tool used by companies to increase attendance is to provide modern workspaces with amenities in an easily commutable location, the definition of a premier workplace. As a result, the premier workplace segment, which we operate in, continues to outperform the broader office market, in both vacancy and net absorption, as companies see an opportunity to upgrade their workplaces as a method of attracting their workforces back to the office and recruiting new employees.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Throughout our portfolio, there has been a slow but steady increase in the number of unique occupants that are in our offices each month. As of mid-October 2023, building-census data (based on turnstile information available for approximately half of our portfolio) and space utilization data indicate that our clients are indeed using their spaces at least multiple days a week (primarily Tuesday through Thursday). We believe this data, coupled with continued efforts from employers to implement mandatory in-office policies, makes it challenging for clients to reduce space.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evolving operating environment impacts various aspects of our operating activities 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labor market conditions shift, resulting in increasing employer demands for mandatory in-person workdays;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volatility in the capital markets, have driven companies to be more reticent in capital outlays, including capital required for leasing new space;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our capital costs have increased due to higher interest rates and credit spreads, and private market debt financing, both for construction and existing assets, is significantly more challenging to arrange;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construction costs have increased and, although most of the cost for our active development pipeline is fixed, the cost of potential future construction activity continues to increase.</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In light of the foregoing, we believe we continue to position BXP for success, notwithstanding the uncertain trajectory of the U.S. and global economies, by increasing liquidity, managing our leverage, pursuing additional capital raising opportunities and maintaining discipline in discretionary capital expenditures, while continuing to selectively invest (including through both acquisitions and developments) in premier workplace opportunities. We remain focused on the following strategies: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continuing to embrace our leadership position in the premier workplace segment and leveraging our strength in portfolio quality, client relationships, development skills, market penetration and sustainability to profitably build market share. Premier workplaces, the preferred choice for our current and prospective clients, are gaining market share compared to general office space and continue to demonstrate the highest occupancy, net absorption levels and rental rates in the central business districts (“CBDs”) in markets where we operate;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leasing available space in our in-service and development properties, as well as proactively focusing on future lease expirations;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completing the construction and leasing of our development properties;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pursuing attractive asset class adjacencies where we have a track record of success, such as life sciences and residential development;</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continuing to raise the bar in the quality of our portfolio and actively recycling capital by selling assets, subject to market conditions, which have been, and may continue to be, negatively impacted by a slowdown in the capital markets and the limited availability of private market debt financing;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actively managing our operations in a sustainable and responsible manner;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prioritizing risk management by actively managing liquidity, investing more extensively with joint venture partners to manage our debt levels, and being highly selective in new investment commitments.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is an overview of leasing and investment activity in the third quarter of 2023 and recent business highlights.</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Leasing Activity and Occupancy</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the third quarter of 2023, we signed a total of approximately 1.06 million square feet of leases with a weighted-average lease term of approximately 8.2 years. This is the second consecutive quarter that leasing has increased, underscoring the demand for premier workplaces, despite the challenging market.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overall occupancy of our in-service premier workplace and retail properties was 88.8% at September 30, 2023, an increase of 50 basis points from June 30, 2023. We define occupancy as space with signed leases for which revenue recognition has commenced in accordance with GAAP. Including vacant space for which we have signed leases that have not yet commenced in accordance with GAAP, our in-service premier workplace and retail properties were approximately 90.4% leased at September 30, 2023.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macroeconomic environment has resulted in softening demand in all of our markets. While property tours continue and leases under negotiation move forward, there is less urgency from clients to make new commitments. Potential clients touring space acknowledge that economic uncertainty is impacting space decisions. We have factored in the impacts of a slower economy, softer business performance, and reduced demand for space into our leasing expectations for the remainder of 2023. We expect the bulk of our leasing in the last quarter of 2023 will continue to come from small- and medium-sized professional and financial services firms.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Investment Activity</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continually evaluate current and prospective markets for possible acquisitions of “value-add” assets that require lease-up or repositioning, and acquisitions that are otherwise consistent with our long-term strategy of owning, managing, developing, and improving premier workplaces in each of our chosen markets. We expect opportunities to make acquisitions will increase in this environment, and we remain committed to developing and acquiring assets to enhance our long-term growth and to meet current and future client demand for premier workplaces, life sciences, and residential development.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Consistent with this strategy, we entered into a joint venture agreement with an institutional investor for the future development of 343 Madison Avenue located on Madison Avenue between 44th and 45th Streets in New York City, New York adjacent to Grand Central Station. We own a 55% interest in the venture and our partner owns a 45% interest, and we will provide customary development, property management, and leasing services. The 343 Madison Avenue project contemplates the construction of (1) a direct entrance to the Long Island Railroad’s new east side access project (Grand Central Madison) (“Phase 1”) and (2) an approximately 900,000 square foot premier workplace building with ground floor retail (“Phase 2”). The joint venture executed an up to 99-year ground lease with the Metropolitan Transportation Authority for the approximately 25,000 square foot site. The ground lease requires the joint venture to construct Phase 1 of the development project. The joint venture has the option until July 31, 2025 to terminate the ground lease prior to construction of the new building and receive reimbursement of up to $117.0 million for the cost of the construction of Phase 1. There can be no assurance that Phase 1 will be completed on the terms currently contemplated or that Phase 2 of the development project will commence on the terms and schedule currently contemplated or at all.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A joint venture in which we owned a 20% equity interest (with an institutional investor owning the remaining 80%) completed a restructuring of the ownership in Metropolitan Square, which resulted in (i) an affiliate of the existing mezzanine lender purchasing the property, and (ii) us becoming a co-lender of up to $20.0 million under a new $100.0 million mezzanine loan. The transaction also resulted in, among other things, (i) the cessation of our obligation to fund future investments through our then 20% equity interest, which caused us to recognize a third quarter gain on investment of approximately $35.8 million related to our deficit investment balance, and (ii) the removal of the property from our in-service portfolio. Prior to the restructuring, the property was encumbered by an aggregate of $420.0 million of debt, consisting of a senior loan with an outstanding principal balance of $305.0 million senior loan and the existing $115.0 million mezzanine loan. The new mezzanine loan, which is subordinate only to the senior loan, may be drawn upon for future lease-up, operating and other costs on an as needed basis, and amounts borrowed will bear interest at a per annum rate of 12%, compounded monthly. In addition, we will continue to provide property management and leasing services to the property with the potential to earn additional incentive fees. Metropolitan Square is an approximately 657,000 square foot premier workplace located at 655 15th Street, NW in the heart of downtown Washington, DC.</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September 30, 2023, our development/redevelopment pipeline consisted of 11 properties that, when completed, we expect will total approximately 2.8 million net rentable square feet. Our share of the estimated total cost for these projects is approximately $2.4 billion, of which approximately $1.4 billion remains to be invested. The commercial space in the pipeline, which excludes Skymark (formerly Reston Next Residential), is 52% pre-leased as of October 30, 2023.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third quarter of 2023, we completed and fully placed in-service two development projects: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140 Kendrick Street - Building A, an approximately 104,000 square foot property in Needham, Massachusetts. 140 Kendrick is the first Net Zero, Carbon Neutral office repositioning of its scale in Massachusetts. The property is 100% leased.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751 Gateway, an approximately 231,000 square foot laboratory/life sciences property in South San Francisco, California in which BXP has a 49% interest. The property is 100% leased.</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we continue to focus on new investments to drive future growth, we regularly review our portfolio to identify properties as potential sales candidates that either no longer fit within our portfolio strategy or could attract premium pricing in the current market. However, the asset sale market for all real estate asset classes has slowed dramatically with the increase in interest rates and transaction volume for office assets continues to be minimal in the U.S.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A brief overview of each of our markets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Boston</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During the third quarter of 2023, we executed approximately 440,000 square feet of leases and approximately 365,000 square feet of leases commenced in the Boston region. Approximately 140,000 square feet of the leases that commenced had been vacant for less than one year and represent an increase in net rental obligations of approximately 14% over the prior leases.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As of September 30, 2023, our Boston CBD in-service portfolio was approximately 95.6% occupied and approximately 96.4% leased (including vacant space for which we have signed leases that have not yet commenced in accordance with GAAP).</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approximately 2.5 million square foot in-service premier workplace portfolio in Cambridge was approximately 97.2% occupied and leased (including vacant space for which we have signed leases that have not yet commenced in accordance with GAAP) as of September 30, 2023.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September 30, 2023, our Route 128-Mass Turnpike in-service portfolio is comprised of approximately 4.9 million square feet and was approximately 79.2% occupied and approximately 80.2% leased (including vacant space for which we have signed leases that have not yet commenced in accordance with GAAP).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Los Angeles</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of which we own 55%. As of September 30, 2023, our LA in-service properties were approximately 85.9% occupied and 87.6% leased (including vacant space for which we have signed leases that have not yet commenced in accordance with GAAP).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During the third quarter of 2023, we executed approximately 100,000 square feet of leases and approximately 70,000 square feet of leases commenced in the Los Angeles region. Approximately 69,000 square feet of the leases that commenced had been vacant for less than one year and represent an increase in net rental obligations of approximately 1.5% over the prior leases.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New York</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During the third quarter of 2023, we executed approximately 240,000 square feet of leases in the New York region and approximately 374,000 square feet of leases commenced. Approximately 180,000 square feet of the leases that commenced had been vacant for less than one year and they represent a decrease in net rental obligations of approximately 11% over the prior leases. As of September 30, 2023, our New York CBD in-service portfolio was approximately 92.1% occupied and approximately 92.8% leased (including vacant space for which we have signed leases that have not yet commenced in accordance with GAAP).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San Francisco</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During the third quarter of 2023, we executed approximately 52,000 square feet of leases and approximately 406,000 square feet of leases commenced in the San Francisco region. Approximately 127,000 square feet of leases that commenced had been vacant for less than one year and represent a decrease in net rental obligations of approximately 2% over the prior leases.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September 30, 2023, our San Francisco CBD in-service properties were approximately 89.3% occupied and approximately 90.3% leased (including vacant space for which we have signed leases that have not yet commenced in accordance with GAAP).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Client demand in the San Francisco CBD had increased more than 50% since the fourth quarter of 2022 with new technology demand responsible for much of the increase. Growth from the artificial intelligence (“AI”) organizations in San Francisco is particularly noteworthy with billions of dollars of recent investment into this growing ecosystem and a number of these AI companies actively considering space. Given the potential and recent growth of these organizations, we would expect this demand to center on the well-built technology sublet space that is readily available in the San Francisco market. San Francisco is the leading labor market for AI jobs followed by New York and Seattle. New venture capital investment in AI is concentrated in San Francisco, New York and Boston according to CBRE Insights, with San Francisco receiving the majority of the investment. These are encouraging facts that could be constructive to the recovery of the San Francisco office market, if they come to fruition.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Seattle</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Seattle in-service portfolio includes Safeco Plaza, an approximately 779,000 square foot property of which we own 33.67%, and Madison Centre, an approximately 755,000 square foot property. As of September 30, 2023, our Seattle in-service properties were approximately 84.7% occupied and approximately 87.6% leased (inclusive of vacant space with signed leases that have not yet commenced in accordance with GAAP). During the third quarter of 2023, we executed approximately 127,000 square feet of leases in the Seattle region.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Washington, DC </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During the third quarter of 2023, we executed approximately 100,000 square feet of leases and approximately 350,000 square feet of leases commenced in the Washington, DC region. Approximately 272,000 square feet of the leases that commenced had been vacant for less than one year and represent a decrease in net rental obligations of approximately 16% over the prior leases.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September 30, 2023, our Washington, DC CBD in-service properties were approximately 83.8% occupied and approximately 89.1% leased (inclusive of vacant space with signed leases that have not yet commenced in accordance with GAAP).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 significant component of our Washington, DC regional portfolio is in Reston Town Center, an award-winning mixed-use development in Northern Virginia. Reston is a hub for technology, cloud services, cybersecurity and defense intelligence companies. As of September 30, 2023, our Reston, Virginia properties were approximately 88.6% occupied and approximately 94.0% leased (inclusive of vacant space with signed leases that have not yet commenced in accordance with GAAP).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Leasing Statistics</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details the leasing activity, including 100% of the unconsolidated joint ventures, that commenced during the three and nine months ended September 30, 2023:</w:t>
      </w:r>
    </w:p>
    <w:tbl>
      <w:tblPr>
        <w:tblW w:w="10205" w:type="dxa"/>
        <w:jc w:val="left"/>
        <w:tblInd w:w="0" w:type="dxa"/>
        <w:tblLayout w:type="fixed"/>
        <w:tblCellMar>
          <w:top w:w="28" w:type="dxa"/>
          <w:left w:w="28" w:type="dxa"/>
          <w:bottom w:w="28" w:type="dxa"/>
          <w:right w:w="28" w:type="dxa"/>
        </w:tblCellMar>
      </w:tblPr>
      <w:tblGrid>
        <w:gridCol w:w="1415"/>
        <w:gridCol w:w="1149"/>
        <w:gridCol w:w="1156"/>
        <w:gridCol w:w="109"/>
        <w:gridCol w:w="109"/>
        <w:gridCol w:w="109"/>
        <w:gridCol w:w="781"/>
        <w:gridCol w:w="593"/>
        <w:gridCol w:w="1548"/>
        <w:gridCol w:w="109"/>
        <w:gridCol w:w="109"/>
        <w:gridCol w:w="109"/>
        <w:gridCol w:w="704"/>
        <w:gridCol w:w="569"/>
        <w:gridCol w:w="1636"/>
      </w:tblGrid>
      <w:tr>
        <w:trPr/>
        <w:tc>
          <w:tcPr>
            <w:tcW w:w="141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2023</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Vacant space available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5,802,761 </w:t>
            </w:r>
          </w:p>
        </w:tc>
        <w:tc>
          <w:tcPr>
            <w:tcW w:w="1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5,610,777 </w:t>
            </w:r>
          </w:p>
        </w:tc>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dispositions/properties taken out of service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(289,204)</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(622,481)</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placed (and partially placed) in-service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334,758 </w:t>
            </w:r>
          </w:p>
        </w:tc>
        <w:tc>
          <w:tcPr>
            <w:tcW w:w="1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516,355 </w:t>
            </w:r>
          </w:p>
        </w:tc>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 expiring or terminated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1,205,603 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3,367,146 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space available for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7,053,918 </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8,871,797 </w:t>
            </w:r>
          </w:p>
        </w:tc>
        <w:tc>
          <w:tcPr>
            <w:tcW w:w="1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 xml:space="preserve">generation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380,519 </w:t>
            </w:r>
          </w:p>
        </w:tc>
        <w:tc>
          <w:tcPr>
            <w:tcW w:w="1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531,606 </w:t>
            </w:r>
          </w:p>
        </w:tc>
        <w:tc>
          <w:tcPr>
            <w:tcW w:w="16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generation leases with new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632,026 </w:t>
            </w:r>
          </w:p>
        </w:tc>
        <w:tc>
          <w:tcPr>
            <w:tcW w:w="1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1,620,339 </w:t>
            </w:r>
          </w:p>
        </w:tc>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generation lease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552,423 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1,230,902 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space leased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1,564,968 </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3,382,847 </w:t>
            </w:r>
          </w:p>
        </w:tc>
        <w:tc>
          <w:tcPr>
            <w:tcW w:w="1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Vacant space available for lease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5,488,950 </w:t>
            </w:r>
          </w:p>
        </w:tc>
        <w:tc>
          <w:tcPr>
            <w:tcW w:w="1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5,488,950 </w:t>
            </w:r>
          </w:p>
        </w:tc>
        <w:tc>
          <w:tcPr>
            <w:tcW w:w="16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 executed during the period, in square feet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1,055,781 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2,653,797 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Second generation leasing information</w:t>
            </w:r>
            <w:r>
              <w:rPr>
                <w:rFonts w:ascii="Arial;sans-serif" w:hAnsi="Arial;sans-serif"/>
                <w:b w:val="false"/>
                <w:color w:val="000000"/>
                <w:sz w:val="20"/>
              </w:rPr>
              <w:t>: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 commencing during the period, in square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1,184,449 </w:t>
            </w:r>
          </w:p>
        </w:tc>
        <w:tc>
          <w:tcPr>
            <w:tcW w:w="1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2,851,241 </w:t>
            </w:r>
          </w:p>
        </w:tc>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Months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Free 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Days</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Transaction Costs Per Square Foot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$89.81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$76.09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Gross Rents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Net Rents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0.59 </w:t>
            </w:r>
          </w:p>
        </w:tc>
        <w:tc>
          <w:tcPr>
            <w:tcW w:w="1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pPr>
      <w:r>
        <w:rPr>
          <w:color w:val="000000"/>
        </w:rPr>
        <w:t> </w:t>
      </w:r>
      <w:r>
        <w:rPr>
          <w:rFonts w:ascii="Arial;sans-serif" w:hAnsi="Arial;sans-serif"/>
          <w:b/>
          <w:color w:val="000000"/>
          <w:sz w:val="18"/>
        </w:rPr>
        <w:t>__________________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Total vacant square feet of properties taken out of service during the three months ended September 30, 2023 consists of 289,204 square feet at Metropolitan Square (See Notes 5 and 14 to the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Statements). Total vacant square feet of properties taken out of service during the nine months ended September 30, 2023 consists of 289,204 square feet at Metropolitan Square, 195,191 square feet at 300 Binney Street, 55,852 square feet at 420 Bedford Street, 57,045 square feet at 430 Bedford Street and 25,189 square feet at 2098 Gaither Road. </w:t>
      </w:r>
    </w:p>
    <w:p>
      <w:pPr>
        <w:pStyle w:val="TextBody"/>
        <w:bidi w:val="0"/>
        <w:spacing w:lineRule="auto" w:line="288" w:before="100" w:after="283"/>
        <w:ind w:left="0" w:right="0" w:hanging="360"/>
        <w:jc w:val="left"/>
        <w:rPr/>
      </w:pPr>
      <w:r>
        <w:rPr>
          <w:rFonts w:ascii="Arial;sans-serif" w:hAnsi="Arial;sans-serif"/>
          <w:b w:val="false"/>
          <w:color w:val="000000"/>
          <w:sz w:val="18"/>
          <w:shd w:fill="FFFFFF" w:val="clear"/>
        </w:rPr>
        <w:t>(2)</w:t>
      </w:r>
      <w:r>
        <w:rPr>
          <w:rFonts w:ascii="Arial;sans-serif" w:hAnsi="Arial;sans-serif"/>
          <w:b w:val="false"/>
          <w:color w:val="000000"/>
          <w:sz w:val="18"/>
        </w:rPr>
        <w:t>Total vacant square feet of properties placed in service during the three months ended September 30, 2023 consists of 230,592 square feet at 751 Gateway and 104,166 square feet at 140 Kendrick Street - Building A. Total vacant square feet of properties placed in service during the nine months ended September 30, 2023 consists of 230,592 square feet at 751 Gateway, 104,166 square feet at 140 Kendrick Street - Building A, and 181,597 square feet at 2100 Pennsylvania Avenue.</w:t>
      </w:r>
    </w:p>
    <w:p>
      <w:pPr>
        <w:pStyle w:val="TextBody"/>
        <w:bidi w:val="0"/>
        <w:spacing w:lineRule="auto" w:line="288" w:before="100" w:after="283"/>
        <w:ind w:left="0" w:right="0" w:hanging="360"/>
        <w:jc w:val="left"/>
        <w:rPr/>
      </w:pPr>
      <w:r>
        <w:rPr>
          <w:rFonts w:ascii="Arial;sans-serif" w:hAnsi="Arial;sans-serif"/>
          <w:b w:val="false"/>
          <w:color w:val="000000"/>
          <w:sz w:val="18"/>
        </w:rPr>
        <w:t>(3)Represents leases for which lease revenue recognition has commenced in accordance with GAAP during the three and nine months ended September 30, 2023</w:t>
      </w:r>
      <w:r>
        <w:rPr>
          <w:rFonts w:ascii="Arial;sans-serif" w:hAnsi="Arial;sans-serif"/>
          <w:b w:val="false"/>
          <w:color w:val="000000"/>
          <w:sz w:val="18"/>
          <w:shd w:fill="FFFFFF" w:val="clear"/>
        </w:rPr>
        <w:t>.</w:t>
      </w:r>
    </w:p>
    <w:p>
      <w:pPr>
        <w:pStyle w:val="TextBody"/>
        <w:bidi w:val="0"/>
        <w:spacing w:lineRule="auto" w:line="288" w:before="100" w:after="283"/>
        <w:ind w:left="0" w:right="0" w:hanging="360"/>
        <w:jc w:val="left"/>
        <w:rPr/>
      </w:pPr>
      <w:r>
        <w:rPr>
          <w:rFonts w:ascii="Arial;sans-serif" w:hAnsi="Arial;sans-serif"/>
          <w:b w:val="false"/>
          <w:color w:val="000000"/>
          <w:sz w:val="18"/>
          <w:shd w:fill="FFFFFF" w:val="clear"/>
        </w:rPr>
        <w:t>(4)Represents leases executed during the three and nine months ended September 30, 2023 for which we either (1) commenced lease revenue recognition in such period or (2) will commence lease revenue recognition in subsequent periods, in accordance with GAAP, and includes leases at properties currently under development. The total square feet of leases e</w:t>
      </w:r>
      <w:r>
        <w:rPr>
          <w:rFonts w:ascii="Arial;sans-serif" w:hAnsi="Arial;sans-serif"/>
          <w:b w:val="false"/>
          <w:color w:val="000000"/>
          <w:sz w:val="18"/>
        </w:rPr>
        <w:t xml:space="preserve">xecuted and recognized during the three and nine months ended September 30, 2023 are 189,541 and 492,669 square feet, respectively. </w:t>
      </w:r>
    </w:p>
    <w:p>
      <w:pPr>
        <w:pStyle w:val="TextBody"/>
        <w:bidi w:val="0"/>
        <w:spacing w:lineRule="auto" w:line="288" w:before="100" w:after="283"/>
        <w:ind w:left="0" w:right="0" w:hanging="360"/>
        <w:jc w:val="left"/>
        <w:rPr/>
      </w:pPr>
      <w:r>
        <w:rPr>
          <w:rFonts w:ascii="Arial;sans-serif" w:hAnsi="Arial;sans-serif"/>
          <w:b w:val="false"/>
          <w:color w:val="000000"/>
          <w:sz w:val="18"/>
        </w:rPr>
        <w:t>(5)Second generation leases are defined as leases for space that we have previously leased. Of the 1,184,449 and 2,851,241 square feet of second generation leases that commenced during the three and nine months</w:t>
      </w:r>
      <w:r>
        <w:rPr>
          <w:color w:val="000000"/>
          <w:shd w:fill="FFFFFF" w:val="clear"/>
        </w:rPr>
        <w:t xml:space="preserve"> </w:t>
      </w:r>
      <w:r>
        <w:rPr>
          <w:rFonts w:ascii="Arial;sans-serif" w:hAnsi="Arial;sans-serif"/>
          <w:b w:val="false"/>
          <w:color w:val="000000"/>
          <w:sz w:val="18"/>
        </w:rPr>
        <w:t xml:space="preserve">ended September 30, 2023, respectively, leases for 1,024,020 and 2,389,495 square feet, respectively, were signed in prior periods. </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(6)Total transaction costs include tenant improvements and leasing commissions but exclude free rent concessions and other inducements in accordance with GAAP. </w:t>
      </w:r>
    </w:p>
    <w:p>
      <w:pPr>
        <w:pStyle w:val="TextBody"/>
        <w:bidi w:val="0"/>
        <w:spacing w:lineRule="auto" w:line="288" w:before="100" w:after="283"/>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(7)Represents the increase (decrease) in gross rent (base rent plus expense reimbursements) on the new versus expired leases on the 789,077 and 1,849,017 square feet of second generation leases that had been occupied within the prior 12 months for the three and nine months ended September 30, 2023, respectively; excludes leases that management considers temporary because the client is not expected to occupy the space on a long-term basis. </w:t>
      </w:r>
    </w:p>
    <w:p>
      <w:pPr>
        <w:pStyle w:val="TextBody"/>
        <w:bidi w:val="0"/>
        <w:spacing w:lineRule="auto" w:line="288" w:before="100" w:after="283"/>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(8)Represents the increase (decrease) in net rent (gross rent less operating expenses) on the new versus expired leases on the 789,077 and 1,849,017 square feet of second generation leases that had been occupied within the prior 12 months for the three and nine months ended September 30, 2023, respectively. </w:t>
      </w:r>
    </w:p>
    <w:p>
      <w:pPr>
        <w:pStyle w:val="TextBody"/>
        <w:bidi w:val="0"/>
        <w:spacing w:lineRule="auto" w:line="288" w:before="280" w:after="283"/>
        <w:jc w:val="left"/>
        <w:rPr>
          <w:rFonts w:ascii="Arial;sans-serif" w:hAnsi="Arial;sans-serif"/>
          <w:b w:val="false"/>
          <w:color w:val="000000"/>
          <w:sz w:val="20"/>
        </w:rPr>
      </w:pPr>
      <w:r>
        <w:rPr>
          <w:rFonts w:ascii="Arial;sans-serif" w:hAnsi="Arial;sans-serif"/>
          <w:b w:val="false"/>
          <w:color w:val="000000"/>
          <w:sz w:val="20"/>
        </w:rPr>
        <w:t>Transactions during the three months ended September 30, 2023 included the following:</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Development/Redevelopment activities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On July 20, 2023, we completed and fully placed in-service 140 Kendrick Street - Building A, a premier workplace redevelopment project with approximately 104,000 net rentable square feet located in Needham, Massachusetts. The property is the first Net Zero, Carbon Neutral office repositioning of its scale in Massachusetts.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September 26, 2023, we partially placed in-service 180 CityPoint, an approximately 329,000 net rentable square feet laboratory/life sciences project located in Waltham, Massachusetts.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Ground Lease activity</w:t>
      </w:r>
    </w:p>
    <w:p>
      <w:pPr>
        <w:pStyle w:val="TextBody"/>
        <w:bidi w:val="0"/>
        <w:spacing w:lineRule="auto" w:line="288" w:before="100" w:after="283"/>
        <w:ind w:left="0" w:right="0" w:hanging="360"/>
        <w:jc w:val="left"/>
        <w:rPr/>
      </w:pPr>
      <w:r>
        <w:rPr>
          <w:color w:val="000000"/>
          <w:shd w:fill="FFFFFF" w:val="clear"/>
        </w:rPr>
        <w:t>•</w:t>
      </w:r>
      <w:r>
        <w:rPr>
          <w:rFonts w:ascii="Arial;sans-serif" w:hAnsi="Arial;sans-serif"/>
          <w:b w:val="false"/>
          <w:color w:val="000000"/>
          <w:sz w:val="20"/>
        </w:rPr>
        <w:t xml:space="preserve">On August 1, 2023, a consolidated joint venture in which we have a 55% interest executed an up to 99-year ground lease with the Metropolitan Transportation Authority for an approximately 25,000 square foot site, the 343 Madison Avenue project in New York City (see Notes 4 and 9 to the Consolidated Financial Statements). The 343 Madison Avenue project contemplates the construction of (1) a direct entrance to the Long Island Railroad’s new east side access project (Grand Central Madison) (“Phase 1”) and (2) an approximately 900,000 square foot premier workplace building with ground floor retail (“Phase 2”). The joint venture has the option until July 31, 2025 to terminate the ground lease prior to construction of the new building and receive reimbursement of up to $117.0 million for the cost of the construction of Phase 1. We are reasonably certain that we will not exercise this termination option as we completed a long-term competitive process to obtain the right to ground lease this site. There is no rent due under the ground lease for the period from August 1, 2023 through July 31, 2028, with the exception of a payment of approximately $21.8 million that is due on July 31, 2025. Beginning August 1, 2028, the lease requires rent of approximately $10.9 million per year with adjustments every five years, with a minimum increase of 110% of the ground rent from the prior year. The lease required the joint venture to pay a non-refundable deposit totaling $25.0 million. There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be no assurance that Phase 1 will be completed on the terms currently contemplated or that Phase 2 of the development project will commence on the terms and schedule currently contemplated or at all.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Unconsolidated joint venture activities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On July 28, 2023, a joint venture in which we have a 50% interest modified and exercised an option to extend by one year the maturity date of its loan collateralized by 100 Causeway Street. At the time of the modification and extension, the loan had an outstanding balance totaling approximately $340.6 million, bore interest at Term SOFR plus 1.60% per annum, and was scheduled to mature on September 5, 2023. Following the modification and extension, the loan had an outstanding balance of $336.6 million, which included an approximately $4.0 million principal repayment, bears interest at Term SOFR plus 1.48% per annum, and matures on September 5, 2024, with an additional one-year extension option, subject to certain conditions. 100 Causeway Street is an approximately 634,000 square foot premier workplace located in Boston, Massachusetts and is approximately 95% leased.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August 11, 2023, a joint venture in which we have a 25% interest exercised its second extension option of 180-days collateralized by 3 Hudson Boulevard. The extended loan now matures on February 9, 2024. As of September 30, 2023, the loan had approximately $25.6 million of accrued interest due at the maturity date. 3 Hudson Boulevard consists of land and improvements held for future development located in New York, New York.</w:t>
      </w:r>
      <w:r>
        <w:rPr>
          <w:color w:val="000000"/>
        </w:rPr>
        <w:t xml:space="preserve">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September 1, 2023, a joint venture in which we have a 49% interest completed and fully placed in-service 751 Gateway, an approximately 231,000 square foot laboratory/life sciences project in South San Francisco, California. The property is 100% leased.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On September 6, 2023, a joint venture in which we have a 50% interest modified the loan collateralized by its Hub on Causeway - Podium property. At the time of the modification, the loan had an outstanding balance of approximately $174.3 million, bore interest at Term SOFR plus 2.35% per annum, and was scheduled to mature on September 6, 2023. Following the modification, the modified loan had an outstanding balance of $154.3 million, which included an approximately $20.0 million principal repayment, bears interest at Daily SOFR plus 2.50% per annum, and matures on September 8, 2025, with a one-year extension option, subject to certain conditions. On September 8, 2023, the joint venture entered into interest rate swap contracts with notional amounts aggregating approximately $154.3 million through September 2, 2025, resulting in a fixed interest rate of approximately 7.35% per annum through the expiration of the interest rate swap contracts. The Hub on Causeway - Podium is an approximately 383,000 square foot premier workplace located in Boston, Massachusetts and is approximately 94% leased.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On September 13, 2023, a joint venture in which we owned a 20% equity interest completed the first step of a two-step restructuring of its ownership in Metropolitan Square. The two-step restructuring will result in (i) an affiliate of the existing mezzanine lender purchasing the property and becoming the new property owner and us no longer having an equity interest in the property and (ii) us becoming a co-lender of up to $20.0 million under a new $100.0 million mezzanine loan (“New Mezz Loan”). Prior to the restructuring, the property was encumbered by an aggregate of $420.0 million of debt, consisting of a senior loan with an outstanding principal balance of $305.0 million (“Senior Loan”) and the existing $115.0 million mezzanine loan (“Existing Mezz Loan”). Step one of the restructuring was completed on September 13, 2023, and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 Metropolitan Square is an approximately 657,000 net rentable square foot premier workplace located at 655 15th Street, NW in the heart of downtown Washington, DC. See Note 14 to the Consolidated Financial Statements for a description of step two of the restructuring.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During the three months ended September 30, 2023, we recognized an other-than-temporary impairment loss on our investments in Platform 16, 360 Park Avenue South, 200 Fifth Avenue and Safeco Plaza of approximately $155.2 million, $54.0 million, $33.4 million and $29.9 million, respectively. See Note 5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Noncontrolling Interest in Property Partnerships activity</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On July 28, 2023, we entered into a joint venture agreement with an institutional investor for the future development of 343 Madison Avenue located on Madison Avenue between 44th and 45th Streets in New York City, New York adjacent to Grand Central Station. Prior to the formation of the joint venture, we and the institutional investor were engaged in a collaborative arrangement. We own a 55% interest in the venture and our partner owns a 45% interest, and we will provide customary development, property management, and leasing services. The joint venture partner contributed approximately $4.8 million in cash and $17.5 million in improvements and prepaid ground rent for their 45% ownership interest in the joint venture. We contributed approximately $5.9 million in cash and $21.4 million in improvements and prepaid ground rent for our 55% ownership interest in the joint venture. The transaction did not qualify as a sale of real estate for financial reporting purposes as we continue to effectively control this property and will continue to account for the property on a consolidated basis in our financial statements, see Note 4 to the Consolidated Financial Statements.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Debt activities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On September 1, 2023, BPLP completed the repayment of $500.0 million in aggregate principal amount of its 3.125% senior notes due September 1, 2023. The repayment price was approximately $507.8 million, which was equal to the stated principal plus approximately $7.8 million of accrued and unpaid interest to, but not including, the repayment date. Excluding the accrued and unpaid interest, the repayment price was equal to the principal amount being repaid.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September 28, 2023, BPLP exercised the accordian feature of its $1.5 billion unsecured credit facility (the “2021 Credit Facility”) which allowed BPLP to increase the total commitment by up to $500.0 million, subject to syndication of the increase and other conditions (the “Accordion”). BPLP exercised a portion of the Accordion with three new lenders to the 2021 Credit Facility (“New Lenders”). Each of the New Lenders entered into a lender agreement with BPLP to provide an aggregate of $315.0 million in additional revolving credit commitments, which increased the maximum borrowing amount under the 2021 Credit Facility from $1.5 billion to $1.815 billion. All other terms of the 2021 Credit Facility remain unchanged.</w:t>
      </w:r>
    </w:p>
    <w:p>
      <w:pPr>
        <w:pStyle w:val="TextBody"/>
        <w:bidi w:val="0"/>
        <w:spacing w:lineRule="auto" w:line="288" w:before="280" w:after="283"/>
        <w:jc w:val="left"/>
        <w:rPr>
          <w:rFonts w:ascii="Arial;sans-serif" w:hAnsi="Arial;sans-serif"/>
          <w:b w:val="false"/>
          <w:color w:val="000000"/>
          <w:sz w:val="20"/>
        </w:rPr>
      </w:pPr>
      <w:r>
        <w:rPr>
          <w:rFonts w:ascii="Arial;sans-serif" w:hAnsi="Arial;sans-serif"/>
          <w:b w:val="false"/>
          <w:color w:val="000000"/>
          <w:sz w:val="20"/>
        </w:rPr>
        <w:t>Transactions completed subsequent to September 30, 2023 included the following: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On October 2, 2023, step two of the Metropolitan Square restructuring (see Note 5 to the Consolidated Financial Statements for a description of step one) was completed and included (i) the sale of the property and assignment of the Senior Loan to the new owner, and (ii) the closing of the New Mezz Loan with a maximum principal amount of $100.0 million that is senior to the Existing Mezz Loan and subordinate only to the Senior Loan. The New Mezz Loan may be drawn upon for future lease-up, operating and other costs on an as needed basis, and amounts borrowed will bear interest at a per annum rate of 12%, compounded monthly. We will fund 20%, or up to $20.0 million, of any amounts borrowed under the New Mezz Loan. In addition, we will continue to provide property management and leasing services to the property with the potential to earn additional incentive fees. Metropolitan Square is an approximately 657,000 square foot premier workplace located at 655 15th Street, NW in the heart of downtown Washington, DC.</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October 26, 2023, we closed on a mortgage loan collateralized by our 325 Main Street, 355 Main Street, 90 Broadway and Cambridge East Garage (also known as Kendall Center Green Garage) properties located in Cambridge, Massachusetts. The mortgage loan, totaling $600 million, requires interest-only payments at Daily Compounded SOFR plus 2.25% per annum until maturity on October 26, 2028.</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November 6, 2023, WeWork Inc. and certain of its direct and indirect subsidiaries (collectively, “WeWork”) filed voluntary petitions to commence proceedings under Chapter 11 of title 11 of the United States Code in the United States Bankruptcy Court for the District of New Jersey. WeWork is a tenant at five of our premier workplaces and leases an aggregate of approximately 493,000 square feet, approximately 0.97% of our in-service portfolio. There can be no assurance that WeWork will not reject one or more of the five leases.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40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Our Annual Report on Form 10-K for the year ended December 31, 2022 contains a discussion of our critical accounting estimates. There have been no significant changes in our critical accounting estimates since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Results of Operations for the Nine Months Ended September 30, 2023 and 2022 </w:t>
      </w:r>
    </w:p>
    <w:p>
      <w:pPr>
        <w:pStyle w:val="TextBody"/>
        <w:bidi w:val="0"/>
        <w:spacing w:lineRule="auto" w:line="288" w:before="180" w:after="283"/>
        <w:ind w:left="0" w:right="0" w:firstLine="495"/>
        <w:jc w:val="left"/>
        <w:rPr/>
      </w:pPr>
      <w:r>
        <w:rPr>
          <w:rFonts w:ascii="Arial;sans-serif" w:hAnsi="Arial;sans-serif"/>
          <w:b w:val="false"/>
          <w:color w:val="000000"/>
          <w:sz w:val="20"/>
          <w:shd w:fill="FFFFFF" w:val="clear"/>
        </w:rPr>
        <w:t>Net income attributable to Boston Properties, Inc.</w:t>
      </w:r>
      <w:r>
        <w:rPr>
          <w:color w:val="000000"/>
        </w:rPr>
        <w:t xml:space="preserve"> </w:t>
      </w:r>
      <w:r>
        <w:rPr>
          <w:rFonts w:ascii="Arial;sans-serif" w:hAnsi="Arial;sans-serif"/>
          <w:b w:val="false"/>
          <w:color w:val="000000"/>
          <w:sz w:val="20"/>
        </w:rPr>
        <w:t xml:space="preserve">and net </w:t>
      </w:r>
      <w:r>
        <w:rPr>
          <w:rFonts w:ascii="Arial;sans-serif" w:hAnsi="Arial;sans-serif"/>
          <w:b w:val="false"/>
          <w:color w:val="000000"/>
          <w:sz w:val="20"/>
          <w:shd w:fill="FFFFFF" w:val="clear"/>
        </w:rPr>
        <w:t>income</w:t>
      </w:r>
      <w:r>
        <w:rPr>
          <w:color w:val="000000"/>
        </w:rPr>
        <w:t xml:space="preserve"> </w:t>
      </w:r>
      <w:r>
        <w:rPr>
          <w:rFonts w:ascii="Arial;sans-serif" w:hAnsi="Arial;sans-serif"/>
          <w:b w:val="false"/>
          <w:color w:val="000000"/>
          <w:sz w:val="20"/>
        </w:rPr>
        <w:t>attributable to Boston Properties Limited Partnership decreased by approximately $656.9 million and $735.0 million, respectively, for the nine months ended September 30, 2023 compared to 2022, as set forth in the following tables and for the reasons discussed below under the heading “</w:t>
      </w:r>
      <w:r>
        <w:rPr>
          <w:rFonts w:ascii="Arial;sans-serif" w:hAnsi="Arial;sans-serif"/>
          <w:b w:val="false"/>
          <w:i/>
          <w:color w:val="000000"/>
          <w:sz w:val="20"/>
        </w:rPr>
        <w:t>Comparison of the nine months ended September 30, 2023 to the nine months ended September 30, 2022”</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rFonts w:ascii="Arial;sans-serif" w:hAnsi="Arial;sans-serif"/>
          <w:b w:val="false"/>
          <w:color w:val="000000"/>
          <w:sz w:val="20"/>
        </w:rPr>
        <w:t>.”</w:t>
      </w:r>
    </w:p>
    <w:p>
      <w:pPr>
        <w:pStyle w:val="TextBody"/>
        <w:bidi w:val="0"/>
        <w:spacing w:lineRule="auto" w:line="288" w:before="180" w:after="283"/>
        <w:ind w:left="0" w:right="0" w:firstLine="495"/>
        <w:jc w:val="left"/>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following are reconciliations of Net Income Attributable to Boston Properties, Inc. to Net Operating Income and Net Income Attributable to Boston Properties Limited Partnership to Net Operating Income for the nine months ended September 30, 2023 and 2022. For a detailed discussion of Net Operating Income (“NOI”), including the reasons management believes NOI is useful to investors, see page 60</w:t>
      </w:r>
      <w:r>
        <w:rPr>
          <w:rFonts w:ascii="Arial;sans-serif" w:hAnsi="Arial;sans-serif"/>
          <w:b w:val="false"/>
          <w:color w:val="000000"/>
          <w:sz w:val="1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BXP</w:t>
      </w:r>
    </w:p>
    <w:tbl>
      <w:tblPr>
        <w:tblW w:w="10205" w:type="dxa"/>
        <w:jc w:val="center"/>
        <w:tblInd w:w="0" w:type="dxa"/>
        <w:tblLayout w:type="fixed"/>
        <w:tblCellMar>
          <w:top w:w="28" w:type="dxa"/>
          <w:left w:w="28" w:type="dxa"/>
          <w:bottom w:w="28" w:type="dxa"/>
          <w:right w:w="28" w:type="dxa"/>
        </w:tblCellMar>
      </w:tblPr>
      <w:tblGrid>
        <w:gridCol w:w="1456"/>
        <w:gridCol w:w="1099"/>
        <w:gridCol w:w="1106"/>
        <w:gridCol w:w="109"/>
        <w:gridCol w:w="109"/>
        <w:gridCol w:w="109"/>
        <w:gridCol w:w="211"/>
        <w:gridCol w:w="976"/>
        <w:gridCol w:w="109"/>
        <w:gridCol w:w="109"/>
        <w:gridCol w:w="109"/>
        <w:gridCol w:w="109"/>
        <w:gridCol w:w="211"/>
        <w:gridCol w:w="976"/>
        <w:gridCol w:w="109"/>
        <w:gridCol w:w="109"/>
        <w:gridCol w:w="109"/>
        <w:gridCol w:w="109"/>
        <w:gridCol w:w="211"/>
        <w:gridCol w:w="864"/>
        <w:gridCol w:w="109"/>
        <w:gridCol w:w="109"/>
        <w:gridCol w:w="109"/>
        <w:gridCol w:w="109"/>
        <w:gridCol w:w="487"/>
        <w:gridCol w:w="489"/>
        <w:gridCol w:w="484"/>
      </w:tblGrid>
      <w:tr>
        <w:trPr/>
        <w:tc>
          <w:tcPr>
            <w:tcW w:w="14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(90.33)</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(89.57)</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(84.01)</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18,747.59 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 assignment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696.60 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(99.86)</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BPLP</w:t>
      </w:r>
    </w:p>
    <w:tbl>
      <w:tblPr>
        <w:tblW w:w="10205" w:type="dxa"/>
        <w:jc w:val="left"/>
        <w:tblInd w:w="0" w:type="dxa"/>
        <w:tblLayout w:type="fixed"/>
        <w:tblCellMar>
          <w:top w:w="28" w:type="dxa"/>
          <w:left w:w="28" w:type="dxa"/>
          <w:bottom w:w="28" w:type="dxa"/>
          <w:right w:w="28" w:type="dxa"/>
        </w:tblCellMar>
      </w:tblPr>
      <w:tblGrid>
        <w:gridCol w:w="1449"/>
        <w:gridCol w:w="1103"/>
        <w:gridCol w:w="1110"/>
        <w:gridCol w:w="109"/>
        <w:gridCol w:w="109"/>
        <w:gridCol w:w="109"/>
        <w:gridCol w:w="211"/>
        <w:gridCol w:w="976"/>
        <w:gridCol w:w="109"/>
        <w:gridCol w:w="109"/>
        <w:gridCol w:w="109"/>
        <w:gridCol w:w="109"/>
        <w:gridCol w:w="211"/>
        <w:gridCol w:w="976"/>
        <w:gridCol w:w="109"/>
        <w:gridCol w:w="109"/>
        <w:gridCol w:w="109"/>
        <w:gridCol w:w="109"/>
        <w:gridCol w:w="211"/>
        <w:gridCol w:w="864"/>
        <w:gridCol w:w="109"/>
        <w:gridCol w:w="109"/>
        <w:gridCol w:w="109"/>
        <w:gridCol w:w="109"/>
        <w:gridCol w:w="487"/>
        <w:gridCol w:w="489"/>
        <w:gridCol w:w="483"/>
      </w:tblGrid>
      <w:tr>
        <w:trPr/>
        <w:tc>
          <w:tcPr>
            <w:tcW w:w="14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(83.58)</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18,747.59 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 assignment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696.60 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At September 30, 2023 and 2022, we owned or had joint venture interests in a portfolio of 190 and 193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and nine months ended September 30, 2023 and 2022 show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our analysis of operating results, particularly to make comparisons of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loss from unconsolidated joint ventures, depreciation and amortization expense, transaction costs, payroll and related costs from management services contracts and corporate general and administrative expense less (2) unrealized gain on non-real estate investment, gains (losses) from investments in securities, other income - assignment fee,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We believe that in order to understand our operating results, NOI should be examined in conjunction with net income attributable to Boston Properties, Inc. and net income attributable to Boston Properties Limited Partnership as presented in our Consolidated Financial Statements. NOI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gains on sales of real estate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and depreciation expense when those properties are sold. For additional information see the Explanatory Note that immediately follows the cover page of this Quarterly Report on Form 10-Q. </w:t>
      </w:r>
    </w:p>
    <w:p>
      <w:pPr>
        <w:pStyle w:val="TextBody"/>
        <w:bidi w:val="0"/>
        <w:spacing w:lineRule="auto" w:line="288" w:before="280" w:after="283"/>
        <w:ind w:left="0" w:right="0" w:firstLine="225"/>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Comparison of the nine months ended September 30, 2023 to the nine months ended September 30, 2022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shows selected operating information for the Same Property Portfolio and the Total Property Portfolio. The Same Property Portfolio consists of 126 properties totaling approximately 38.3 million net rentable square feet, excluding unconsolidated joint ventures. The Same Property Portfolio includes properties acquired or placed in-service on or prior to January 1, 2022 and owned and in service through September 30, 2023. The Total Property Portfolio includes the effects of the other properties either acquired, placed in-service, in or held for development or redevelopment after January 1, 2022 or disposed of on or prior to September 30, 2023. This table includes a reconciliation from the Same Property Portfolio to the Total Property Portfolio by also providing information for the nine months ended September 30, 2023 and 2022 with respect to the properties that were acquired, placed in-service, in or held for development or redevelopment or sold.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20100" w:type="dxa"/>
        <w:jc w:val="center"/>
        <w:tblInd w:w="0" w:type="dxa"/>
        <w:tblLayout w:type="fixed"/>
        <w:tblCellMar>
          <w:top w:w="28" w:type="dxa"/>
          <w:left w:w="28" w:type="dxa"/>
          <w:bottom w:w="28" w:type="dxa"/>
          <w:right w:w="28" w:type="dxa"/>
        </w:tblCellMar>
      </w:tblPr>
      <w:tblGrid>
        <w:gridCol w:w="360"/>
        <w:gridCol w:w="225"/>
        <w:gridCol w:w="226"/>
        <w:gridCol w:w="181"/>
        <w:gridCol w:w="766"/>
        <w:gridCol w:w="109"/>
        <w:gridCol w:w="109"/>
        <w:gridCol w:w="109"/>
        <w:gridCol w:w="109"/>
        <w:gridCol w:w="181"/>
        <w:gridCol w:w="766"/>
        <w:gridCol w:w="109"/>
        <w:gridCol w:w="109"/>
        <w:gridCol w:w="109"/>
        <w:gridCol w:w="109"/>
        <w:gridCol w:w="181"/>
        <w:gridCol w:w="571"/>
        <w:gridCol w:w="109"/>
        <w:gridCol w:w="109"/>
        <w:gridCol w:w="109"/>
        <w:gridCol w:w="109"/>
        <w:gridCol w:w="247"/>
        <w:gridCol w:w="249"/>
        <w:gridCol w:w="291"/>
        <w:gridCol w:w="109"/>
        <w:gridCol w:w="109"/>
        <w:gridCol w:w="109"/>
        <w:gridCol w:w="181"/>
        <w:gridCol w:w="571"/>
        <w:gridCol w:w="109"/>
        <w:gridCol w:w="109"/>
        <w:gridCol w:w="109"/>
        <w:gridCol w:w="109"/>
        <w:gridCol w:w="181"/>
        <w:gridCol w:w="571"/>
        <w:gridCol w:w="109"/>
        <w:gridCol w:w="109"/>
        <w:gridCol w:w="109"/>
        <w:gridCol w:w="109"/>
        <w:gridCol w:w="181"/>
        <w:gridCol w:w="646"/>
        <w:gridCol w:w="109"/>
        <w:gridCol w:w="109"/>
        <w:gridCol w:w="109"/>
        <w:gridCol w:w="109"/>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327"/>
        <w:gridCol w:w="181"/>
        <w:gridCol w:w="571"/>
        <w:gridCol w:w="109"/>
        <w:gridCol w:w="327"/>
        <w:gridCol w:w="181"/>
        <w:gridCol w:w="766"/>
        <w:gridCol w:w="109"/>
        <w:gridCol w:w="327"/>
        <w:gridCol w:w="181"/>
        <w:gridCol w:w="766"/>
        <w:gridCol w:w="109"/>
        <w:gridCol w:w="327"/>
        <w:gridCol w:w="181"/>
        <w:gridCol w:w="646"/>
        <w:gridCol w:w="109"/>
        <w:gridCol w:w="327"/>
        <w:gridCol w:w="496"/>
        <w:gridCol w:w="342"/>
      </w:tblGrid>
      <w:tr>
        <w:trPr/>
        <w:tc>
          <w:tcPr>
            <w:tcW w:w="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Same Property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Acquired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Placed In-Service</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in or Held for Development or Redevelopment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Sold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Property Portfolio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9" w:type="dxa"/>
            <w:gridSpan w:val="9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 in thousands)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Rental Revenue: (1)</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 (Excluding Termination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Termination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(76.11)</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(56.58)</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2,071,345 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2,251,496 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2,139,321 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Parking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Rental Revenue (1)</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2,331,442 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2,215,290 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Operating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6.27 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Operating Income (Loss), Excluding Residential and Hotel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1,328,067 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(0.62)</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1,465,890 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Residential Net Operating Income (2)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(10.31)</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Hotel Net Operating Income (2)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Operating Income (Loss)</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1,358,553 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1,360,490 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29,046 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1,496,376 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1,442,266 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a detailed discussion of NOI, including the reasons management believes NOI is useful to investors, see page 60. Residential Net Operating Income for the nine months ended September 30, 2023 and 2022 is comprised of Residential Revenue of $35,768 and $44,218 less Residential Expenses of $16,984 and $23,274, respectively. Hotel Net Operating Income for the nine months ended September 30, 2023 and 2022 is comprised of Hotel Revenue of $35,554 and $28,395 less Hotel Expenses of $23,852 and $19,832, respectively,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ind w:left="0" w:right="0" w:firstLine="225"/>
        <w:jc w:val="left"/>
        <w:rPr>
          <w:rFonts w:ascii="Arial;sans-serif" w:hAnsi="Arial;sans-serif"/>
          <w:b/>
          <w:i/>
          <w:color w:val="000000"/>
          <w:sz w:val="20"/>
          <w:u w:val="single"/>
        </w:rPr>
      </w:pPr>
      <w:r>
        <w:rPr>
          <w:rFonts w:ascii="Arial;sans-serif" w:hAnsi="Arial;sans-serif"/>
          <w:b/>
          <w:i/>
          <w:color w:val="000000"/>
          <w:sz w:val="20"/>
          <w:u w:val="single"/>
        </w:rPr>
        <w:t>Same Property Portfolio</w:t>
      </w:r>
    </w:p>
    <w:p>
      <w:pPr>
        <w:pStyle w:val="TextBody"/>
        <w:bidi w:val="0"/>
        <w:spacing w:lineRule="auto" w:line="288" w:before="180" w:after="283"/>
        <w:ind w:left="0" w:right="0" w:firstLine="225"/>
        <w:jc w:val="left"/>
        <w:rPr>
          <w:rFonts w:ascii="Arial;sans-serif" w:hAnsi="Arial;sans-serif"/>
          <w:b/>
          <w:i/>
          <w:color w:val="000000"/>
          <w:sz w:val="20"/>
        </w:rPr>
      </w:pPr>
      <w:r>
        <w:rPr>
          <w:rFonts w:ascii="Arial;sans-serif" w:hAnsi="Arial;sans-serif"/>
          <w:b/>
          <w:i/>
          <w:color w:val="000000"/>
          <w:sz w:val="20"/>
        </w:rPr>
        <w:t>Lease Revenue (Excluding 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Lease revenue (excluding termination income) from the Same Property Portfolio increased by approximately $34.6 million for the nine months ended September 30, 2023 compared to 2022. The increase was a result of our average revenue per square foot increasing by approximately $2.08, contributing approximately $57.9 million, partially offset by average occupancy decreasing from 91.4% to 90.3%, resulting in a decrease of approximately $23.3 million.</w:t>
      </w:r>
    </w:p>
    <w:p>
      <w:pPr>
        <w:pStyle w:val="TextBody"/>
        <w:bidi w:val="0"/>
        <w:spacing w:lineRule="auto" w:line="288" w:before="280" w:after="283"/>
        <w:ind w:left="0" w:right="0" w:firstLine="270"/>
        <w:jc w:val="left"/>
        <w:rPr>
          <w:rFonts w:ascii="Arial;sans-serif" w:hAnsi="Arial;sans-serif"/>
          <w:b/>
          <w:i/>
          <w:color w:val="000000"/>
          <w:sz w:val="20"/>
        </w:rPr>
      </w:pPr>
      <w:r>
        <w:rPr>
          <w:rFonts w:ascii="Arial;sans-serif" w:hAnsi="Arial;sans-serif"/>
          <w:b/>
          <w:i/>
          <w:color w:val="000000"/>
          <w:sz w:val="20"/>
        </w:rPr>
        <w:t>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decreased by approximately $4.2 million for the nine months ended September 30, 2023 compared to 2022.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nine months ended September 30, 2023 related to approximately 20 clients across the Same Property Portfolio and totaled approximately $1.3 million, which was primarily related to clients that terminated leases early in Washington, DC.</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nine months ended September 30, 2022 related to 21 clients across the Same Property Portfolio and totaled approximately $5.0 million, which was primarily related to clients that terminated leases early in New York City. In addition, we received a distribution from our unsecured credit claim against Lehman Brothers, Inc. of approximately $0.6 million.</w:t>
      </w:r>
    </w:p>
    <w:p>
      <w:pPr>
        <w:pStyle w:val="TextBody"/>
        <w:bidi w:val="0"/>
        <w:spacing w:lineRule="auto" w:line="288" w:before="280" w:after="283"/>
        <w:ind w:left="0" w:right="0" w:firstLine="270"/>
        <w:jc w:val="left"/>
        <w:rPr>
          <w:rFonts w:ascii="Arial;sans-serif" w:hAnsi="Arial;sans-serif"/>
          <w:b/>
          <w:i/>
          <w:color w:val="000000"/>
          <w:sz w:val="20"/>
        </w:rPr>
      </w:pPr>
      <w:r>
        <w:rPr>
          <w:rFonts w:ascii="Arial;sans-serif" w:hAnsi="Arial;sans-serif"/>
          <w:b/>
          <w:i/>
          <w:color w:val="000000"/>
          <w:sz w:val="20"/>
        </w:rPr>
        <w:t>Parking and Other Revenue</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Parking and other revenue increased by approximately $9.7 million for the nine months ended September 30, 2023 compared to 2022. Parking and other revenue increased by approximately $6.4 million and $3.3 million, respectively. The increase in parking revenue was primarily due to an increase in transient and monthly parking. The increase in other revenue was primarily related to the View Boston observatory, which was completed and placed in-service on June 1, 2023.</w:t>
      </w:r>
    </w:p>
    <w:p>
      <w:pPr>
        <w:pStyle w:val="TextBody"/>
        <w:bidi w:val="0"/>
        <w:spacing w:lineRule="auto" w:line="288" w:before="280" w:after="283"/>
        <w:ind w:left="0" w:right="0" w:firstLine="225"/>
        <w:jc w:val="left"/>
        <w:rPr>
          <w:rFonts w:ascii="Arial;sans-serif" w:hAnsi="Arial;sans-serif"/>
          <w:b/>
          <w:i/>
          <w:color w:val="000000"/>
          <w:sz w:val="20"/>
          <w:shd w:fill="FFFFFF" w:val="clear"/>
        </w:rPr>
      </w:pPr>
      <w:r>
        <w:rPr>
          <w:rFonts w:ascii="Arial;sans-serif" w:hAnsi="Arial;sans-serif"/>
          <w:b/>
          <w:i/>
          <w:color w:val="000000"/>
          <w:sz w:val="20"/>
          <w:shd w:fill="FFFFFF" w:val="clear"/>
        </w:rPr>
        <w:t>Real Estate Operating Expenses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operating expenses from the Same Property Portfolio increased by approximately $48.3 million, or 6.3%, for the nine months ended September 30, 2023 compared to 2022, due primarily to increases in real estate taxes of approximately $15.8 million, or 4.2%, and other real estate operating expenses of approximately $26.9 million, or 6.9%. The increase in real estate taxes was primarily in New York City. In addition, there was approximately $5.6 million related to the marketing and operating expenses associated with the View Boston observatory which was completed and placed in-service on June 1, 2023.</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Properties Acquired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lists the properties acquired between January 1, 2022 and September 30, 2023. Rental revenue and real estate operating expenses increased by approximately $55.5 million and $7.0 million, respectively, for the nine months ended September 30, 2023 compared to 2022, as detailed below.</w:t>
      </w:r>
    </w:p>
    <w:tbl>
      <w:tblPr>
        <w:tblW w:w="11026" w:type="dxa"/>
        <w:jc w:val="left"/>
        <w:tblInd w:w="0" w:type="dxa"/>
        <w:tblLayout w:type="fixed"/>
        <w:tblCellMar>
          <w:top w:w="28" w:type="dxa"/>
          <w:left w:w="28" w:type="dxa"/>
          <w:bottom w:w="28" w:type="dxa"/>
          <w:right w:w="28" w:type="dxa"/>
        </w:tblCellMar>
      </w:tblPr>
      <w:tblGrid>
        <w:gridCol w:w="386"/>
        <w:gridCol w:w="233"/>
        <w:gridCol w:w="237"/>
        <w:gridCol w:w="109"/>
        <w:gridCol w:w="109"/>
        <w:gridCol w:w="109"/>
        <w:gridCol w:w="374"/>
        <w:gridCol w:w="276"/>
        <w:gridCol w:w="251"/>
        <w:gridCol w:w="109"/>
        <w:gridCol w:w="109"/>
        <w:gridCol w:w="109"/>
        <w:gridCol w:w="435"/>
        <w:gridCol w:w="436"/>
        <w:gridCol w:w="21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Madison Centre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125 Broadway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1,025,988 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8"/>
        </w:rPr>
        <w:t>Rental revenue for the nine months ended September 30, 2023 and</w:t>
      </w:r>
      <w:r>
        <w:rPr>
          <w:color w:val="000000"/>
        </w:rPr>
        <w:t xml:space="preserve"> </w:t>
      </w:r>
      <w:r>
        <w:rPr>
          <w:rFonts w:ascii="Arial;sans-serif" w:hAnsi="Arial;sans-serif"/>
          <w:b w:val="false"/>
          <w:color w:val="000000"/>
          <w:sz w:val="18"/>
        </w:rPr>
        <w:t>September 30, 2022 includes approximately $1.0 million and $0.4 million of termination income,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180"/>
        <w:jc w:val="left"/>
        <w:rPr>
          <w:rFonts w:ascii="Arial;sans-serif" w:hAnsi="Arial;sans-serif"/>
          <w:b/>
          <w:i/>
          <w:color w:val="000000"/>
          <w:sz w:val="20"/>
          <w:u w:val="single"/>
        </w:rPr>
      </w:pPr>
      <w:r>
        <w:rPr>
          <w:rFonts w:ascii="Arial;sans-serif" w:hAnsi="Arial;sans-serif"/>
          <w:b/>
          <w:i/>
          <w:color w:val="000000"/>
          <w:sz w:val="20"/>
          <w:u w:val="single"/>
        </w:rPr>
        <w:t>Properties Placed In-Service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placed in-service or partially placed in-service between January 1, 2022 and September 30, 2023. Rental revenue and real estate operating expenses from our Properties Placed In-Service Portfolio increased by approximately $66.7 million and $19.4 million, respectively, for the nine months ended September 30, 2023 compared to 2022, as detailed below. </w:t>
      </w:r>
    </w:p>
    <w:tbl>
      <w:tblPr>
        <w:tblW w:w="13229" w:type="dxa"/>
        <w:jc w:val="center"/>
        <w:tblInd w:w="0" w:type="dxa"/>
        <w:tblLayout w:type="fixed"/>
        <w:tblCellMar>
          <w:top w:w="28" w:type="dxa"/>
          <w:left w:w="28" w:type="dxa"/>
          <w:bottom w:w="28" w:type="dxa"/>
          <w:right w:w="28" w:type="dxa"/>
        </w:tblCellMar>
      </w:tblPr>
      <w:tblGrid>
        <w:gridCol w:w="473"/>
        <w:gridCol w:w="414"/>
        <w:gridCol w:w="209"/>
        <w:gridCol w:w="109"/>
        <w:gridCol w:w="109"/>
        <w:gridCol w:w="109"/>
        <w:gridCol w:w="285"/>
        <w:gridCol w:w="285"/>
        <w:gridCol w:w="286"/>
        <w:gridCol w:w="109"/>
        <w:gridCol w:w="109"/>
        <w:gridCol w:w="109"/>
        <w:gridCol w:w="470"/>
        <w:gridCol w:w="470"/>
        <w:gridCol w:w="471"/>
        <w:gridCol w:w="109"/>
        <w:gridCol w:w="109"/>
        <w:gridCol w:w="109"/>
        <w:gridCol w:w="435"/>
        <w:gridCol w:w="436"/>
        <w:gridCol w:w="21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Initially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Fully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(dollars 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325 Main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414,565 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2100 Pennsylvania Avenue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475,849 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 Winter Street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140 Kendrick Street - Building 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180 CityPoint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2,630,494 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6"/>
        </w:rPr>
        <w:t>(1)</w:t>
      </w:r>
      <w:r>
        <w:rPr>
          <w:rFonts w:ascii="Arial;sans-serif" w:hAnsi="Arial;sans-serif"/>
          <w:b w:val="false"/>
          <w:color w:val="000000"/>
          <w:sz w:val="18"/>
        </w:rPr>
        <w:t>Conversion of a 224,000 square foot office property located in Waltham, Massachusetts to laboratory space. Rental revenue for the nine months ended September 30, 2023 includes approximately $0.2 million of termination income.</w:t>
      </w:r>
    </w:p>
    <w:p>
      <w:pPr>
        <w:pStyle w:val="TextBody"/>
        <w:bidi w:val="0"/>
        <w:spacing w:lineRule="auto" w:line="288" w:before="280" w:after="283"/>
        <w:ind w:left="0" w:right="0" w:firstLine="180"/>
        <w:jc w:val="left"/>
        <w:rPr>
          <w:rFonts w:ascii="Arial;sans-serif" w:hAnsi="Arial;sans-serif"/>
          <w:b/>
          <w:i/>
          <w:color w:val="000000"/>
          <w:sz w:val="20"/>
          <w:u w:val="single"/>
        </w:rPr>
      </w:pPr>
      <w:r>
        <w:rPr>
          <w:rFonts w:ascii="Arial;sans-serif" w:hAnsi="Arial;sans-serif"/>
          <w:b/>
          <w:i/>
          <w:color w:val="000000"/>
          <w:sz w:val="20"/>
          <w:u w:val="single"/>
        </w:rPr>
        <w:t>Properties in or Held for Development or Redevelopment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in or held for development or redevelopment between January 1, 2022 and September 30, 2023. Rental revenue and real estate operating expenses from our Properties in or Held for Development or Redevelopment Portfolio decreased by approximately $13.2 million and $1.5 million, respectively, for the nine months ended September 30, 2023 compared to 2022, as detailed below. </w:t>
      </w:r>
    </w:p>
    <w:tbl>
      <w:tblPr>
        <w:tblW w:w="11221" w:type="dxa"/>
        <w:jc w:val="left"/>
        <w:tblInd w:w="0" w:type="dxa"/>
        <w:tblLayout w:type="fixed"/>
        <w:tblCellMar>
          <w:top w:w="28" w:type="dxa"/>
          <w:left w:w="28" w:type="dxa"/>
          <w:bottom w:w="28" w:type="dxa"/>
          <w:right w:w="28" w:type="dxa"/>
        </w:tblCellMar>
      </w:tblPr>
      <w:tblGrid>
        <w:gridCol w:w="422"/>
        <w:gridCol w:w="238"/>
        <w:gridCol w:w="241"/>
        <w:gridCol w:w="109"/>
        <w:gridCol w:w="109"/>
        <w:gridCol w:w="109"/>
        <w:gridCol w:w="445"/>
        <w:gridCol w:w="445"/>
        <w:gridCol w:w="446"/>
        <w:gridCol w:w="109"/>
        <w:gridCol w:w="109"/>
        <w:gridCol w:w="109"/>
        <w:gridCol w:w="368"/>
        <w:gridCol w:w="368"/>
        <w:gridCol w:w="211"/>
        <w:gridCol w:w="109"/>
        <w:gridCol w:w="109"/>
        <w:gridCol w:w="109"/>
        <w:gridCol w:w="196"/>
        <w:gridCol w:w="556"/>
        <w:gridCol w:w="109"/>
        <w:gridCol w:w="109"/>
        <w:gridCol w:w="109"/>
        <w:gridCol w:w="109"/>
        <w:gridCol w:w="196"/>
        <w:gridCol w:w="646"/>
        <w:gridCol w:w="109"/>
        <w:gridCol w:w="109"/>
        <w:gridCol w:w="109"/>
        <w:gridCol w:w="109"/>
        <w:gridCol w:w="196"/>
        <w:gridCol w:w="661"/>
        <w:gridCol w:w="109"/>
        <w:gridCol w:w="109"/>
        <w:gridCol w:w="109"/>
        <w:gridCol w:w="109"/>
        <w:gridCol w:w="196"/>
        <w:gridCol w:w="556"/>
        <w:gridCol w:w="109"/>
        <w:gridCol w:w="109"/>
        <w:gridCol w:w="109"/>
        <w:gridCol w:w="109"/>
        <w:gridCol w:w="196"/>
        <w:gridCol w:w="556"/>
        <w:gridCol w:w="109"/>
        <w:gridCol w:w="109"/>
        <w:gridCol w:w="109"/>
        <w:gridCol w:w="109"/>
        <w:gridCol w:w="196"/>
        <w:gridCol w:w="571"/>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Commenced or Held for Development / Redevelopment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760 Boylston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 Carnegie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2096 Gaither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RTC Next-Hotel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Kendall Center Blue Parking Garage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Binney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Lexington Office Park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2098 Gaither Road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693,779 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On December 19, 2022, in accordance with GAAP, the ground lease that encumbers this property was reclassified as a sales-type lease and the associated assets were derecognized.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Kendall Center Blue Parking Garage was taken out of service on January 4, 2023 to support the development of 290 Binney Street. Real estate operating expenses for the nine months ended September 30, 2023 included approximately $2.4 million of demolition costs.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(3)Lexington Office Park and 2098 Gaither Road are no longer considered “in-service” because each property’s occupied percentage is less than 50% and we are no longer actively leasing the properties in anticipation of a future development/redevelopment.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Properties Sold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we sold between January 1, 2022 and September 30, 2023. Rental revenue and real estate operating expenses from our Properties Sold Portfolio decreased by approximately $42.0 million and $13.9 million, respectively, for the nine months ended September 30, 2023 compared to 2022, as detailed below. </w:t>
      </w:r>
    </w:p>
    <w:tbl>
      <w:tblPr>
        <w:tblW w:w="12509" w:type="dxa"/>
        <w:jc w:val="center"/>
        <w:tblInd w:w="0" w:type="dxa"/>
        <w:tblLayout w:type="fixed"/>
        <w:tblCellMar>
          <w:top w:w="28" w:type="dxa"/>
          <w:left w:w="28" w:type="dxa"/>
          <w:bottom w:w="28" w:type="dxa"/>
          <w:right w:w="28" w:type="dxa"/>
        </w:tblCellMar>
      </w:tblPr>
      <w:tblGrid>
        <w:gridCol w:w="629"/>
        <w:gridCol w:w="438"/>
        <w:gridCol w:w="179"/>
        <w:gridCol w:w="109"/>
        <w:gridCol w:w="109"/>
        <w:gridCol w:w="109"/>
        <w:gridCol w:w="429"/>
        <w:gridCol w:w="296"/>
        <w:gridCol w:w="146"/>
        <w:gridCol w:w="109"/>
        <w:gridCol w:w="109"/>
        <w:gridCol w:w="109"/>
        <w:gridCol w:w="379"/>
        <w:gridCol w:w="276"/>
        <w:gridCol w:w="246"/>
        <w:gridCol w:w="109"/>
        <w:gridCol w:w="109"/>
        <w:gridCol w:w="109"/>
        <w:gridCol w:w="462"/>
        <w:gridCol w:w="409"/>
        <w:gridCol w:w="211"/>
        <w:gridCol w:w="109"/>
        <w:gridCol w:w="109"/>
        <w:gridCol w:w="109"/>
        <w:gridCol w:w="196"/>
        <w:gridCol w:w="556"/>
        <w:gridCol w:w="109"/>
        <w:gridCol w:w="109"/>
        <w:gridCol w:w="109"/>
        <w:gridCol w:w="109"/>
        <w:gridCol w:w="196"/>
        <w:gridCol w:w="646"/>
        <w:gridCol w:w="109"/>
        <w:gridCol w:w="109"/>
        <w:gridCol w:w="109"/>
        <w:gridCol w:w="109"/>
        <w:gridCol w:w="196"/>
        <w:gridCol w:w="661"/>
        <w:gridCol w:w="109"/>
        <w:gridCol w:w="109"/>
        <w:gridCol w:w="109"/>
        <w:gridCol w:w="109"/>
        <w:gridCol w:w="196"/>
        <w:gridCol w:w="421"/>
        <w:gridCol w:w="109"/>
        <w:gridCol w:w="109"/>
        <w:gridCol w:w="109"/>
        <w:gridCol w:w="109"/>
        <w:gridCol w:w="196"/>
        <w:gridCol w:w="646"/>
        <w:gridCol w:w="109"/>
        <w:gridCol w:w="109"/>
        <w:gridCol w:w="109"/>
        <w:gridCol w:w="109"/>
        <w:gridCol w:w="196"/>
        <w:gridCol w:w="66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(dollars in thousands)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195 West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Virginia 95 Office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15,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Office/Flex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733,421 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Avant at Reston Town Center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1,604,783 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(42,014)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8"/>
        </w:rPr>
        <w:t xml:space="preserve">We retained and continue to own approximately 26,000 square feet of ground-level retail space. Rental Revenue and Real Estate Operating Expenses for the nine months ended September 30, 2023 represent the ground-level retail space. Rental Revenue and Real Estate Operating Expenses for the nine months ended September 30, 2022 represent the entire property and not just the portion sold. </w:t>
      </w:r>
    </w:p>
    <w:p>
      <w:pPr>
        <w:pStyle w:val="TextBody"/>
        <w:bidi w:val="0"/>
        <w:spacing w:lineRule="auto" w:line="288" w:before="280" w:after="283"/>
        <w:ind w:left="0" w:right="0" w:firstLine="495"/>
        <w:jc w:val="left"/>
        <w:rPr/>
      </w:pPr>
      <w:r>
        <w:rPr>
          <w:rFonts w:ascii="Arial;sans-serif" w:hAnsi="Arial;sans-serif"/>
          <w:b w:val="false"/>
          <w:color w:val="000000"/>
          <w:sz w:val="20"/>
        </w:rPr>
        <w:t xml:space="preserve">For additional information on the sales of the above properties refer to </w:t>
      </w:r>
      <w:r>
        <w:rPr>
          <w:color w:val="000000"/>
        </w:rPr>
        <w:t>“</w:t>
      </w:r>
      <w:r>
        <w:rPr>
          <w:rFonts w:ascii="Arial;sans-serif" w:hAnsi="Arial;sans-serif"/>
          <w:b w:val="false"/>
          <w:i/>
          <w:color w:val="000000"/>
          <w:sz w:val="20"/>
        </w:rPr>
        <w:t xml:space="preserve">Results of Operations—Other Income and Expense Items—Gains on Sales of Real Estate” </w:t>
      </w:r>
      <w:r>
        <w:rPr>
          <w:rFonts w:ascii="Arial;sans-serif" w:hAnsi="Arial;sans-serif"/>
          <w:b w:val="false"/>
          <w:color w:val="000000"/>
          <w:sz w:val="20"/>
        </w:rPr>
        <w:t xml:space="preserve">within </w:t>
      </w:r>
      <w:r>
        <w:rPr>
          <w:color w:val="000000"/>
        </w:rPr>
        <w:t>“</w:t>
      </w:r>
      <w:r>
        <w:rPr>
          <w:rFonts w:ascii="Arial;sans-serif" w:hAnsi="Arial;sans-serif"/>
          <w:b w:val="false"/>
          <w:i/>
          <w:color w:val="000000"/>
          <w:sz w:val="20"/>
        </w:rPr>
        <w:t xml:space="preserve">Item 2—Management’s Discussion and Analysis of Financial Condition and Results of Operations.”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Residential Net Operating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operating income for our residential same properties increased by approximately $3.3 million for the nine months ended September 30, 2023 compared to 2022.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reflects our occupancy and rate information for our residential same properties for the nine months ended September 30, 2023 and 2022. </w:t>
      </w:r>
    </w:p>
    <w:tbl>
      <w:tblPr>
        <w:tblW w:w="11173" w:type="dxa"/>
        <w:jc w:val="left"/>
        <w:tblInd w:w="0" w:type="dxa"/>
        <w:tblLayout w:type="fixed"/>
        <w:tblCellMar>
          <w:top w:w="28" w:type="dxa"/>
          <w:left w:w="28" w:type="dxa"/>
          <w:bottom w:w="28" w:type="dxa"/>
          <w:right w:w="28" w:type="dxa"/>
        </w:tblCellMar>
      </w:tblPr>
      <w:tblGrid>
        <w:gridCol w:w="399"/>
        <w:gridCol w:w="205"/>
        <w:gridCol w:w="207"/>
        <w:gridCol w:w="109"/>
        <w:gridCol w:w="109"/>
        <w:gridCol w:w="109"/>
        <w:gridCol w:w="196"/>
        <w:gridCol w:w="556"/>
        <w:gridCol w:w="109"/>
        <w:gridCol w:w="196"/>
        <w:gridCol w:w="556"/>
        <w:gridCol w:w="109"/>
        <w:gridCol w:w="214"/>
        <w:gridCol w:w="162"/>
        <w:gridCol w:w="357"/>
        <w:gridCol w:w="109"/>
        <w:gridCol w:w="109"/>
        <w:gridCol w:w="109"/>
        <w:gridCol w:w="196"/>
        <w:gridCol w:w="466"/>
        <w:gridCol w:w="109"/>
        <w:gridCol w:w="196"/>
        <w:gridCol w:w="466"/>
        <w:gridCol w:w="109"/>
        <w:gridCol w:w="193"/>
        <w:gridCol w:w="193"/>
        <w:gridCol w:w="275"/>
        <w:gridCol w:w="109"/>
        <w:gridCol w:w="109"/>
        <w:gridCol w:w="109"/>
        <w:gridCol w:w="233"/>
        <w:gridCol w:w="233"/>
        <w:gridCol w:w="256"/>
        <w:gridCol w:w="233"/>
        <w:gridCol w:w="233"/>
        <w:gridCol w:w="256"/>
        <w:gridCol w:w="235"/>
        <w:gridCol w:w="231"/>
        <w:gridCol w:w="275"/>
        <w:gridCol w:w="109"/>
        <w:gridCol w:w="109"/>
        <w:gridCol w:w="109"/>
        <w:gridCol w:w="233"/>
        <w:gridCol w:w="233"/>
        <w:gridCol w:w="256"/>
        <w:gridCol w:w="233"/>
        <w:gridCol w:w="233"/>
        <w:gridCol w:w="256"/>
        <w:gridCol w:w="243"/>
        <w:gridCol w:w="223"/>
        <w:gridCol w:w="301"/>
      </w:tblGrid>
      <w:tr>
        <w:trPr/>
        <w:tc>
          <w:tcPr>
            <w:tcW w:w="3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Monthly Rental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Rental Rate Per Occupied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Physical Occupancy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Economic Occupancy (3)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Change (%)</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Proto Kendall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Lofts at Atlantic Wharf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Signature at Reston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Skylyne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(1)Average Monthly Rental Rate is calculated as the average of the quotients obtained by dividing (A) rental revenue as determined in accordance with GAAP, by (B) the number of occupied units for each month within the applicable fiscal period.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(2)Average Physical Occupancy is defined as (1) the average number of occupied units divided by (2) the total number of units, expressed as a percentage.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 xml:space="preserve">Hotel Net Operating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Boston Marriott Cambridge hotel had net operating income of approximately $11.7 million for the nine months ended September 30, 2023, representing an increase of approximately $3.1 million compared to the nine months ended September 30, 2022. As demand for travel has returned, the Boston Marriott Cambridge has seen an increase in occupancy and room rates, which has led to increased net operating income.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reflects our occupancy and rate information for the Boston Marriott Cambridge hotel for the nine months ended September 30, 2023 and 2022.</w:t>
      </w:r>
    </w:p>
    <w:tbl>
      <w:tblPr>
        <w:tblW w:w="6363"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51"/>
        <w:gridCol w:w="286"/>
        <w:gridCol w:w="109"/>
        <w:gridCol w:w="109"/>
        <w:gridCol w:w="109"/>
        <w:gridCol w:w="211"/>
        <w:gridCol w:w="751"/>
        <w:gridCol w:w="286"/>
        <w:gridCol w:w="109"/>
        <w:gridCol w:w="109"/>
        <w:gridCol w:w="109"/>
        <w:gridCol w:w="270"/>
        <w:gridCol w:w="271"/>
        <w:gridCol w:w="65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000000"/>
                <w:sz w:val="16"/>
              </w:rPr>
              <w:t>Change (%)</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daily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0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Other Operating Revenue and Expense Items</w:t>
      </w:r>
    </w:p>
    <w:p>
      <w:pPr>
        <w:pStyle w:val="TextBody"/>
        <w:bidi w:val="0"/>
        <w:spacing w:lineRule="auto" w:line="288" w:before="180" w:after="283"/>
        <w:ind w:left="0" w:right="0" w:firstLine="225"/>
        <w:jc w:val="left"/>
        <w:rPr>
          <w:rFonts w:ascii="Arial;sans-serif" w:hAnsi="Arial;sans-serif"/>
          <w:b/>
          <w:i/>
          <w:color w:val="000000"/>
          <w:sz w:val="20"/>
        </w:rPr>
      </w:pPr>
      <w:r>
        <w:rPr>
          <w:rFonts w:ascii="Arial;sans-serif" w:hAnsi="Arial;sans-serif"/>
          <w:b/>
          <w:i/>
          <w:color w:val="000000"/>
          <w:sz w:val="20"/>
        </w:rPr>
        <w:t>Development and Management Services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Development and management services revenue increased by approximately $8.5 million for the nine months ended September 30, 2023 compared to 2022. Development services revenue and management services revenue increased by approximately $2.9 million and $5.6 million, respectively. The increase in development services revenue was primarily related to an increase in development fees earned from unconsolidated joint venture properties in the San Francisco and Washington, DC regions. The increase in management services revenue was primarily related to an increase in property management fees from an unconsolidated joint venture in the New York region and asset management fees earned from an unconsolidated joint venture in the Los Angeles region.</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General and Administrative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General and administrative expense increased by approximately $21.0 million for the nine months ended September 30, 2023 compared to 2022 primarily due to increases in compensation expense and other general and administrative expenses of approximately $19.0 million and $2.0 million, respectively. The increase in compensation expense related to (1) an approximately $10.8 million increase in the value of our deferred compensation plan and (2) an approximately $8.2 million increase in other compensation expenses, primarily due to age-based vesting and annual increases in employee compensation. The increase in other general and administrative expenses primarily related to an increase in professional fees.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Wages directly related to the development of rental properties are capitalized and included in real estate assets on our Consolidated Balance Sheets and amortized over the useful lives of the applicable asset or lease term. Capitalized wages for the nine months ended September 30, 2023 and 2022 were approximately $13.5 million and $12.0 million, respectively. These costs are not included in the general and administrative expenses discussed above.</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Transaction Costs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Transaction costs decreased by approximately $0.2 million for the nine months ended September 30, 2023 compared to 2022. In general, transaction costs relating to the formation of new joint ventures and the pursuit of other transactions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Depreciation and Amortization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$67.3 million for the nine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1726"/>
        <w:gridCol w:w="1321"/>
        <w:gridCol w:w="1335"/>
        <w:gridCol w:w="109"/>
        <w:gridCol w:w="109"/>
        <w:gridCol w:w="109"/>
        <w:gridCol w:w="281"/>
        <w:gridCol w:w="1141"/>
        <w:gridCol w:w="145"/>
        <w:gridCol w:w="145"/>
        <w:gridCol w:w="145"/>
        <w:gridCol w:w="145"/>
        <w:gridCol w:w="281"/>
        <w:gridCol w:w="1141"/>
        <w:gridCol w:w="145"/>
        <w:gridCol w:w="145"/>
        <w:gridCol w:w="145"/>
        <w:gridCol w:w="145"/>
        <w:gridCol w:w="281"/>
        <w:gridCol w:w="1001"/>
        <w:gridCol w:w="210"/>
      </w:tblGrid>
      <w:tr>
        <w:trPr/>
        <w:tc>
          <w:tcPr>
            <w:tcW w:w="17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Depreciation and Amortization for the nine months ended September 30,</w:t>
            </w:r>
          </w:p>
        </w:tc>
      </w:tr>
      <w:tr>
        <w:trPr/>
        <w:tc>
          <w:tcPr>
            <w:tcW w:w="4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528,915 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Acquired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Properties Placed In-Service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or Held for Development or Redevelopment Portfolio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551,445 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67,301 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8"/>
        </w:rPr>
        <w:t>During the nine months ended September 30, 2023, the Kendall Center Blue Parking Garage was taken out of service and demolished to support the development of 290 Binney Street, an approximately 566,000 net rentable square foot laboratory/life sciences project in Cambridge, Massachusetts. As a result, during the nine months ended September 30, 2023, we recorded approximately $0.8 million of accelerated depreciation expense for the demolition of the garage, of which approximately $0.2 million related to the step-up of real estate assets.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$67.2 million for the nine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1726"/>
        <w:gridCol w:w="1322"/>
        <w:gridCol w:w="1334"/>
        <w:gridCol w:w="109"/>
        <w:gridCol w:w="109"/>
        <w:gridCol w:w="109"/>
        <w:gridCol w:w="281"/>
        <w:gridCol w:w="1141"/>
        <w:gridCol w:w="145"/>
        <w:gridCol w:w="145"/>
        <w:gridCol w:w="145"/>
        <w:gridCol w:w="145"/>
        <w:gridCol w:w="281"/>
        <w:gridCol w:w="1141"/>
        <w:gridCol w:w="145"/>
        <w:gridCol w:w="145"/>
        <w:gridCol w:w="145"/>
        <w:gridCol w:w="145"/>
        <w:gridCol w:w="281"/>
        <w:gridCol w:w="1001"/>
        <w:gridCol w:w="210"/>
      </w:tblGrid>
      <w:tr>
        <w:trPr/>
        <w:tc>
          <w:tcPr>
            <w:tcW w:w="172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Depreciation and Amortization for the nine months ended September 30,</w:t>
            </w:r>
          </w:p>
        </w:tc>
      </w:tr>
      <w:tr>
        <w:trPr/>
        <w:tc>
          <w:tcPr>
            <w:tcW w:w="4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502,557 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Acquired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Placed In-Service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or Held for Development or Redevelopment Portfolio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613,446 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546,271 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67,175 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8"/>
        </w:rPr>
        <w:t>During the nine months ended September 30, 2023, the Kendall Center Blue Parking Garage was taken out of service and demolished to support the development of 290 Binney Street, an approximately 566,000 net rentable square foot laboratory/life sciences project in Cambridge, Massachusetts. As a result, during the nine months ended September 30, 2023, we recorded approximately $0.6 million of accelerated depreciation expense for the demolition of the garage.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Direct Reimbursements of Payroll and Related Costs From Management Services Contracts and Payroll and Related Costs From Management Service Contracts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Other Income and Expense Items</w:t>
      </w:r>
    </w:p>
    <w:p>
      <w:pPr>
        <w:pStyle w:val="TextBody"/>
        <w:bidi w:val="0"/>
        <w:spacing w:lineRule="auto" w:line="288" w:before="180" w:after="283"/>
        <w:ind w:left="0" w:right="0" w:firstLine="225"/>
        <w:jc w:val="left"/>
        <w:rPr>
          <w:rFonts w:ascii="Arial;sans-serif" w:hAnsi="Arial;sans-serif"/>
          <w:b/>
          <w:i/>
          <w:color w:val="000000"/>
          <w:sz w:val="20"/>
        </w:rPr>
      </w:pPr>
      <w:r>
        <w:rPr>
          <w:rFonts w:ascii="Arial;sans-serif" w:hAnsi="Arial;sans-serif"/>
          <w:b/>
          <w:i/>
          <w:color w:val="000000"/>
          <w:sz w:val="20"/>
        </w:rPr>
        <w:t>Loss from Unconsolidated Joint Ventures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nine months ended September 30, 2023 compared to 2022, loss from unconsolidated joint ventures increased by approximately $260.4 million primarily due to non-cash impairment charges related to our investments in 360 Park Avenue South, 200 Fifth Avenue, Platform 16, and Safeco Plaza of approximately $54.0 million, $33.4 million, $155.2 million, and $29.9 million, respectively, partially offset by an approximately $35.8 million gain on investment related to our Metropolitan Square joint venture interest (See Note 5 to the Consolidated Financial Statements).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Gains on Sales of Real Estate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immediately follows the cover page of this Quarterly Report on Form 10-Q.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decreased by approximately $380.8 million for the nine months ended September 30, 2023 compared to 2022, as detailed below. </w:t>
      </w:r>
    </w:p>
    <w:tbl>
      <w:tblPr>
        <w:tblW w:w="10205" w:type="dxa"/>
        <w:jc w:val="left"/>
        <w:tblInd w:w="0" w:type="dxa"/>
        <w:tblLayout w:type="fixed"/>
        <w:tblCellMar>
          <w:top w:w="28" w:type="dxa"/>
          <w:left w:w="28" w:type="dxa"/>
          <w:bottom w:w="28" w:type="dxa"/>
          <w:right w:w="28" w:type="dxa"/>
        </w:tblCellMar>
      </w:tblPr>
      <w:tblGrid>
        <w:gridCol w:w="678"/>
        <w:gridCol w:w="509"/>
        <w:gridCol w:w="339"/>
        <w:gridCol w:w="109"/>
        <w:gridCol w:w="109"/>
        <w:gridCol w:w="109"/>
        <w:gridCol w:w="458"/>
        <w:gridCol w:w="379"/>
        <w:gridCol w:w="269"/>
        <w:gridCol w:w="109"/>
        <w:gridCol w:w="109"/>
        <w:gridCol w:w="109"/>
        <w:gridCol w:w="304"/>
        <w:gridCol w:w="304"/>
        <w:gridCol w:w="305"/>
        <w:gridCol w:w="109"/>
        <w:gridCol w:w="109"/>
        <w:gridCol w:w="109"/>
        <w:gridCol w:w="414"/>
        <w:gridCol w:w="334"/>
        <w:gridCol w:w="265"/>
        <w:gridCol w:w="109"/>
        <w:gridCol w:w="109"/>
        <w:gridCol w:w="109"/>
        <w:gridCol w:w="196"/>
        <w:gridCol w:w="557"/>
        <w:gridCol w:w="109"/>
        <w:gridCol w:w="109"/>
        <w:gridCol w:w="109"/>
        <w:gridCol w:w="109"/>
        <w:gridCol w:w="247"/>
        <w:gridCol w:w="703"/>
        <w:gridCol w:w="137"/>
        <w:gridCol w:w="109"/>
        <w:gridCol w:w="109"/>
        <w:gridCol w:w="109"/>
        <w:gridCol w:w="293"/>
        <w:gridCol w:w="831"/>
        <w:gridCol w:w="162"/>
        <w:gridCol w:w="109"/>
        <w:gridCol w:w="109"/>
        <w:gridCol w:w="232"/>
      </w:tblGrid>
      <w:tr>
        <w:trPr/>
        <w:tc>
          <w:tcPr>
            <w:tcW w:w="6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Cash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on Sale of Real Estate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c>
          <w:tcPr>
            <w:tcW w:w="4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195 West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63,500 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Virginia 95 Office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Office/Flex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733,421 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Broadrun Land Parcel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(1)Excludes approximately $0.5 million of gains on sales of real estate recognized during the nine months ended September 30, 2023 related to gain amounts from sales of real estate occurring in prior periods.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(2)Excludes approximately $0.6 million of gains on sales of real estate recognized during the nine months ended September 30, 2022 related to gain amounts from sales of real estate occurring in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Gains on sales of real estate decreased by approximately $384.8 million for the nine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678"/>
        <w:gridCol w:w="509"/>
        <w:gridCol w:w="339"/>
        <w:gridCol w:w="109"/>
        <w:gridCol w:w="109"/>
        <w:gridCol w:w="109"/>
        <w:gridCol w:w="458"/>
        <w:gridCol w:w="379"/>
        <w:gridCol w:w="269"/>
        <w:gridCol w:w="109"/>
        <w:gridCol w:w="109"/>
        <w:gridCol w:w="109"/>
        <w:gridCol w:w="304"/>
        <w:gridCol w:w="304"/>
        <w:gridCol w:w="305"/>
        <w:gridCol w:w="109"/>
        <w:gridCol w:w="109"/>
        <w:gridCol w:w="109"/>
        <w:gridCol w:w="414"/>
        <w:gridCol w:w="334"/>
        <w:gridCol w:w="265"/>
        <w:gridCol w:w="109"/>
        <w:gridCol w:w="109"/>
        <w:gridCol w:w="109"/>
        <w:gridCol w:w="196"/>
        <w:gridCol w:w="557"/>
        <w:gridCol w:w="109"/>
        <w:gridCol w:w="109"/>
        <w:gridCol w:w="109"/>
        <w:gridCol w:w="109"/>
        <w:gridCol w:w="247"/>
        <w:gridCol w:w="703"/>
        <w:gridCol w:w="137"/>
        <w:gridCol w:w="109"/>
        <w:gridCol w:w="109"/>
        <w:gridCol w:w="109"/>
        <w:gridCol w:w="293"/>
        <w:gridCol w:w="831"/>
        <w:gridCol w:w="162"/>
        <w:gridCol w:w="109"/>
        <w:gridCol w:w="109"/>
        <w:gridCol w:w="232"/>
      </w:tblGrid>
      <w:tr>
        <w:trPr/>
        <w:tc>
          <w:tcPr>
            <w:tcW w:w="6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Cash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on Sale of Real Estate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c>
          <w:tcPr>
            <w:tcW w:w="4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195 West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63,500 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Virginia 95 Office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Office/Flex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733,421 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Broadrun Land Parcel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(1)Excludes approximately $0.5 million of gains on sales of real estate recognized during the nine months ended September 30, 2023 related to gain amounts from sales of real estate occurring in prior periods.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(2)Excludes approximately $0.5 million of gains on sales of real estate recognized during the nine months ended September 30, 2022 related to gain amounts from sales of real estate occurring in prior periods.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Interest and Other Income (Loss)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Interest and other income (loss) increased by approximately $42.8 million for the nine months ended September 30, 2023 compared to 2022, due primarily to an increase of approximately $43.6 million in interest income due to increased interest earned on our deposits partially offset by an increase in our allowance for current expected credit losses of approximately $0.8 million.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Other Income - Assignment Fee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Gains (Losses) from Investments in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Gains (losses) from investments in securities for the nine months ended September 30, 2023 and 2022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nine months ended September 30, 2023 and 2022, we recognized gains (losses) of approximately $2.3 million and $(8.5) million, respectively, on these investments. By comparison, our general and administrative expense increased (decreased) by approximately $2.3 million and $(8.5) million during the nine months ended September 30, 2023 and 2022, respectively, as a result of increases (decreases) in our liability under our deferred compensation plans that was associated with the performance of the specific investments selected by officers and former non-employee directors of BXP participating in the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Unrealized Gain on Non-Real Estate Investment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year ended December 31, 2022, we began investing in non-real estate investments, which are primarily environmentally focused investment funds. As a result, for the nine months ended September 30, 2023, we recognized an unrealized gain of approximately $0.3 million due to the observable changes in the fair value of the investments.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increased by approximately $107.3 million for the nine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1751"/>
        <w:gridCol w:w="1481"/>
        <w:gridCol w:w="1486"/>
        <w:gridCol w:w="109"/>
        <w:gridCol w:w="109"/>
        <w:gridCol w:w="109"/>
        <w:gridCol w:w="888"/>
        <w:gridCol w:w="3614"/>
        <w:gridCol w:w="658"/>
      </w:tblGrid>
      <w:tr>
        <w:trPr/>
        <w:tc>
          <w:tcPr>
            <w:tcW w:w="175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 in interest expense for the nine months ended September 30, 2023 compared to September 30, 2022</w:t>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interest associated with unsecured term loans and the unsecured credit facility,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39,236 </w:t>
            </w:r>
          </w:p>
        </w:tc>
        <w:tc>
          <w:tcPr>
            <w:tcW w:w="6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$750 million in aggregate principal of 6.750% senior notes due 2027 on November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38,025 </w:t>
            </w:r>
          </w:p>
        </w:tc>
        <w:tc>
          <w:tcPr>
            <w:tcW w:w="65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$750 million in aggregate principal of 6.500% senior notes due 2034 on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18,338 </w:t>
            </w:r>
          </w:p>
        </w:tc>
        <w:tc>
          <w:tcPr>
            <w:tcW w:w="6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interest due to finance lease for one in-service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7,377 </w:t>
            </w:r>
          </w:p>
        </w:tc>
        <w:tc>
          <w:tcPr>
            <w:tcW w:w="65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of financing fees primarily related to 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6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capitalized interest related to development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1,998 </w:t>
            </w:r>
          </w:p>
        </w:tc>
        <w:tc>
          <w:tcPr>
            <w:tcW w:w="65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 (excluding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increases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108,572 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to interest expense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$500 million in aggregate principal of 3.125% senior notes due 2023 on September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107,276 </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nine months ended September 30, 2023 and 2022 was approximately $30.8 million and $40.0 million, respectively. These costs are not included in the interest expense referenced above.</w:t>
      </w:r>
    </w:p>
    <w:p>
      <w:pPr>
        <w:pStyle w:val="TextBody"/>
        <w:bidi w:val="0"/>
        <w:spacing w:lineRule="auto" w:line="288" w:before="180" w:after="283"/>
        <w:ind w:left="0" w:right="0" w:firstLine="495"/>
        <w:jc w:val="left"/>
        <w:rPr/>
      </w:pPr>
      <w:r>
        <w:rPr>
          <w:rFonts w:ascii="Arial;sans-serif" w:hAnsi="Arial;sans-serif"/>
          <w:b w:val="false"/>
          <w:color w:val="000000"/>
          <w:sz w:val="20"/>
          <w:shd w:fill="FFFFFF" w:val="clear"/>
        </w:rPr>
        <w:t>At September</w:t>
      </w:r>
      <w:r>
        <w:rPr>
          <w:color w:val="000000"/>
        </w:rPr>
        <w:t xml:space="preserve"> </w:t>
      </w:r>
      <w:r>
        <w:rPr>
          <w:rFonts w:ascii="Arial;sans-serif" w:hAnsi="Arial;sans-serif"/>
          <w:b w:val="false"/>
          <w:color w:val="000000"/>
          <w:sz w:val="20"/>
        </w:rPr>
        <w:t>30, 2023, our variable rate debt consisted of BPLP’s $1.815 billion revolving credit facility (the “Revolving Facility”) under its 2021 Credit Facility and $1.2 billion 2023 Unsecured Term Loan. As of September 30, 2023, the Revolving Facility did not have a balance outstanding and the 2023 Unsecured Term Loan had $1.2 billion outstanding. On May 2, 2023, BPLP entered into four interest rate swap contracts with notional amounts aggregating $1.2 billion to effectively fix Term SOFR, the reference rate for the 2023 Unsecured Term Loan, at a weighted-average rate of 4.6420% for the period commencing on May 4, 2023 and ending on May 16, 2024. For a summary of our consolidated debt as of September 30, 2023 refer to the heading “</w:t>
      </w:r>
      <w:r>
        <w:rPr>
          <w:rFonts w:ascii="Arial;sans-serif" w:hAnsi="Arial;sans-serif"/>
          <w:b w:val="false"/>
          <w:i/>
          <w:color w:val="000000"/>
          <w:sz w:val="20"/>
        </w:rPr>
        <w:t>Liquidity and Capital Resources—Debt Financing”</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Noncontrolling Interests in 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Noncontrolling interests in property partnerships increased by approximately $4.4 million for the nine months ended September 30, 2023 compared to 2022, as detailed below. </w:t>
      </w:r>
    </w:p>
    <w:tbl>
      <w:tblPr>
        <w:tblW w:w="10205" w:type="dxa"/>
        <w:jc w:val="center"/>
        <w:tblInd w:w="0" w:type="dxa"/>
        <w:tblLayout w:type="fixed"/>
        <w:tblCellMar>
          <w:top w:w="28" w:type="dxa"/>
          <w:left w:w="28" w:type="dxa"/>
          <w:bottom w:w="28" w:type="dxa"/>
          <w:right w:w="28" w:type="dxa"/>
        </w:tblCellMar>
      </w:tblPr>
      <w:tblGrid>
        <w:gridCol w:w="1181"/>
        <w:gridCol w:w="1015"/>
        <w:gridCol w:w="1021"/>
        <w:gridCol w:w="109"/>
        <w:gridCol w:w="109"/>
        <w:gridCol w:w="109"/>
        <w:gridCol w:w="369"/>
        <w:gridCol w:w="1314"/>
        <w:gridCol w:w="190"/>
        <w:gridCol w:w="190"/>
        <w:gridCol w:w="190"/>
        <w:gridCol w:w="190"/>
        <w:gridCol w:w="369"/>
        <w:gridCol w:w="1314"/>
        <w:gridCol w:w="190"/>
        <w:gridCol w:w="190"/>
        <w:gridCol w:w="190"/>
        <w:gridCol w:w="190"/>
        <w:gridCol w:w="369"/>
        <w:gridCol w:w="1130"/>
        <w:gridCol w:w="276"/>
      </w:tblGrid>
      <w:tr>
        <w:trPr/>
        <w:tc>
          <w:tcPr>
            <w:tcW w:w="118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2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Noncontrolling Interests in Property Partnerships for the nine months ended September 30,</w:t>
            </w:r>
          </w:p>
        </w:tc>
      </w:tr>
      <w:tr>
        <w:trPr/>
        <w:tc>
          <w:tcPr>
            <w:tcW w:w="3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767 Fifth Avenue (the General Motors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Times Square Tower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601 Lexington Avenue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 Federal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Atlantic Wharf Office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343 Madison Avenue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54,896 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4,441 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increase was primarily attributable to an increase in lease revenue from our clients.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increase was primarily attributable to an increase in lease revenue from our clients.</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(3)343 Madison Avenue is held for future development (See Notes 4 and 9 to the Consolidated Financial Statements).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Noncontrolling Interest—Common Units of the Operating Partnership</w:t>
      </w:r>
    </w:p>
    <w:p>
      <w:pPr>
        <w:pStyle w:val="TextBody"/>
        <w:bidi w:val="0"/>
        <w:spacing w:lineRule="auto" w:line="288" w:before="100" w:after="283"/>
        <w:ind w:left="0" w:right="0" w:firstLine="495"/>
        <w:jc w:val="left"/>
        <w:rPr/>
      </w:pPr>
      <w:r>
        <w:rPr>
          <w:rFonts w:ascii="Arial;sans-serif" w:hAnsi="Arial;sans-serif"/>
          <w:b w:val="false"/>
          <w:color w:val="000000"/>
          <w:sz w:val="20"/>
        </w:rPr>
        <w:t xml:space="preserve">For BXP, noncontrolling interest—common units of the Operating Partnership decreased by approximately $74.2 million for the </w:t>
      </w:r>
      <w:r>
        <w:rPr>
          <w:rFonts w:ascii="Arial;sans-serif" w:hAnsi="Arial;sans-serif"/>
          <w:b w:val="false"/>
          <w:color w:val="000000"/>
          <w:sz w:val="20"/>
          <w:shd w:fill="FFFFFF" w:val="clear"/>
        </w:rPr>
        <w:t>nine months</w:t>
      </w:r>
      <w:r>
        <w:rPr>
          <w:color w:val="000000"/>
        </w:rPr>
        <w:t xml:space="preserve"> </w:t>
      </w:r>
      <w:r>
        <w:rPr>
          <w:rFonts w:ascii="Arial;sans-serif" w:hAnsi="Arial;sans-serif"/>
          <w:b w:val="false"/>
          <w:color w:val="000000"/>
          <w:sz w:val="20"/>
        </w:rPr>
        <w:t xml:space="preserve">ended September 30, 2023 compared to 2022 due primarily to a decrease in allocable income, which was the result of recognizing a greater gain on sales of real estate amount during 2022. Due to our ownership structure, there is no corresponding line item on BPLP’s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Results of Operations for the Three Months Ended September 30, 2023 and 2022</w:t>
      </w:r>
    </w:p>
    <w:p>
      <w:pPr>
        <w:pStyle w:val="TextBody"/>
        <w:bidi w:val="0"/>
        <w:spacing w:lineRule="auto" w:line="288" w:before="100" w:after="283"/>
        <w:ind w:left="0" w:right="0" w:firstLine="480"/>
        <w:jc w:val="left"/>
        <w:rPr/>
      </w:pPr>
      <w:r>
        <w:rPr>
          <w:rFonts w:ascii="Arial;sans-serif" w:hAnsi="Arial;sans-serif"/>
          <w:b w:val="false"/>
          <w:color w:val="000000"/>
          <w:sz w:val="20"/>
        </w:rPr>
        <w:t>Net income (loss) attributable to Boston Properties, Inc. and net income (loss) attributable to Boston Properties Limited Partnership decreased approximately $472.8 million and $526.3 million, respectively, for the three months ended September 30, 2023 compared to 2022, as detailed in the following tables and for the reasons discussed below under the heading “</w:t>
      </w:r>
      <w:r>
        <w:rPr>
          <w:rFonts w:ascii="Arial;sans-serif" w:hAnsi="Arial;sans-serif"/>
          <w:b w:val="false"/>
          <w:i/>
          <w:color w:val="000000"/>
          <w:sz w:val="20"/>
        </w:rPr>
        <w:t>Comparison of the three months ended September 30, 2023 to the three months ended September 30, 2022” within “Item 2—Management’s Discussion and Analysis of Financial Condition and Results of Operations.</w:t>
      </w:r>
      <w:r>
        <w:rPr>
          <w:color w:val="000000"/>
        </w:rPr>
        <w:t>”</w:t>
      </w:r>
    </w:p>
    <w:p>
      <w:pPr>
        <w:pStyle w:val="TextBody"/>
        <w:bidi w:val="0"/>
        <w:spacing w:lineRule="auto" w:line="288" w:before="180" w:after="283"/>
        <w:ind w:left="0" w:right="0" w:firstLine="495"/>
        <w:jc w:val="left"/>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following are reconciliations of Net Income (Loss) Attributable to Boston Properties, Inc. to Net Operating Income and Net Income (Loss) Attributable to Boston Properties Limited Partnership</w:t>
      </w:r>
      <w:r>
        <w:rPr>
          <w:color w:val="000000"/>
        </w:rPr>
        <w:t xml:space="preserve"> </w:t>
      </w:r>
      <w:r>
        <w:rPr>
          <w:rFonts w:ascii="Arial;sans-serif" w:hAnsi="Arial;sans-serif"/>
          <w:b w:val="false"/>
          <w:color w:val="000000"/>
          <w:sz w:val="20"/>
        </w:rPr>
        <w:t>to Net Operating Income for the three months ended September 30, 2023 and 2022. For a detailed discussion of NOI, including the reasons management believes NOI is useful to investors, see page 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BXP</w:t>
      </w:r>
    </w:p>
    <w:tbl>
      <w:tblPr>
        <w:tblW w:w="10205" w:type="dxa"/>
        <w:jc w:val="center"/>
        <w:tblInd w:w="0" w:type="dxa"/>
        <w:tblLayout w:type="fixed"/>
        <w:tblCellMar>
          <w:top w:w="28" w:type="dxa"/>
          <w:left w:w="28" w:type="dxa"/>
          <w:bottom w:w="28" w:type="dxa"/>
          <w:right w:w="28" w:type="dxa"/>
        </w:tblCellMar>
      </w:tblPr>
      <w:tblGrid>
        <w:gridCol w:w="1586"/>
        <w:gridCol w:w="1214"/>
        <w:gridCol w:w="1221"/>
        <w:gridCol w:w="109"/>
        <w:gridCol w:w="109"/>
        <w:gridCol w:w="109"/>
        <w:gridCol w:w="211"/>
        <w:gridCol w:w="868"/>
        <w:gridCol w:w="109"/>
        <w:gridCol w:w="109"/>
        <w:gridCol w:w="109"/>
        <w:gridCol w:w="109"/>
        <w:gridCol w:w="211"/>
        <w:gridCol w:w="826"/>
        <w:gridCol w:w="109"/>
        <w:gridCol w:w="109"/>
        <w:gridCol w:w="109"/>
        <w:gridCol w:w="109"/>
        <w:gridCol w:w="211"/>
        <w:gridCol w:w="868"/>
        <w:gridCol w:w="109"/>
        <w:gridCol w:w="109"/>
        <w:gridCol w:w="109"/>
        <w:gridCol w:w="109"/>
        <w:gridCol w:w="435"/>
        <w:gridCol w:w="436"/>
        <w:gridCol w:w="483"/>
      </w:tblGrid>
      <w:tr>
        <w:trPr/>
        <w:tc>
          <w:tcPr>
            <w:tcW w:w="15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(124.61)</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6,924.86 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BPLP</w:t>
      </w:r>
    </w:p>
    <w:tbl>
      <w:tblPr>
        <w:tblW w:w="10205" w:type="dxa"/>
        <w:jc w:val="left"/>
        <w:tblInd w:w="0" w:type="dxa"/>
        <w:tblLayout w:type="fixed"/>
        <w:tblCellMar>
          <w:top w:w="28" w:type="dxa"/>
          <w:left w:w="28" w:type="dxa"/>
          <w:bottom w:w="28" w:type="dxa"/>
          <w:right w:w="28" w:type="dxa"/>
        </w:tblCellMar>
      </w:tblPr>
      <w:tblGrid>
        <w:gridCol w:w="1566"/>
        <w:gridCol w:w="1224"/>
        <w:gridCol w:w="1231"/>
        <w:gridCol w:w="109"/>
        <w:gridCol w:w="109"/>
        <w:gridCol w:w="109"/>
        <w:gridCol w:w="211"/>
        <w:gridCol w:w="868"/>
        <w:gridCol w:w="109"/>
        <w:gridCol w:w="109"/>
        <w:gridCol w:w="109"/>
        <w:gridCol w:w="109"/>
        <w:gridCol w:w="211"/>
        <w:gridCol w:w="826"/>
        <w:gridCol w:w="109"/>
        <w:gridCol w:w="109"/>
        <w:gridCol w:w="109"/>
        <w:gridCol w:w="109"/>
        <w:gridCol w:w="211"/>
        <w:gridCol w:w="868"/>
        <w:gridCol w:w="109"/>
        <w:gridCol w:w="109"/>
        <w:gridCol w:w="109"/>
        <w:gridCol w:w="109"/>
        <w:gridCol w:w="435"/>
        <w:gridCol w:w="436"/>
        <w:gridCol w:w="483"/>
      </w:tblGrid>
      <w:tr>
        <w:trPr/>
        <w:tc>
          <w:tcPr>
            <w:tcW w:w="156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(in thousands)</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(124.10)</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6,924.86 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NOI is a non-GAAP financial measure equal to net income (loss) attributable to Boston Properties, Inc. and net income (loss) attributable to Boston Properties Limited Partnership, as applicable, the most directly comparable GAAP financial measures, plus (1) net (income) loss attributable to noncontrolling interests, interest expense, unrealized loss on non-real estate investment, losses from investments in securities, loss from unconsolidated joint ventures, depreciation and amortization expense, transaction costs, payroll and related costs from management services contracts and corporate general and administrative expense less (2)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(loss) attributable to Boston Properties, Inc. and net income (loss)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We believe that in order to understand our operating results, NOI should be examined in conjunction with net income (loss) attributable to Boston Properties, Inc. and net income (loss) attributable to Boston Properties Limited Partnership as presented in our Consolidated Financial Statements. NOI should not be considered as a substitute for net income (loss) attributable to Boston Properties, Inc. or net income (loss) attributable to Boston Properties Limited Partnership (determined in accordance with GAAP) or any other GAAP financial measures and should only be considered together with and as a supplement to our financial information prepared in accordance with GAAP.</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 xml:space="preserve">Comparison of the three months ended September 30, 2023 to the three months ended September 30, 2022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shows selected operating information for the Same Property Portfolio and the Total Property Portfolio. The Same Property Portfolio consists of 128 properties totaling approximately 39.5 million net rentable square feet, excluding unconsolidated joint ventures. The Same Property Portfolio includes properties acquired or placed in-service on or prior to July 1, 2022 and owned and in-service through September 30, 2023. The Total Property Portfolio includes the effects of the other properties either acquired, placed in-service, in or held for development or redevelopment after July 1, 2022 or disposed of on or prior to September 30, 2023. This table includes a reconciliation from the Same Property Portfolio to the Total Property Portfolio by also providing information for the three months ended September 30, 2023 and 2022 with respect to the properties that were acquired, placed in-service, in or held for development or redevelopment or sold. </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8870" w:type="dxa"/>
        <w:jc w:val="center"/>
        <w:tblInd w:w="0" w:type="dxa"/>
        <w:tblLayout w:type="fixed"/>
        <w:tblCellMar>
          <w:top w:w="28" w:type="dxa"/>
          <w:left w:w="28" w:type="dxa"/>
          <w:bottom w:w="28" w:type="dxa"/>
          <w:right w:w="28" w:type="dxa"/>
        </w:tblCellMar>
      </w:tblPr>
      <w:tblGrid>
        <w:gridCol w:w="345"/>
        <w:gridCol w:w="225"/>
        <w:gridCol w:w="226"/>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247"/>
        <w:gridCol w:w="249"/>
        <w:gridCol w:w="291"/>
        <w:gridCol w:w="109"/>
        <w:gridCol w:w="109"/>
        <w:gridCol w:w="109"/>
        <w:gridCol w:w="181"/>
        <w:gridCol w:w="571"/>
        <w:gridCol w:w="109"/>
        <w:gridCol w:w="109"/>
        <w:gridCol w:w="109"/>
        <w:gridCol w:w="109"/>
        <w:gridCol w:w="181"/>
        <w:gridCol w:w="496"/>
        <w:gridCol w:w="109"/>
        <w:gridCol w:w="109"/>
        <w:gridCol w:w="109"/>
        <w:gridCol w:w="109"/>
        <w:gridCol w:w="181"/>
        <w:gridCol w:w="571"/>
        <w:gridCol w:w="109"/>
        <w:gridCol w:w="109"/>
        <w:gridCol w:w="109"/>
        <w:gridCol w:w="109"/>
        <w:gridCol w:w="181"/>
        <w:gridCol w:w="496"/>
        <w:gridCol w:w="109"/>
        <w:gridCol w:w="109"/>
        <w:gridCol w:w="109"/>
        <w:gridCol w:w="109"/>
        <w:gridCol w:w="181"/>
        <w:gridCol w:w="376"/>
        <w:gridCol w:w="109"/>
        <w:gridCol w:w="109"/>
        <w:gridCol w:w="109"/>
        <w:gridCol w:w="109"/>
        <w:gridCol w:w="181"/>
        <w:gridCol w:w="376"/>
        <w:gridCol w:w="109"/>
        <w:gridCol w:w="109"/>
        <w:gridCol w:w="109"/>
        <w:gridCol w:w="109"/>
        <w:gridCol w:w="181"/>
        <w:gridCol w:w="376"/>
        <w:gridCol w:w="109"/>
        <w:gridCol w:w="327"/>
        <w:gridCol w:w="181"/>
        <w:gridCol w:w="496"/>
        <w:gridCol w:w="109"/>
        <w:gridCol w:w="327"/>
        <w:gridCol w:w="181"/>
        <w:gridCol w:w="646"/>
        <w:gridCol w:w="109"/>
        <w:gridCol w:w="327"/>
        <w:gridCol w:w="181"/>
        <w:gridCol w:w="646"/>
        <w:gridCol w:w="109"/>
        <w:gridCol w:w="327"/>
        <w:gridCol w:w="181"/>
        <w:gridCol w:w="571"/>
        <w:gridCol w:w="109"/>
        <w:gridCol w:w="327"/>
        <w:gridCol w:w="496"/>
        <w:gridCol w:w="342"/>
      </w:tblGrid>
      <w:tr>
        <w:trPr/>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Same Property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Acquired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Placed In-Service</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in or Held for</w:t>
              <w:br/>
              <w:t>Development or</w:t>
              <w:br/>
              <w:t>Redevelopment</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Sold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Property Portfolio</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4" w:type="dxa"/>
            <w:gridSpan w:val="9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 in thousands)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Rental Revenue: (1)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 (Excluding Termination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Termination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29.49 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707,261 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Parking and Other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19.98 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Rental Revenue (1)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749,488 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785,820 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753,069 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7.20 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Operating Income, Excluding Residential and Hotel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465,005 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465,609 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Residential Net Operating Income (2)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10.48 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(17.29)</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Hotel Net Operating Income (2)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Operating Income</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475,520 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474,287 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0.26 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501,881 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488,908 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a detailed discussion of NOI, including the reasons management believes NOI is useful to investors, see page 71. Residential Net Operating Income for the three months ended September 30, 2023 and 2022 is comprised of Residential Revenue of $11,789 and $14,340 less Residential Expenses of $5,738 and $7,024, respectively. Hotel Net Operating Income for the three months ended September 30, 2023 and 2022 is comprised of Hotel Revenue of $13,484 and $11,749 less Hotel Expenses of $9,020 and $8,548, respectively,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Same Property Portfolio</w:t>
      </w:r>
    </w:p>
    <w:p>
      <w:pPr>
        <w:pStyle w:val="TextBody"/>
        <w:bidi w:val="0"/>
        <w:spacing w:lineRule="auto" w:line="288" w:before="200" w:after="283"/>
        <w:ind w:left="0" w:right="0" w:firstLine="225"/>
        <w:jc w:val="left"/>
        <w:rPr>
          <w:rFonts w:ascii="Arial;sans-serif" w:hAnsi="Arial;sans-serif"/>
          <w:b/>
          <w:i/>
          <w:color w:val="000000"/>
          <w:sz w:val="20"/>
        </w:rPr>
      </w:pPr>
      <w:r>
        <w:rPr>
          <w:rFonts w:ascii="Arial;sans-serif" w:hAnsi="Arial;sans-serif"/>
          <w:b/>
          <w:i/>
          <w:color w:val="000000"/>
          <w:sz w:val="20"/>
        </w:rPr>
        <w:t>Lease Revenue (Excluding 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Lease revenue (excluding termination income) from the Same Property Portfolio increased by approximately $12.0 million for the three months ended September 30, 2023 compared to 2022. The increase was a result of our average revenue per square foot increasing by approximately $1.80, contributing approximately $18.1 million, partially offset by an approximately $6.1 million decrease due to our average occupancy decreasing from 91.1% to 90.3%.</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 xml:space="preserve">Termination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increased by approximately $0.4 million for the three months ended September 30, 2023 compared to 2022.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three months ended September 30, 2023 related to nine clients across the Same Property Portfolio and totaled approximately $2.3 million, which was primarily related to clients that terminated leases early in Seattle.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three months ended September 30, 2022 related to nine clients across the Same Property Portfolio and totaled approximately $2.0 million, which was primarily related to clients that terminated leases early in San Francisco.</w:t>
      </w:r>
    </w:p>
    <w:p>
      <w:pPr>
        <w:pStyle w:val="TextBody"/>
        <w:bidi w:val="0"/>
        <w:spacing w:lineRule="auto" w:line="288" w:before="280" w:after="283"/>
        <w:ind w:left="0" w:right="0" w:firstLine="270"/>
        <w:jc w:val="left"/>
        <w:rPr>
          <w:rFonts w:ascii="Arial;sans-serif" w:hAnsi="Arial;sans-serif"/>
          <w:b/>
          <w:i/>
          <w:color w:val="000000"/>
          <w:sz w:val="20"/>
        </w:rPr>
      </w:pPr>
      <w:r>
        <w:rPr>
          <w:rFonts w:ascii="Arial;sans-serif" w:hAnsi="Arial;sans-serif"/>
          <w:b/>
          <w:i/>
          <w:color w:val="000000"/>
          <w:sz w:val="20"/>
        </w:rPr>
        <w:t>Parking and Other Revenue</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Parking and other revenue increased by approximately $5.0 million for the three months ended September 30, 2023 compared to 2022. Parking and other revenue increased by approximately $1.4 million and $3.6 million, respectively. The increase in parking revenue was primarily due to an increase in transient and monthly parking. The increase in other revenue was primarily associated with the View Boston observatory, which was completed and placed in-service on June 1, 2023.</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Real Estate Operating Expenses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operating expenses from the Same Property Portfolio increased by approximately $18.0 million, or 6.7%, for the three months ended September 30, 2023 compared to 2022, due primarily to increases in real estate taxes of approximately $4.2 million, or 3.2%, and other real estate operating expenses of approximately $10.5 million, or 7.7%. The increase in real estate taxes was primarily in Boston. In addition, there was approximately $3.3 million related to the marketing and operating expenses associated with the View Boston observatory which was completed and placed in-service on June 1, 2023.</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Properties Acquired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lists the properties acquired between July 1, 2022 and September 30, 2023. Rental revenue and real estate operating expenses increased by approximately $8.6 million and $0.8 million, respectively, for the three months ended September 30, 2023 compared to 2022, as detailed below.</w:t>
      </w:r>
    </w:p>
    <w:tbl>
      <w:tblPr>
        <w:tblW w:w="10351"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74"/>
        <w:gridCol w:w="276"/>
        <w:gridCol w:w="251"/>
        <w:gridCol w:w="109"/>
        <w:gridCol w:w="109"/>
        <w:gridCol w:w="109"/>
        <w:gridCol w:w="368"/>
        <w:gridCol w:w="368"/>
        <w:gridCol w:w="211"/>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125 Broadway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271,000 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360"/>
        <w:jc w:val="left"/>
        <w:rPr>
          <w:rFonts w:ascii="Arial;sans-serif" w:hAnsi="Arial;sans-serif"/>
          <w:b/>
          <w:i/>
          <w:color w:val="000000"/>
          <w:sz w:val="20"/>
          <w:u w:val="single"/>
        </w:rPr>
      </w:pPr>
      <w:r>
        <w:rPr>
          <w:rFonts w:ascii="Arial;sans-serif" w:hAnsi="Arial;sans-serif"/>
          <w:b/>
          <w:i/>
          <w:color w:val="000000"/>
          <w:sz w:val="20"/>
          <w:u w:val="single"/>
        </w:rPr>
        <w:t>Properties Placed In-Service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placed in-service or partially placed in-service between July 1, 2022 and September 30, 2023. Rental revenue and real estate operating expenses from our Properties Placed In-Service Portfolio increased by approximately $15.0 million and $5.0 million, respectively, for the three months ended September 30, 2023 compared to 2022, as detailed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2888" w:type="dxa"/>
        <w:jc w:val="left"/>
        <w:tblInd w:w="0" w:type="dxa"/>
        <w:tblLayout w:type="fixed"/>
        <w:tblCellMar>
          <w:top w:w="28" w:type="dxa"/>
          <w:left w:w="28" w:type="dxa"/>
          <w:bottom w:w="28" w:type="dxa"/>
          <w:right w:w="28" w:type="dxa"/>
        </w:tblCellMar>
      </w:tblPr>
      <w:tblGrid>
        <w:gridCol w:w="397"/>
        <w:gridCol w:w="347"/>
        <w:gridCol w:w="352"/>
        <w:gridCol w:w="109"/>
        <w:gridCol w:w="109"/>
        <w:gridCol w:w="109"/>
        <w:gridCol w:w="285"/>
        <w:gridCol w:w="285"/>
        <w:gridCol w:w="286"/>
        <w:gridCol w:w="109"/>
        <w:gridCol w:w="109"/>
        <w:gridCol w:w="109"/>
        <w:gridCol w:w="470"/>
        <w:gridCol w:w="470"/>
        <w:gridCol w:w="471"/>
        <w:gridCol w:w="109"/>
        <w:gridCol w:w="109"/>
        <w:gridCol w:w="109"/>
        <w:gridCol w:w="435"/>
        <w:gridCol w:w="436"/>
        <w:gridCol w:w="211"/>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Initially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Fully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2100 Pennsylvania Avenue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475,849 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 Winter Street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140 Kendrick Street - Building 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180 CityPoint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2,215,929 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(1)Conversion of a 224,000 square foot office property located in Waltham, Massachusetts to laboratory space. Rental revenue for the three months ended September 30, 2023 includes approximately $0.2 million of termination income.</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Properties in or Held for Development or Redevelopment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in or held for development or redevelopment between July 1, 2022 and September 30, 2023. Rental revenue and real estate operating expenses from our Properties in or Held for Development or Redevelopment Portfolio decreased by approximately $1.8 million and $1.9 million, respectively, for the three months ended September 30, 2023 compared to 2022, as detailed below. </w:t>
      </w:r>
    </w:p>
    <w:tbl>
      <w:tblPr>
        <w:tblW w:w="10756" w:type="dxa"/>
        <w:jc w:val="left"/>
        <w:tblInd w:w="0" w:type="dxa"/>
        <w:tblLayout w:type="fixed"/>
        <w:tblCellMar>
          <w:top w:w="28" w:type="dxa"/>
          <w:left w:w="28" w:type="dxa"/>
          <w:bottom w:w="28" w:type="dxa"/>
          <w:right w:w="28" w:type="dxa"/>
        </w:tblCellMar>
      </w:tblPr>
      <w:tblGrid>
        <w:gridCol w:w="422"/>
        <w:gridCol w:w="238"/>
        <w:gridCol w:w="241"/>
        <w:gridCol w:w="109"/>
        <w:gridCol w:w="109"/>
        <w:gridCol w:w="109"/>
        <w:gridCol w:w="445"/>
        <w:gridCol w:w="445"/>
        <w:gridCol w:w="446"/>
        <w:gridCol w:w="109"/>
        <w:gridCol w:w="109"/>
        <w:gridCol w:w="109"/>
        <w:gridCol w:w="368"/>
        <w:gridCol w:w="368"/>
        <w:gridCol w:w="211"/>
        <w:gridCol w:w="109"/>
        <w:gridCol w:w="109"/>
        <w:gridCol w:w="109"/>
        <w:gridCol w:w="196"/>
        <w:gridCol w:w="421"/>
        <w:gridCol w:w="109"/>
        <w:gridCol w:w="109"/>
        <w:gridCol w:w="109"/>
        <w:gridCol w:w="109"/>
        <w:gridCol w:w="196"/>
        <w:gridCol w:w="556"/>
        <w:gridCol w:w="109"/>
        <w:gridCol w:w="109"/>
        <w:gridCol w:w="109"/>
        <w:gridCol w:w="109"/>
        <w:gridCol w:w="196"/>
        <w:gridCol w:w="571"/>
        <w:gridCol w:w="109"/>
        <w:gridCol w:w="109"/>
        <w:gridCol w:w="109"/>
        <w:gridCol w:w="109"/>
        <w:gridCol w:w="196"/>
        <w:gridCol w:w="406"/>
        <w:gridCol w:w="109"/>
        <w:gridCol w:w="109"/>
        <w:gridCol w:w="109"/>
        <w:gridCol w:w="109"/>
        <w:gridCol w:w="196"/>
        <w:gridCol w:w="556"/>
        <w:gridCol w:w="109"/>
        <w:gridCol w:w="109"/>
        <w:gridCol w:w="109"/>
        <w:gridCol w:w="109"/>
        <w:gridCol w:w="196"/>
        <w:gridCol w:w="571"/>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Commenced or Held for Development / Redevelopment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1"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760 Boylston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 Carnegie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2096 Gaither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RTC Next-Hotel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Kendall Center Blue Parking Garage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Binney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Lexington Office Park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2098 Gaither Road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693,779 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On December 19, 2022, in accordance with GAAP, the ground lease that encumbers this property was reclassified as a sales-type lease and the associated assets were derecognized.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Kendall Center Blue Parking Garage was taken out of service on January 4, 2023 to support the development of 290 Binney Street. Real estate operating expenses for the three months ended September 30, 2023 included approximately ($0.7) million of demolition costs.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(3)Lexington Office Park and 2098 Gaither Road are no longer considered “in-service” because each property’s occupied percentage is less than 50% and we are no longer actively leasing the properties in anticipation of a future development/redevelopment.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Properties Sold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we sold between July 1, 2022 and September 30, 2023. Rental revenue and real estate operating expenses from our Properties Sold Portfolio decreased by approximately $9.6 million and $3.3 million, respectively, for the three months ended September 30, 2023 compared to 2022, as detailed below. </w:t>
      </w:r>
    </w:p>
    <w:tbl>
      <w:tblPr>
        <w:tblW w:w="11969" w:type="dxa"/>
        <w:jc w:val="left"/>
        <w:tblInd w:w="0" w:type="dxa"/>
        <w:tblLayout w:type="fixed"/>
        <w:tblCellMar>
          <w:top w:w="28" w:type="dxa"/>
          <w:left w:w="28" w:type="dxa"/>
          <w:bottom w:w="28" w:type="dxa"/>
          <w:right w:w="28" w:type="dxa"/>
        </w:tblCellMar>
      </w:tblPr>
      <w:tblGrid>
        <w:gridCol w:w="450"/>
        <w:gridCol w:w="394"/>
        <w:gridCol w:w="402"/>
        <w:gridCol w:w="109"/>
        <w:gridCol w:w="109"/>
        <w:gridCol w:w="109"/>
        <w:gridCol w:w="429"/>
        <w:gridCol w:w="296"/>
        <w:gridCol w:w="146"/>
        <w:gridCol w:w="109"/>
        <w:gridCol w:w="109"/>
        <w:gridCol w:w="109"/>
        <w:gridCol w:w="379"/>
        <w:gridCol w:w="276"/>
        <w:gridCol w:w="246"/>
        <w:gridCol w:w="109"/>
        <w:gridCol w:w="109"/>
        <w:gridCol w:w="109"/>
        <w:gridCol w:w="368"/>
        <w:gridCol w:w="368"/>
        <w:gridCol w:w="211"/>
        <w:gridCol w:w="109"/>
        <w:gridCol w:w="109"/>
        <w:gridCol w:w="109"/>
        <w:gridCol w:w="196"/>
        <w:gridCol w:w="421"/>
        <w:gridCol w:w="109"/>
        <w:gridCol w:w="109"/>
        <w:gridCol w:w="109"/>
        <w:gridCol w:w="109"/>
        <w:gridCol w:w="196"/>
        <w:gridCol w:w="646"/>
        <w:gridCol w:w="109"/>
        <w:gridCol w:w="109"/>
        <w:gridCol w:w="109"/>
        <w:gridCol w:w="109"/>
        <w:gridCol w:w="196"/>
        <w:gridCol w:w="571"/>
        <w:gridCol w:w="109"/>
        <w:gridCol w:w="109"/>
        <w:gridCol w:w="109"/>
        <w:gridCol w:w="109"/>
        <w:gridCol w:w="196"/>
        <w:gridCol w:w="421"/>
        <w:gridCol w:w="109"/>
        <w:gridCol w:w="109"/>
        <w:gridCol w:w="109"/>
        <w:gridCol w:w="109"/>
        <w:gridCol w:w="196"/>
        <w:gridCol w:w="556"/>
        <w:gridCol w:w="109"/>
        <w:gridCol w:w="109"/>
        <w:gridCol w:w="109"/>
        <w:gridCol w:w="109"/>
        <w:gridCol w:w="196"/>
        <w:gridCol w:w="571"/>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Avant at Reston Town Center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807,862 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We retained and continue to own approximately 26,000 square feet of ground-level retail space. Rental Revenue and Real Estate Operating Expenses for the three months ended September 30, 2023 represent the ground-level retail space. Rental Revenue and Real Estate Operating Expenses for the three months ended September 30, 2022 represent the entire property and not just the portion sold.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Residential Net Operating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operating income for our residential same properties increased by approximately $0.6 million for the three months ended September 30, 2023 compared to 2022.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reflects our occupancy and rate information for our residential same properties for the three months ended September 30, 2023 and 2022. </w:t>
      </w:r>
    </w:p>
    <w:tbl>
      <w:tblPr>
        <w:tblW w:w="11023" w:type="dxa"/>
        <w:jc w:val="left"/>
        <w:tblInd w:w="0" w:type="dxa"/>
        <w:tblLayout w:type="fixed"/>
        <w:tblCellMar>
          <w:top w:w="28" w:type="dxa"/>
          <w:left w:w="28" w:type="dxa"/>
          <w:bottom w:w="28" w:type="dxa"/>
          <w:right w:w="28" w:type="dxa"/>
        </w:tblCellMar>
      </w:tblPr>
      <w:tblGrid>
        <w:gridCol w:w="399"/>
        <w:gridCol w:w="205"/>
        <w:gridCol w:w="207"/>
        <w:gridCol w:w="109"/>
        <w:gridCol w:w="109"/>
        <w:gridCol w:w="109"/>
        <w:gridCol w:w="196"/>
        <w:gridCol w:w="556"/>
        <w:gridCol w:w="109"/>
        <w:gridCol w:w="196"/>
        <w:gridCol w:w="556"/>
        <w:gridCol w:w="109"/>
        <w:gridCol w:w="214"/>
        <w:gridCol w:w="162"/>
        <w:gridCol w:w="357"/>
        <w:gridCol w:w="109"/>
        <w:gridCol w:w="109"/>
        <w:gridCol w:w="109"/>
        <w:gridCol w:w="196"/>
        <w:gridCol w:w="466"/>
        <w:gridCol w:w="109"/>
        <w:gridCol w:w="196"/>
        <w:gridCol w:w="466"/>
        <w:gridCol w:w="109"/>
        <w:gridCol w:w="193"/>
        <w:gridCol w:w="193"/>
        <w:gridCol w:w="275"/>
        <w:gridCol w:w="109"/>
        <w:gridCol w:w="109"/>
        <w:gridCol w:w="109"/>
        <w:gridCol w:w="233"/>
        <w:gridCol w:w="233"/>
        <w:gridCol w:w="256"/>
        <w:gridCol w:w="233"/>
        <w:gridCol w:w="233"/>
        <w:gridCol w:w="256"/>
        <w:gridCol w:w="198"/>
        <w:gridCol w:w="193"/>
        <w:gridCol w:w="275"/>
        <w:gridCol w:w="109"/>
        <w:gridCol w:w="109"/>
        <w:gridCol w:w="109"/>
        <w:gridCol w:w="233"/>
        <w:gridCol w:w="233"/>
        <w:gridCol w:w="256"/>
        <w:gridCol w:w="233"/>
        <w:gridCol w:w="233"/>
        <w:gridCol w:w="256"/>
        <w:gridCol w:w="204"/>
        <w:gridCol w:w="187"/>
        <w:gridCol w:w="301"/>
      </w:tblGrid>
      <w:tr>
        <w:trPr/>
        <w:tc>
          <w:tcPr>
            <w:tcW w:w="3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Monthly Rental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Rental Rate Per Occupied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Physical Occupancy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Economic Occupancy (3)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Change (%)</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Proto Kendall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Lofts at Atlantic Wharf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Signature at Reston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Skylyne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(1)Average Monthly Rental Rate is calculated as the average of the quotients obtained by dividing (A) rental revenue as determined in accordance with GAAP, by (B) the number of occupied units for each month within the applicable fiscal period.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(2)Average Physical Occupancy is defined as (1) the average number of occupied units divided by (2) the total number of units, expressed as a percentage.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 xml:space="preserve">Hotel Net Operating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Boston Marriott Cambridge hotel had net operating income of approximately $4.5 million for the three months ended September 30, 2023, representing an increase of approximately $1.3 million compared to the three months ended September 30, 2022.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reflects our occupancy and rate information for the Boston Marriott Cambridge hotel for the three months ended September 30, 2023 and 2022.</w:t>
      </w:r>
    </w:p>
    <w:tbl>
      <w:tblPr>
        <w:tblW w:w="6258"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51"/>
        <w:gridCol w:w="286"/>
        <w:gridCol w:w="109"/>
        <w:gridCol w:w="109"/>
        <w:gridCol w:w="109"/>
        <w:gridCol w:w="211"/>
        <w:gridCol w:w="751"/>
        <w:gridCol w:w="286"/>
        <w:gridCol w:w="109"/>
        <w:gridCol w:w="109"/>
        <w:gridCol w:w="109"/>
        <w:gridCol w:w="218"/>
        <w:gridCol w:w="218"/>
        <w:gridCol w:w="65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000000"/>
                <w:sz w:val="16"/>
              </w:rPr>
              <w:t>Change (%)</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daily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Other Operating Revenue and Expense Items</w:t>
      </w:r>
    </w:p>
    <w:p>
      <w:pPr>
        <w:pStyle w:val="TextBody"/>
        <w:bidi w:val="0"/>
        <w:spacing w:lineRule="auto" w:line="288" w:before="200" w:after="283"/>
        <w:ind w:left="0" w:right="0" w:firstLine="225"/>
        <w:jc w:val="left"/>
        <w:rPr>
          <w:rFonts w:ascii="Arial;sans-serif" w:hAnsi="Arial;sans-serif"/>
          <w:b/>
          <w:i/>
          <w:color w:val="000000"/>
          <w:sz w:val="20"/>
        </w:rPr>
      </w:pPr>
      <w:r>
        <w:rPr>
          <w:rFonts w:ascii="Arial;sans-serif" w:hAnsi="Arial;sans-serif"/>
          <w:b/>
          <w:i/>
          <w:color w:val="000000"/>
          <w:sz w:val="20"/>
        </w:rPr>
        <w:t>Development and Management Services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Development and management services revenue increased by approximately $1.8 million for the three months ended September 30, 2023 compared to 2022. Development services revenue and management services revenue increased by approximately $0.7 million and $1.1 million, respectively. The increase in development management services revenue was primarily related to an increase in development fees from unconsolidated joint ventures in the Washington, DC region. The increase in management services revenue was primarily related to an increase in property management fees earned from an unconsolidated joint venture in New York City and asset management fees earned from an unconsolidated joint venture in the Los Angeles region.</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General and Administrative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General and administrative expense decreased by approximately $1.1 million for the three months ended September 30, 2023 compared to 2022 primarily due to decreases in compensation expense of approximately $1.3 million, partially offset by an approximately $0.2 million increase in other general and administrative expenses. The decrease in compensation expense related to an approximately $0.7 million decrease in the value of our deferred compensation plan and an approximately $0.6 million decrease in other compensation expenses.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Wages directly related to the development of rental properties are capitalized and included in real estate assets on our Consolidated Balance Sheets and amortized over the useful lives of the applicable asset or lease term. Capitalized wages for the three months ended September 30, 2023 and 2022 were approximately $4.4 million and $3.9 million, respectively. These costs are not included in the general and administrative expenses discussed above.</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Transaction Costs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Transaction costs decreased by approximately $0.9 million for the three months ended September 30, 2023 compared to 2022 due primarily to decreased costs incurred in connection with the pursuit and formation of new joint ventures during the three months ended September 30, 2022, that did not recur in 2023. In general, transaction costs relating to the formation of new joint ventures and the pursuit of other transactions are expensed as incurred.</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Depreciation and Amortization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$16.8 million for the three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1682"/>
        <w:gridCol w:w="1291"/>
        <w:gridCol w:w="1306"/>
        <w:gridCol w:w="109"/>
        <w:gridCol w:w="109"/>
        <w:gridCol w:w="109"/>
        <w:gridCol w:w="286"/>
        <w:gridCol w:w="1162"/>
        <w:gridCol w:w="148"/>
        <w:gridCol w:w="148"/>
        <w:gridCol w:w="148"/>
        <w:gridCol w:w="148"/>
        <w:gridCol w:w="286"/>
        <w:gridCol w:w="1162"/>
        <w:gridCol w:w="148"/>
        <w:gridCol w:w="148"/>
        <w:gridCol w:w="148"/>
        <w:gridCol w:w="148"/>
        <w:gridCol w:w="286"/>
        <w:gridCol w:w="1019"/>
        <w:gridCol w:w="214"/>
      </w:tblGrid>
      <w:tr>
        <w:trPr/>
        <w:tc>
          <w:tcPr>
            <w:tcW w:w="16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2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Depreciation and Amortization for the three months ended September 30,</w:t>
            </w:r>
          </w:p>
        </w:tc>
      </w:tr>
      <w:tr>
        <w:trPr/>
        <w:tc>
          <w:tcPr>
            <w:tcW w:w="4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Same Property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Acquired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Placed In-Service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or Held for Development or Redevelopment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207,435 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190,675 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$16.7 million for the three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1689"/>
        <w:gridCol w:w="1296"/>
        <w:gridCol w:w="1308"/>
        <w:gridCol w:w="109"/>
        <w:gridCol w:w="109"/>
        <w:gridCol w:w="109"/>
        <w:gridCol w:w="285"/>
        <w:gridCol w:w="1159"/>
        <w:gridCol w:w="147"/>
        <w:gridCol w:w="147"/>
        <w:gridCol w:w="147"/>
        <w:gridCol w:w="147"/>
        <w:gridCol w:w="285"/>
        <w:gridCol w:w="1159"/>
        <w:gridCol w:w="147"/>
        <w:gridCol w:w="147"/>
        <w:gridCol w:w="147"/>
        <w:gridCol w:w="147"/>
        <w:gridCol w:w="285"/>
        <w:gridCol w:w="1017"/>
        <w:gridCol w:w="219"/>
      </w:tblGrid>
      <w:tr>
        <w:trPr/>
        <w:tc>
          <w:tcPr>
            <w:tcW w:w="168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Depreciation and Amortization for the three months ended September 30,</w:t>
            </w:r>
          </w:p>
        </w:tc>
      </w:tr>
      <w:tr>
        <w:trPr/>
        <w:tc>
          <w:tcPr>
            <w:tcW w:w="42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Acquired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Placed In-Service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Properties in or Held for Development or Redevelopment Portfolio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205,679 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188,969 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Direct Reimbursements of Payroll and Related Costs From Management Services Contracts and Payroll and Related Costs From Management Service Contracts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pStyle w:val="TextBody"/>
        <w:bidi w:val="0"/>
        <w:spacing w:lineRule="auto" w:line="288" w:before="280" w:after="283"/>
        <w:ind w:left="0" w:right="0" w:firstLine="225"/>
        <w:jc w:val="left"/>
        <w:rPr>
          <w:rFonts w:ascii="Arial;sans-serif" w:hAnsi="Arial;sans-serif"/>
          <w:b/>
          <w:i/>
          <w:color w:val="000000"/>
          <w:sz w:val="20"/>
          <w:u w:val="single"/>
        </w:rPr>
      </w:pPr>
      <w:r>
        <w:rPr>
          <w:rFonts w:ascii="Arial;sans-serif" w:hAnsi="Arial;sans-serif"/>
          <w:b/>
          <w:i/>
          <w:color w:val="000000"/>
          <w:sz w:val="20"/>
          <w:u w:val="single"/>
        </w:rPr>
        <w:t>Other Income and Expense Items</w:t>
      </w:r>
    </w:p>
    <w:p>
      <w:pPr>
        <w:pStyle w:val="TextBody"/>
        <w:bidi w:val="0"/>
        <w:spacing w:lineRule="auto" w:line="288" w:before="180" w:after="283"/>
        <w:ind w:left="0" w:right="0" w:firstLine="225"/>
        <w:jc w:val="left"/>
        <w:rPr>
          <w:rFonts w:ascii="Arial;sans-serif" w:hAnsi="Arial;sans-serif"/>
          <w:b/>
          <w:i/>
          <w:color w:val="000000"/>
          <w:sz w:val="20"/>
        </w:rPr>
      </w:pPr>
      <w:r>
        <w:rPr>
          <w:rFonts w:ascii="Arial;sans-serif" w:hAnsi="Arial;sans-serif"/>
          <w:b/>
          <w:i/>
          <w:color w:val="000000"/>
          <w:sz w:val="20"/>
        </w:rPr>
        <w:t>Loss from Unconsolidated Joint Ventures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September 30, 2023 compared to 2022, loss from unconsolidated joint ventures increased by approximately $244.0 million primarily due to non-cash impairment charges related to our investments in 360 Park Avenue South, 200 Fifth Avenue, Platform 16, and Safeco Plaza of approximately $54.0 million, $33.4 million, $155.2 million, and $29.9 million, respectively, partially offset by an approximately $35.8 million gain on investment related to our Metropolitan Square joint venture interest (See Note 5 to the Consolidated Financial Statements).</w:t>
      </w:r>
    </w:p>
    <w:p>
      <w:pPr>
        <w:pStyle w:val="TextBody"/>
        <w:bidi w:val="0"/>
        <w:spacing w:lineRule="auto" w:line="288" w:before="180" w:after="283"/>
        <w:ind w:left="0" w:right="0" w:firstLine="225"/>
        <w:jc w:val="left"/>
        <w:rPr>
          <w:rFonts w:ascii="Arial;sans-serif" w:hAnsi="Arial;sans-serif"/>
          <w:b/>
          <w:i/>
          <w:color w:val="000000"/>
          <w:sz w:val="20"/>
        </w:rPr>
      </w:pPr>
      <w:r>
        <w:rPr>
          <w:rFonts w:ascii="Arial;sans-serif" w:hAnsi="Arial;sans-serif"/>
          <w:b/>
          <w:i/>
          <w:color w:val="000000"/>
          <w:sz w:val="20"/>
        </w:rPr>
        <w:t>Gains on Sales of Real Estate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estate when those properties are sold. For additional information, see the Explanatory Note that immediately follows the cover page of this Quarterly Report on Form 10-Q. </w:t>
      </w:r>
    </w:p>
    <w:p>
      <w:pPr>
        <w:pStyle w:val="TextBody"/>
        <w:bidi w:val="0"/>
        <w:spacing w:lineRule="auto" w:line="288" w:before="180" w:after="283"/>
        <w:ind w:left="0" w:right="0" w:firstLine="225"/>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decreased by approximately $261.8 million for the three months ended September 30, 2023 compared to 2022, as detailed below. </w:t>
      </w:r>
    </w:p>
    <w:tbl>
      <w:tblPr>
        <w:tblW w:w="10205" w:type="dxa"/>
        <w:jc w:val="left"/>
        <w:tblInd w:w="0" w:type="dxa"/>
        <w:tblLayout w:type="fixed"/>
        <w:tblCellMar>
          <w:top w:w="28" w:type="dxa"/>
          <w:left w:w="28" w:type="dxa"/>
          <w:bottom w:w="28" w:type="dxa"/>
          <w:right w:w="28" w:type="dxa"/>
        </w:tblCellMar>
      </w:tblPr>
      <w:tblGrid>
        <w:gridCol w:w="553"/>
        <w:gridCol w:w="483"/>
        <w:gridCol w:w="492"/>
        <w:gridCol w:w="109"/>
        <w:gridCol w:w="109"/>
        <w:gridCol w:w="109"/>
        <w:gridCol w:w="458"/>
        <w:gridCol w:w="380"/>
        <w:gridCol w:w="271"/>
        <w:gridCol w:w="109"/>
        <w:gridCol w:w="109"/>
        <w:gridCol w:w="109"/>
        <w:gridCol w:w="304"/>
        <w:gridCol w:w="304"/>
        <w:gridCol w:w="305"/>
        <w:gridCol w:w="109"/>
        <w:gridCol w:w="109"/>
        <w:gridCol w:w="109"/>
        <w:gridCol w:w="368"/>
        <w:gridCol w:w="368"/>
        <w:gridCol w:w="265"/>
        <w:gridCol w:w="109"/>
        <w:gridCol w:w="109"/>
        <w:gridCol w:w="109"/>
        <w:gridCol w:w="196"/>
        <w:gridCol w:w="557"/>
        <w:gridCol w:w="109"/>
        <w:gridCol w:w="109"/>
        <w:gridCol w:w="109"/>
        <w:gridCol w:w="109"/>
        <w:gridCol w:w="248"/>
        <w:gridCol w:w="705"/>
        <w:gridCol w:w="138"/>
        <w:gridCol w:w="109"/>
        <w:gridCol w:w="109"/>
        <w:gridCol w:w="109"/>
        <w:gridCol w:w="294"/>
        <w:gridCol w:w="834"/>
        <w:gridCol w:w="163"/>
        <w:gridCol w:w="109"/>
        <w:gridCol w:w="109"/>
        <w:gridCol w:w="230"/>
      </w:tblGrid>
      <w:tr>
        <w:trPr/>
        <w:tc>
          <w:tcPr>
            <w:tcW w:w="55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Cash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on Sale of Real Estate</w:t>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c>
          <w:tcPr>
            <w:tcW w:w="44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Broadrun Land Parcel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(1)Excludes approximately $0.5 million of gains on sales of real estate recognized during the three months ended September 30, 2023 related to gain amounts from sales of real estate occurring in prior periods.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(2)Excludes approximately $0.5 million of gains on sales of real estate recognized during the three months ended September 30, 2022 related to gain amounts from sales of real estate occurring in prior periods.</w:t>
      </w:r>
    </w:p>
    <w:p>
      <w:pPr>
        <w:pStyle w:val="TextBody"/>
        <w:bidi w:val="0"/>
        <w:spacing w:lineRule="auto" w:line="288" w:before="300" w:after="283"/>
        <w:ind w:left="0" w:right="0" w:firstLine="225"/>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Gains on sales of real estate decreased by approximately $261.8 million for the three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553"/>
        <w:gridCol w:w="483"/>
        <w:gridCol w:w="492"/>
        <w:gridCol w:w="109"/>
        <w:gridCol w:w="109"/>
        <w:gridCol w:w="109"/>
        <w:gridCol w:w="458"/>
        <w:gridCol w:w="380"/>
        <w:gridCol w:w="271"/>
        <w:gridCol w:w="109"/>
        <w:gridCol w:w="109"/>
        <w:gridCol w:w="109"/>
        <w:gridCol w:w="304"/>
        <w:gridCol w:w="304"/>
        <w:gridCol w:w="305"/>
        <w:gridCol w:w="109"/>
        <w:gridCol w:w="109"/>
        <w:gridCol w:w="109"/>
        <w:gridCol w:w="368"/>
        <w:gridCol w:w="368"/>
        <w:gridCol w:w="265"/>
        <w:gridCol w:w="109"/>
        <w:gridCol w:w="109"/>
        <w:gridCol w:w="109"/>
        <w:gridCol w:w="196"/>
        <w:gridCol w:w="557"/>
        <w:gridCol w:w="109"/>
        <w:gridCol w:w="109"/>
        <w:gridCol w:w="109"/>
        <w:gridCol w:w="109"/>
        <w:gridCol w:w="248"/>
        <w:gridCol w:w="705"/>
        <w:gridCol w:w="138"/>
        <w:gridCol w:w="109"/>
        <w:gridCol w:w="109"/>
        <w:gridCol w:w="109"/>
        <w:gridCol w:w="294"/>
        <w:gridCol w:w="834"/>
        <w:gridCol w:w="163"/>
        <w:gridCol w:w="109"/>
        <w:gridCol w:w="109"/>
        <w:gridCol w:w="230"/>
      </w:tblGrid>
      <w:tr>
        <w:trPr/>
        <w:tc>
          <w:tcPr>
            <w:tcW w:w="55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Cash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on Sale of Real Estate</w:t>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c>
          <w:tcPr>
            <w:tcW w:w="44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Broadrun Land Parcel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(1)Excludes approximately $0.5 million of gains on sales of real estate recognized during the three months ended September 30, 2023 related to gain amounts from sales of real estate occurring in prior periods.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(2)Excludes approximately $0.4 million of gains on sales of real estate recognized during the three months ended September 30, 2022 related to gain amounts from sales of real estate occurring in prior periods.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Interest and Other Income (Loss)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Interest and other income (loss) increased by approximately $17.0 million for the three months ended September 30, 2023 compared to 2022, due primarily to an increase of approximately $17.1 million in interest income from increased interest earned on our deposits partially offset by an increase in our allowance for current expected credit losses of approximately $0.1 million.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Losses from Investments in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Losses from investments in securities for the three months ended September 30, 2023 and 2022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losses from investments in securities. During the three months ended September 30, 2023 and 2022, we recognized losses of approximately $0.9 million and $1.6 million, respectively, on these investments. By comparison, our general and administrative expense decreased by approximately $0.9 million and $1.6 million during the three months ended September 30, 2023 and 2022, respectively, as a result of decreases in our liability under our deferred compensation plans that was associated with the performance of the specific investments selected by officers and former non-employee directors of BXP participating in the plans.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Unrealized Loss on Non-Real Estate Investment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year ended December 31, 2022, we began investing in non-real estate investments, which are primarily environmentally-focused investment funds. As a result, for the three months ended September 30, 2023, we recognized an unrealized loss of approximately $51,000 due to the observable changes in the fair value of the investments.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increased by approximately $36.0 million for the three months ended September 30, 2023 compared to 2022, as detailed below.</w:t>
      </w:r>
    </w:p>
    <w:tbl>
      <w:tblPr>
        <w:tblW w:w="10205" w:type="dxa"/>
        <w:jc w:val="left"/>
        <w:tblInd w:w="0" w:type="dxa"/>
        <w:tblLayout w:type="fixed"/>
        <w:tblCellMar>
          <w:top w:w="28" w:type="dxa"/>
          <w:left w:w="28" w:type="dxa"/>
          <w:bottom w:w="28" w:type="dxa"/>
          <w:right w:w="28" w:type="dxa"/>
        </w:tblCellMar>
      </w:tblPr>
      <w:tblGrid>
        <w:gridCol w:w="1735"/>
        <w:gridCol w:w="1466"/>
        <w:gridCol w:w="1471"/>
        <w:gridCol w:w="109"/>
        <w:gridCol w:w="109"/>
        <w:gridCol w:w="109"/>
        <w:gridCol w:w="982"/>
        <w:gridCol w:w="3502"/>
        <w:gridCol w:w="722"/>
      </w:tblGrid>
      <w:tr>
        <w:trPr/>
        <w:tc>
          <w:tcPr>
            <w:tcW w:w="173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4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 in interest expense for the three months ended September 30, 2023 compared to September 30, 2022</w:t>
            </w:r>
          </w:p>
        </w:tc>
      </w:tr>
      <w:tr>
        <w:trPr/>
        <w:tc>
          <w:tcPr>
            <w:tcW w:w="46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$750 million in aggregate principal of 6.750% senior notes due 2027 on November 17,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12,675 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$750 million in aggregate principal of 6.500% senior notes due 2034 on May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12,225 </w:t>
            </w:r>
          </w:p>
        </w:tc>
        <w:tc>
          <w:tcPr>
            <w:tcW w:w="72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interest associated with unsecured term loans and unsecured credit facility,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9,347 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interest due to finance lease for one in-service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2,879 </w:t>
            </w:r>
          </w:p>
        </w:tc>
        <w:tc>
          <w:tcPr>
            <w:tcW w:w="72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of financing fees primarily related to 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 (excluding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increases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37,540 </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$500 million in aggregate principal of 3.125% senior notes due 2023 on September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capitalized interest related to development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decreases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35,966 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September 30, 2023 and 2022 was approximately $9.7 million and $12.2 million, respectively. These costs are not included in the interest expense referenced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pPr>
      <w:r>
        <w:rPr>
          <w:rFonts w:ascii="Arial;sans-serif" w:hAnsi="Arial;sans-serif"/>
          <w:b w:val="false"/>
          <w:color w:val="000000"/>
          <w:sz w:val="20"/>
          <w:shd w:fill="FFFFFF" w:val="clear"/>
        </w:rPr>
        <w:t>At September</w:t>
      </w:r>
      <w:r>
        <w:rPr>
          <w:color w:val="000000"/>
        </w:rPr>
        <w:t xml:space="preserve"> </w:t>
      </w:r>
      <w:r>
        <w:rPr>
          <w:rFonts w:ascii="Arial;sans-serif" w:hAnsi="Arial;sans-serif"/>
          <w:b w:val="false"/>
          <w:color w:val="000000"/>
          <w:sz w:val="20"/>
        </w:rPr>
        <w:t>30, 2023, our variable rate debt consisted of BPLP’s $1.815 billion Revolving Facility under its 2021 Credit Facility and $1.2 billion 2023 Unsecured Term Loan. As of September 30, 2023, the Revolving Facility did not have a balance outstanding and the 2023 Unsecured Term Loan had $1.2 billion outstanding. On May 2, 2023, BPLP entered into four interest rate swap contracts with notional amounts aggregating $1.2 billion to effectively fix Term SOFR, the reference rate for the 2023 Unsecured Term Loan, at a weighted-average rate of 4.6420% for the period commencing on May 4, 2023 and ending on May 16, 2024. For a summary of our consolidated debt as of September 30, 2023 refer to the heading “</w:t>
      </w:r>
      <w:r>
        <w:rPr>
          <w:rFonts w:ascii="Arial;sans-serif" w:hAnsi="Arial;sans-serif"/>
          <w:b w:val="false"/>
          <w:i/>
          <w:color w:val="000000"/>
          <w:sz w:val="20"/>
        </w:rPr>
        <w:t>Liquidity and Capital Resources—Debt Financing”</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color w:val="000000"/>
        </w:rPr>
        <w:t>”</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Noncontrolling Interests in 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Noncontrolling interests in property partnerships increased by approximately $2.1 million for the three months ended September 30, 2023 compared to 2022, as detailed below. </w:t>
      </w:r>
    </w:p>
    <w:tbl>
      <w:tblPr>
        <w:tblW w:w="10205" w:type="dxa"/>
        <w:jc w:val="center"/>
        <w:tblInd w:w="0" w:type="dxa"/>
        <w:tblLayout w:type="fixed"/>
        <w:tblCellMar>
          <w:top w:w="28" w:type="dxa"/>
          <w:left w:w="28" w:type="dxa"/>
          <w:bottom w:w="28" w:type="dxa"/>
          <w:right w:w="28" w:type="dxa"/>
        </w:tblCellMar>
      </w:tblPr>
      <w:tblGrid>
        <w:gridCol w:w="1172"/>
        <w:gridCol w:w="1006"/>
        <w:gridCol w:w="1013"/>
        <w:gridCol w:w="109"/>
        <w:gridCol w:w="109"/>
        <w:gridCol w:w="109"/>
        <w:gridCol w:w="370"/>
        <w:gridCol w:w="1320"/>
        <w:gridCol w:w="190"/>
        <w:gridCol w:w="190"/>
        <w:gridCol w:w="190"/>
        <w:gridCol w:w="190"/>
        <w:gridCol w:w="370"/>
        <w:gridCol w:w="1320"/>
        <w:gridCol w:w="190"/>
        <w:gridCol w:w="190"/>
        <w:gridCol w:w="190"/>
        <w:gridCol w:w="190"/>
        <w:gridCol w:w="370"/>
        <w:gridCol w:w="1135"/>
        <w:gridCol w:w="282"/>
      </w:tblGrid>
      <w:tr>
        <w:trPr/>
        <w:tc>
          <w:tcPr>
            <w:tcW w:w="117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Noncontrolling Interests in Property Partnerships for the three months ended September 30,</w:t>
            </w:r>
          </w:p>
        </w:tc>
      </w:tr>
      <w:tr>
        <w:trPr/>
        <w:tc>
          <w:tcPr>
            <w:tcW w:w="3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767 Fifth Avenue (the General Motors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Times Square Tower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601 Lexington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100 Federal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Atlantic Wharf Office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343 Madison Avenue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(1)The increase was primarily attributable to an increase in lease revenue from our clients.</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(2)343 Madison Avenue is held for future development (See Notes 4 and 9 to the Consolidated Financial Statements).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Noncontrolling Interest—Common Units of the Operating Partnership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BXP, noncontrolling interest—common units of the Operating Partnership decreased by approximately $53.5 million for the three months ended September 30, 2023 compared to 2022 due primarily to a decrease in allocable income, which included recognizing a greater gain on sales of real estate during 2022. Due to our ownership structure, there is no corresponding line item on BPLP’s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00" w:after="283"/>
        <w:ind w:left="0" w:right="0" w:firstLine="225"/>
        <w:jc w:val="left"/>
        <w:rPr>
          <w:rFonts w:ascii="Arial;sans-serif" w:hAnsi="Arial;sans-serif"/>
          <w:b/>
          <w:i/>
          <w:color w:val="000000"/>
          <w:sz w:val="20"/>
        </w:rPr>
      </w:pPr>
      <w:r>
        <w:rPr>
          <w:rFonts w:ascii="Arial;sans-serif" w:hAnsi="Arial;sans-serif"/>
          <w:b/>
          <w:i/>
          <w:color w:val="000000"/>
          <w:sz w:val="20"/>
        </w:rPr>
        <w:t>General</w:t>
      </w:r>
    </w:p>
    <w:p>
      <w:pPr>
        <w:pStyle w:val="TextBody"/>
        <w:bidi w:val="0"/>
        <w:spacing w:lineRule="auto" w:line="288" w:before="180" w:after="160"/>
        <w:ind w:left="0" w:right="0" w:firstLine="495"/>
        <w:jc w:val="left"/>
        <w:rPr>
          <w:rFonts w:ascii="Arial;sans-serif" w:hAnsi="Arial;sans-serif"/>
          <w:b w:val="false"/>
          <w:color w:val="000000"/>
          <w:sz w:val="20"/>
        </w:rPr>
      </w:pPr>
      <w:r>
        <w:rPr>
          <w:rFonts w:ascii="Arial;sans-serif" w:hAnsi="Arial;sans-serif"/>
          <w:b w:val="false"/>
          <w:color w:val="000000"/>
          <w:sz w:val="20"/>
        </w:rPr>
        <w:t>Our principal liquidity needs for the next twelve months and beyond are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fund normal recurring expenses;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meet debt service and principal repayment obligations and balloon payments on maturing debt, including the $1.2 billion Unsecured Term Loan maturing May 16, 2024 (unless we exercise the one-year extension option, subject to certain conditions) and $700 million of 3.800% unsecured senior notes due February 1, 2024;</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fund development and redevelopment costs;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fund capital expenditures, including major renovations, tenant improvements and leasing costs;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fund pending and possible acquisitions of properties, either directly or indirectly through the acquisition of equity interests;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make the minimum distribution required to enable BXP to maintain its REIT qualification under the Internal Revenue Code of 1986, as amended.</w:t>
      </w:r>
    </w:p>
    <w:p>
      <w:pPr>
        <w:pStyle w:val="TextBody"/>
        <w:bidi w:val="0"/>
        <w:spacing w:lineRule="auto" w:line="288" w:before="180" w:after="160"/>
        <w:ind w:left="0" w:right="0" w:firstLine="495"/>
        <w:jc w:val="left"/>
        <w:rPr>
          <w:rFonts w:ascii="Arial;sans-serif" w:hAnsi="Arial;sans-serif"/>
          <w:b w:val="false"/>
          <w:color w:val="000000"/>
          <w:sz w:val="20"/>
        </w:rPr>
      </w:pPr>
      <w:r>
        <w:rPr>
          <w:rFonts w:ascii="Arial;sans-serif" w:hAnsi="Arial;sans-serif"/>
          <w:b w:val="false"/>
          <w:color w:val="000000"/>
          <w:sz w:val="20"/>
        </w:rPr>
        <w:t>We expect to satisfy these needs using one or more of the following:</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cash flow from operations;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distribution of cash flows from joint ventures;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cash and cash equivalent balances;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borrowings under BPLP’s Revolving Facility, unsecured term loans, short-term bridge facilities and construction loans;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long-term secured and unsecured indebtedness (including unsecured exchangeable indebtedness);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sales of real estate and interests in joint ventures owning real estate;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private equity sources, including with large institutional investors;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issuances of BXP equity securities and/or preferred or common units of partnership interests in BPLP.</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We draw on multiple financing sources to fund our long-term capital needs. We expect to fund our current development/redevelopment properties primarily with our available cash balances, funding from institutional private equity partners, construction loans, unsecured term loans, proceeds from asset sales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whether the project is owned by a joint venture, the extent of pre-leasing, our available cash and access to cost effective capital at the given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information on properties under construction/redevelopment as of September 30, 2023 (dollars in thousands):</w:t>
      </w:r>
    </w:p>
    <w:tbl>
      <w:tblPr>
        <w:tblW w:w="14878" w:type="dxa"/>
        <w:jc w:val="left"/>
        <w:tblInd w:w="0" w:type="dxa"/>
        <w:tblLayout w:type="fixed"/>
        <w:tblCellMar>
          <w:top w:w="28" w:type="dxa"/>
          <w:left w:w="28" w:type="dxa"/>
          <w:bottom w:w="28" w:type="dxa"/>
          <w:right w:w="28" w:type="dxa"/>
        </w:tblCellMar>
      </w:tblPr>
      <w:tblGrid>
        <w:gridCol w:w="562"/>
        <w:gridCol w:w="349"/>
        <w:gridCol w:w="350"/>
        <w:gridCol w:w="109"/>
        <w:gridCol w:w="109"/>
        <w:gridCol w:w="109"/>
        <w:gridCol w:w="305"/>
        <w:gridCol w:w="305"/>
        <w:gridCol w:w="306"/>
        <w:gridCol w:w="109"/>
        <w:gridCol w:w="109"/>
        <w:gridCol w:w="109"/>
        <w:gridCol w:w="354"/>
        <w:gridCol w:w="331"/>
        <w:gridCol w:w="216"/>
        <w:gridCol w:w="109"/>
        <w:gridCol w:w="109"/>
        <w:gridCol w:w="109"/>
        <w:gridCol w:w="235"/>
        <w:gridCol w:w="235"/>
        <w:gridCol w:w="236"/>
        <w:gridCol w:w="109"/>
        <w:gridCol w:w="109"/>
        <w:gridCol w:w="109"/>
        <w:gridCol w:w="519"/>
        <w:gridCol w:w="352"/>
        <w:gridCol w:w="251"/>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225"/>
        <w:gridCol w:w="196"/>
        <w:gridCol w:w="434"/>
        <w:gridCol w:w="372"/>
      </w:tblGrid>
      <w:tr>
        <w:trPr/>
        <w:tc>
          <w:tcPr>
            <w:tcW w:w="56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Financings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Construction/Redevelopment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Stabilization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Investment to Date (1)(2)(3)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Total Investment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Available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Outstanding at September 30, 2023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Future Equity Requirement (1)(2)(4)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Percentage Leased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360 Park Avenue South (42% ownership)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5"/>
              </w:rPr>
            </w:pPr>
            <w:r>
              <w:rPr>
                <w:rFonts w:ascii="Arial;sans-serif" w:hAnsi="Arial;sans-serif"/>
                <w:b w:val="false"/>
                <w:color w:val="000000"/>
                <w:sz w:val="15"/>
              </w:rPr>
              <w:t>(6)</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Next Office Phase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Office Properties under Construction/Redevelopment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540,000 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 xml:space="preserve">Laboratory/Life Sciences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103 CityPoint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Waltham,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180 CityPoint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Waltham,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329,000 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5"/>
              </w:rPr>
            </w:pPr>
            <w:r>
              <w:rPr>
                <w:rFonts w:ascii="Arial;sans-serif" w:hAnsi="Arial;sans-serif"/>
                <w:b w:val="false"/>
                <w:color w:val="000000"/>
                <w:sz w:val="15"/>
              </w:rPr>
              <w:t>(7)</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300 Binney Street (Redevelopment)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105 Carnegie Center (Redevelopment)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Princeton,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651 Gateway (50% ownership) (Redevelopment)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South San Francisco,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327,000 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290 Binney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566,000 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Laboratory/Life Sciences Properties under Construction/Redevelopment</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1,644,000 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639,051 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1,934,900 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1,295,849 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Skymark - Reston Next Residential (508 units) (20% ownership)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417,000 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Residential 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417,000 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760 Boylston Street (Redevelopment)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Boston,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Next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Retail Properties under Construction/Redevelopment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Properties under Construction/Redevelopment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2,752,000 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950,749 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1,393,978 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52 </w:t>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(8)</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(1)Represents our share.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(2)Each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September 30, 2023.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(3)Includes approximately $157.6 million of unpaid but accrued construction costs and leasing commissions.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(4)Excludes approximately $157.6 million of unpaid but accrued construction costs and leasing commissions.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(5)Represents percentage leased as of October 30, 2023, including leases with future commencement dates.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(6)Investment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 Investment to date excludes approximately $54.0 million of an impairment charge.</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(7)As of September 30, 2023, this property was 5% placed in-service.</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(8)Percentage leased excludes the residential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Lease revenue (which includes reimbursement of operating expenses from clients, if any), other income from operations, available cash balances, proceeds from mortgage financings and offerings of unsecured indebtedness, draws on BPLP’s Revolving Facility, and funding from institutional private equity partners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Material adverse changes in one or more sources of capital may adversely affect our net cash flows.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expect our primary uses of capital over the next twelve months will be to fund our current and committed development and redevelopment projects, repay debt maturities (as discussed below), make interest payments on our outstanding indebtedness, and satisfy our REIT distribution requirements.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As of September 30, 2023, we had 11 properties under development or redevelopment. Our share of the estimated total investment for these projects is approximately $2.4 billion, of which approximately $1.4 billion remains to be funded primarily with equity through 2026. In the third quarter of 2023, we completed the development/redevelopment of:</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140 Kendrick Street - Building A, a premier workplace redevelopment project with approximately 104,000 net rentable square feet located in Needham, Massachusetts. The property is the first Net Zero, Carbon Neutral office repositioning of its scale in Massachusetts. The property is 100% leased.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751 Gateway, an approximately 231,000 net rentable square foot laboratory/life sciences property in South San Francisco, California. The property is 100% leased.</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July 28, 2023, we entered into a joint venture agreement with an institutional investor for the future development of 343 Madison Avenue located on Madison Avenue between 44th and 45th Streets in New York City, New York adjacent to Grand Central Station. We own a 55% interest in the venture and our partner owns a 45% interest, and we will provide customary development, property management, and leasing services. The 343 Madison Avenue project contemplates the construction of Phase 1 and Phase 2 (See Note 4 to the Consolidated Financial Statements). Subsequently, on August 1, 2023, the joint venture executed an up to 99-year ground lease with the Metropolitan Transportation Authority for the approximately 25,000 square foot site. The joint venture has the option until July 31, 2025 to terminate the ground lease prior to construction of the new building and receive reimbursement of up to $117.0 million for the cost of the construction of Phase 1. There can be no assurance that Phase 1 will be completed on the terms currently contemplated or that Phase 2 of the development project will commence on the terms and schedule currently contemplated or at all.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Since June 30, 2023, we further strengthened our balance sheet by addressing the remaining 2023 debt maturities, and sourcing additional liquidity in the bank market. Notable transactions include: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We exercised a portion of the Accordion with three new lenders to the 2021 Credit Facility and entered into a lender agreement with each of the New Lenders to provide an aggregate of $315.0 million in additional revolving credit commitments, which increased the current maximum borrowing amount under the 2021 Credit Facility from $1.5 billion to $1.815 billion.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joint venture in which we have a 50% interest exercised an option to extend by one year the maturity date of its loan collateralized by 100 Causeway in Boston, Massachusetts. The approximately 635,000 square foot premier workplace located in Boston, Massachusetts is approximately 95% leased as of September 30, 2023. After making an approximately $4.0 million principal repayment, the modified and extended loan had an outstanding balance of $336.6 million and the interest rate was reduced from Term SOFR plus 1.60% to Term SOFR plus 1.48% per annum. The loan now matures on September 5, 2024, with a one-year extension option, subject to certain conditions.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A joint venture in which we have a 50% interest modified the loan collateralized by its Hub on Causeway - Podium property located in Boston, Massachusetts. The modified loan now matures on September 8, 2025, with a one-year extension option, subject to certain conditions. After making an approximately $20.0 million repayment, the modified loan had an outstanding balance of $154.3 million. The interest rate changed from Term SOFR plus 2.35% per annum to Daily SOFR plus 2.50% per annum. The joint venture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interest rate swap contracts resulting in a weighted-average fixed rate of approximately 7.35% per annum through September 8, 2025.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A joint venture in which we have a 25% interest exercised its second extension option with the lender, an affiliate of ours, under the land loan collateralized by the land and improvements at its 3 Hudson Boulevard property located in New York, New York. The land loan now matures on February 9, 2024.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We completed the repayment of $500.0 million in aggregate principal amount of 3.125% senior notes due September 1, 2023. The repayment price was approximately $507.8 million, which included the entire principal amount plus approximately $7.8 million of accrued and unpaid interest.</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On October 26, 2023, we closed on a mortgage loan collateralized by our 325 Main Street, 355 Main Street, 90 Broadway and Cambridge East Garage (also known as Kendall Center Green Garage) properties located in Cambridge, Massachusetts. The mortgage loan, totaling $600 million, requires interest-only payments at Daily Compounded SOFR plus 2.25% per annum until maturity on October 26, 2028. We intend to use the net proceeds from this financing and available cash to repay the $700 million of 3.800% unsecured senior notes due February 1, 2024.</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2024 debt maturities include $700.0 million aggregate principal amount of BPLP’s 3.800% unsecured senior notes, which mature on February 1, 2024 and the $1.2 billion 2023 Unsecured Term Loan that matures on May 16, 2024 (unless we exercise the one-year extension option, subject to certain conditions). In our unconsolidated joint venture portfolio, we have approximately $405.4 million (our share) of debt maturing in 2024. We expect to fund the foregoing debt maturities using available cash balances, proceeds from asset sales, draws on BPLP’s Revolving Facility, exercising extension options, and/or through refinancings using secured debt, unsecured debt or both. We expect our quarterly net interest expense will increase for the remainder of 2023 and into 2024 compared to the first nine months of 2023 primarily due to the cessation of capitalized interest on our 2023 development deliveries, higher interest rates on maturing debt that we refinance, and lower interest income as we use cash balances to repay debt and fund our development pipeline.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As of October 30, 2023, we had available cash of approximately $1.4 billion (of which approximately $93 million is attributable to our consolidated joint venture partners). Our liquidity and capital resources depend on a wide range of factors, and we believe that our access to capital and our strong liquidity, including the approximately $1.8 billion available under BPLP’s Revolving Facility and our available cash, as of October 30, 2023, are sufficient to fund our remaining capital requirements on existing development and redevelopment projects, fund acquisitions, repay our maturing indebtedness when due (if not refinanced or extended), satisfy our REIT distribution requirements and still allow us to act opportunistically on attractive investment opportunities.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may seek to enhance our liquidity to fund our current and future development activity, pursue additional attractive investment opportunities and refinance or repay indebtedness. Depending on interest rates, the overall conditions in the public and private debt and equity markets, and our leverage at the time, we may decide to access one or more of these capital sources. Doing so may result in us carrying additional cash and cash equivalents pending our use of the proceeds, which would increase our net interest expense.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On May 17, 2023, BXP renewed its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BXP intends to use the net proceeds from any offering for general business purposes, which may include investment opportunities and debt reduction. We have not sold any shares under this ATM stock offering program.</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 xml:space="preserve">REIT Tax Distribution Considerations </w:t>
      </w:r>
    </w:p>
    <w:p>
      <w:pPr>
        <w:pStyle w:val="TextBody"/>
        <w:bidi w:val="0"/>
        <w:spacing w:lineRule="auto" w:line="288" w:before="100" w:after="283"/>
        <w:jc w:val="left"/>
        <w:rPr>
          <w:rFonts w:ascii="Arial;sans-serif" w:hAnsi="Arial;sans-serif"/>
          <w:b w:val="false"/>
          <w:i/>
          <w:color w:val="000000"/>
          <w:sz w:val="20"/>
        </w:rPr>
      </w:pPr>
      <w:r>
        <w:rPr>
          <w:rFonts w:ascii="Arial;sans-serif" w:hAnsi="Arial;sans-serif"/>
          <w:b w:val="false"/>
          <w:i/>
          <w:color w:val="000000"/>
          <w:sz w:val="20"/>
        </w:rPr>
        <w:t xml:space="preserve">Dividend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distribution per unit that is paid per share of BXP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 </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 xml:space="preserve">Sales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time to time in select cases, whether due to a change in use, structuring issues to comply with applicable REIT regulations or other reasons, we may sell an asset that is held by a taxable REIT subsidiary (“TRS”). Such a sale by a TRS would be subject to federal and local taxes.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Cash Flow Summary</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summary discussion of our cash flows is based on the Consolidated Statements of Cash Flows and is not meant to be an all-inclusive discussion of the changes in our cash flows for the periods presented below.</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Cash and cash equivalents and cash held in escrows aggregated approximately $930.4 million and $448.9 million at September 30, 2023 and 2022, respectively, representing an increase of approximately $481.6 million. The following table sets forth changes in cash flows:</w:t>
      </w:r>
    </w:p>
    <w:tbl>
      <w:tblPr>
        <w:tblW w:w="7748" w:type="dxa"/>
        <w:jc w:val="left"/>
        <w:tblInd w:w="0" w:type="dxa"/>
        <w:tblLayout w:type="fixed"/>
        <w:tblCellMar>
          <w:top w:w="28" w:type="dxa"/>
          <w:left w:w="28" w:type="dxa"/>
          <w:bottom w:w="28" w:type="dxa"/>
          <w:right w:w="28" w:type="dxa"/>
        </w:tblCellMar>
      </w:tblPr>
      <w:tblGrid>
        <w:gridCol w:w="1326"/>
        <w:gridCol w:w="1163"/>
        <w:gridCol w:w="1171"/>
        <w:gridCol w:w="211"/>
        <w:gridCol w:w="856"/>
        <w:gridCol w:w="109"/>
        <w:gridCol w:w="109"/>
        <w:gridCol w:w="109"/>
        <w:gridCol w:w="109"/>
        <w:gridCol w:w="213"/>
        <w:gridCol w:w="867"/>
        <w:gridCol w:w="109"/>
        <w:gridCol w:w="109"/>
        <w:gridCol w:w="109"/>
        <w:gridCol w:w="109"/>
        <w:gridCol w:w="225"/>
        <w:gridCol w:w="690"/>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40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principal source of cash flow is related to the operation of our properties. The weighted-average term of our in-place leases, including leases signed by our unconsolidated joint ventures, excluding residential units, was approximately 7.6 years as of September 30, 2023, with occupancy rates historically in the range of 88% to 92%.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w:t>
      </w:r>
      <w:r>
        <w:rPr>
          <w:rFonts w:ascii="Arial;sans-serif" w:hAnsi="Arial;sans-serif"/>
          <w:b w:val="false"/>
          <w:color w:val="000000"/>
          <w:sz w:val="20"/>
          <w:shd w:fill="FFFFFF" w:val="clear"/>
        </w:rPr>
        <w:t>nine months</w:t>
      </w:r>
      <w:r>
        <w:rPr>
          <w:color w:val="000000"/>
        </w:rPr>
        <w:t xml:space="preserve"> </w:t>
      </w:r>
      <w:r>
        <w:rPr>
          <w:rFonts w:ascii="Arial;sans-serif" w:hAnsi="Arial;sans-serif"/>
          <w:b w:val="false"/>
          <w:color w:val="000000"/>
          <w:sz w:val="20"/>
        </w:rPr>
        <w:t>ended September 30, 2023 and September 30, 2022 is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7947" w:type="dxa"/>
        <w:jc w:val="left"/>
        <w:tblInd w:w="0" w:type="dxa"/>
        <w:tblLayout w:type="fixed"/>
        <w:tblCellMar>
          <w:top w:w="28" w:type="dxa"/>
          <w:left w:w="28" w:type="dxa"/>
          <w:bottom w:w="28" w:type="dxa"/>
          <w:right w:w="28" w:type="dxa"/>
        </w:tblCellMar>
      </w:tblPr>
      <w:tblGrid>
        <w:gridCol w:w="1759"/>
        <w:gridCol w:w="1548"/>
        <w:gridCol w:w="1553"/>
        <w:gridCol w:w="220"/>
        <w:gridCol w:w="939"/>
        <w:gridCol w:w="113"/>
        <w:gridCol w:w="113"/>
        <w:gridCol w:w="113"/>
        <w:gridCol w:w="113"/>
        <w:gridCol w:w="220"/>
        <w:gridCol w:w="1096"/>
        <w:gridCol w:w="160"/>
      </w:tblGrid>
      <w:tr>
        <w:trPr/>
        <w:tc>
          <w:tcPr>
            <w:tcW w:w="175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real estate (1)</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(1,320,273)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 (2)</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other capital improvements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 (3)</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assignment fee (4)</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 (5)</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 (6)</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related party note receivable (7)</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 receivable (8)</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(875,578)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(1,313,220)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Cash used in investing activities changed primarily due to the following:</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(1)On September 16, 2022, we acquired 125 Broadway in Cambridge, Massachusetts for a net purchase price, including transaction costs, of approximately $592.4 million. The acquisition was completed with available cash and borrowings under BPLP’s Revolving Facility. 125 Broadway is a 271,000 net rentable square foot, six-story, laboratory/life sciences property.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On May 17, 2022, we completed the acquisition of Madison Centre in Seattle, Washington, for an aggregate purchase price, including transaction costs, of approximately $724.3 million. Madison Centre is an approximately 755,000 net rentable square foot, 37-story, LEED-Platinum certified, premier workplace.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(2)Construction in progress for the nine months ended September 30, 2023 included ongoing expenditures associated with 2100 Pennsylvania Avenue, 140 Kendrick Street Building A and the View Boston observatory at The Prudential Center, which were fully placed in-service during the nine months ended September 30, 2023 and 180 CityPoint that was partially placed in-service during the nine months ended September 30, 2023. In addition, we incurred costs associated with our continued development/redevelopment of 103 CityPoint, Reston Next Office Phase II, 760 Boylston Street, 105 Carnegie Center, 290 Binney Street and 300 Binney Street. </w:t>
      </w:r>
    </w:p>
    <w:p>
      <w:pPr>
        <w:pStyle w:val="TextBody"/>
        <w:bidi w:val="0"/>
        <w:spacing w:lineRule="auto" w:line="288" w:before="180" w:after="283"/>
        <w:jc w:val="left"/>
        <w:rPr/>
      </w:pPr>
      <w:r>
        <w:rPr>
          <w:rFonts w:ascii="Arial;sans-serif" w:hAnsi="Arial;sans-serif"/>
          <w:b w:val="false"/>
          <w:color w:val="000000"/>
          <w:sz w:val="20"/>
        </w:rPr>
        <w:t xml:space="preserve">Construction in progress for the </w:t>
      </w:r>
      <w:r>
        <w:rPr>
          <w:rFonts w:ascii="Arial;sans-serif" w:hAnsi="Arial;sans-serif"/>
          <w:b w:val="false"/>
          <w:color w:val="000000"/>
          <w:sz w:val="20"/>
          <w:shd w:fill="FFFFFF" w:val="clear"/>
        </w:rPr>
        <w:t>nine months</w:t>
      </w:r>
      <w:r>
        <w:rPr>
          <w:color w:val="000000"/>
        </w:rPr>
        <w:t xml:space="preserve"> </w:t>
      </w:r>
      <w:r>
        <w:rPr>
          <w:rFonts w:ascii="Arial;sans-serif" w:hAnsi="Arial;sans-serif"/>
          <w:b w:val="false"/>
          <w:color w:val="000000"/>
          <w:sz w:val="20"/>
        </w:rPr>
        <w:t>ended September 30, 2022 included ongoing expenditures associated with</w:t>
      </w:r>
      <w:r>
        <w:rPr>
          <w:color w:val="000000"/>
          <w:shd w:fill="FFFFFF" w:val="clear"/>
        </w:rPr>
        <w:t xml:space="preserve"> </w:t>
      </w:r>
      <w:r>
        <w:rPr>
          <w:rFonts w:ascii="Arial;sans-serif" w:hAnsi="Arial;sans-serif"/>
          <w:b w:val="false"/>
          <w:color w:val="000000"/>
          <w:sz w:val="20"/>
          <w:shd w:fill="FFFFFF" w:val="clear"/>
        </w:rPr>
        <w:t xml:space="preserve">Reston Next, </w:t>
      </w:r>
      <w:r>
        <w:rPr>
          <w:rFonts w:ascii="Arial;sans-serif" w:hAnsi="Arial;sans-serif"/>
          <w:b w:val="false"/>
          <w:color w:val="000000"/>
          <w:sz w:val="20"/>
        </w:rPr>
        <w:t xml:space="preserve">2100 Pennsylvania Avenue and 880 Winter Street, each of which were partially placed in-service, and 325 Main Street, which was completed and fully placed in-service during the nine months ended September 30, 2022. In addition, we incurred costs associated with our continued development/redevelopment </w:t>
      </w:r>
      <w:r>
        <w:rPr>
          <w:rFonts w:ascii="Arial;sans-serif" w:hAnsi="Arial;sans-serif"/>
          <w:b w:val="false"/>
          <w:color w:val="000000"/>
          <w:sz w:val="20"/>
          <w:shd w:fill="FFFFFF" w:val="clear"/>
        </w:rPr>
        <w:t xml:space="preserve">of </w:t>
      </w:r>
      <w:r>
        <w:rPr>
          <w:rFonts w:ascii="Arial;sans-serif" w:hAnsi="Arial;sans-serif"/>
          <w:b w:val="false"/>
          <w:color w:val="000000"/>
          <w:sz w:val="20"/>
        </w:rPr>
        <w:t xml:space="preserve">180 CityPoint, View Boston observatory at The Prudential Center, 103 CityPoint, Reston Next Office Phase II, 140 Kendrick Street Building A and 760 Boylston Street. </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(3)On September 15, 2022, we completed the sale of two parcels of land located in Loudoun County, Virginia for a gross sale price of $27.0 million. Net cash proceeds totaled approximately $25.6 million, resulting in a gain on sale of real estate totaling approximately $24.4 million for BXP and BPLP.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On August 30, 2022, we completed the sale of 601 Massachusetts Avenue located in Washington, DC for a                                                     gross sale price of $531.0 million. Net cash proceeds totaled approximately $512.3 million, resulting in a gain on sale of real estate totaling approximately $237.4 million for BXP and approximately $237.5 million for BPLP. 601 Massachusetts Avenue is an approximately 479,000 net rentable square foot premier workplace.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On June 15, 2022, we completed the sale of our Virginia 95 Office Park properties located in Springfield, Virginia for an aggregate gross sale price of $127.5 million. Net cash proceeds totaled approximately $121.9 million, resulting in a gain on sale of real estate totaling approximately $96.2 million for BXP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approximately $99.5 million for BPLP. Virginia 95 Office Park consists of eleven Class A office/flex properties aggregating approximately 733,000 net rentable square feet.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On March 31, 2022, we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premier workplace.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 The property was 100% leased.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(5)Capital contributions to unconsolidated joint ventures for the nine months ended September 30, 2023 consisted primarily of cash contributions of approximately $46.8 million, $32.8 million, $17.5 million, $14.4 million and $9.5 million to our Gateway Commons, Platform 16, Worldgate Drive, Dock 72 and 751 Gateway joint ventures, respectively. On January 31, 2023, we entered into a new joint venture for 13100 and 13150 Worldgate Drive located in Herndon, Virginia.</w:t>
      </w:r>
    </w:p>
    <w:p>
      <w:pPr>
        <w:pStyle w:val="TextBody"/>
        <w:bidi w:val="0"/>
        <w:spacing w:lineRule="auto" w:line="288" w:before="180" w:after="283"/>
        <w:jc w:val="left"/>
        <w:rPr/>
      </w:pPr>
      <w:r>
        <w:rPr>
          <w:rFonts w:ascii="Arial;sans-serif" w:hAnsi="Arial;sans-serif"/>
          <w:b w:val="false"/>
          <w:color w:val="000000"/>
          <w:sz w:val="20"/>
        </w:rPr>
        <w:t xml:space="preserve">Capital contributions to unconsolidated joint ventures for the </w:t>
      </w:r>
      <w:r>
        <w:rPr>
          <w:rFonts w:ascii="Arial;sans-serif" w:hAnsi="Arial;sans-serif"/>
          <w:b w:val="false"/>
          <w:color w:val="000000"/>
          <w:sz w:val="20"/>
          <w:shd w:fill="FFFFFF" w:val="clear"/>
        </w:rPr>
        <w:t>nine months</w:t>
      </w:r>
      <w:r>
        <w:rPr>
          <w:color w:val="000000"/>
        </w:rPr>
        <w:t xml:space="preserve"> </w:t>
      </w:r>
      <w:r>
        <w:rPr>
          <w:rFonts w:ascii="Arial;sans-serif" w:hAnsi="Arial;sans-serif"/>
          <w:b w:val="false"/>
          <w:color w:val="000000"/>
          <w:sz w:val="20"/>
        </w:rPr>
        <w:t xml:space="preserve">ended September 30, 2022 consisted primarily of cash contributions of approximately $44.8 million, $31.6 million and $16.4 million to our Gateway Commons, Platform 16 and 751 Gateway joint ventures, respectively. </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(6)</w:t>
      </w:r>
      <w:r>
        <w:rPr>
          <w:rFonts w:ascii="Arial;sans-serif" w:hAnsi="Arial;sans-serif"/>
          <w:b w:val="false"/>
          <w:color w:val="000000"/>
          <w:sz w:val="20"/>
        </w:rPr>
        <w:t xml:space="preserve">Capital distributions from unconsolidated joint ventures for the nine months ended September 30, 2023 consisted primarily of a cash distribution totaling approximately </w:t>
      </w:r>
      <w:r>
        <w:rPr>
          <w:rFonts w:ascii="Arial;sans-serif" w:hAnsi="Arial;sans-serif"/>
          <w:b w:val="false"/>
          <w:color w:val="000000"/>
          <w:sz w:val="20"/>
          <w:shd w:fill="FFFFFF" w:val="clear"/>
        </w:rPr>
        <w:t xml:space="preserve">$7.4 million from our 360 Park Avenue South joint venture. </w:t>
      </w:r>
    </w:p>
    <w:p>
      <w:pPr>
        <w:pStyle w:val="TextBody"/>
        <w:bidi w:val="0"/>
        <w:spacing w:lineRule="auto" w:line="288" w:before="180" w:after="283"/>
        <w:jc w:val="left"/>
        <w:rPr/>
      </w:pPr>
      <w:r>
        <w:rPr>
          <w:rFonts w:ascii="Arial;sans-serif" w:hAnsi="Arial;sans-serif"/>
          <w:b w:val="false"/>
          <w:color w:val="000000"/>
          <w:sz w:val="20"/>
        </w:rPr>
        <w:t>Capital</w:t>
      </w:r>
      <w:r>
        <w:rPr>
          <w:color w:val="000000"/>
          <w:shd w:fill="FFFFFF" w:val="clear"/>
        </w:rPr>
        <w:t xml:space="preserve"> </w:t>
      </w:r>
      <w:r>
        <w:rPr>
          <w:rFonts w:ascii="Arial;sans-serif" w:hAnsi="Arial;sans-serif"/>
          <w:b w:val="false"/>
          <w:color w:val="000000"/>
          <w:sz w:val="20"/>
          <w:shd w:fill="FFFFFF" w:val="clear"/>
        </w:rPr>
        <w:t xml:space="preserve">distributions from unconsolidated joint ventures for the nine months ended </w:t>
      </w:r>
      <w:r>
        <w:rPr>
          <w:rFonts w:ascii="Arial;sans-serif" w:hAnsi="Arial;sans-serif"/>
          <w:b w:val="false"/>
          <w:color w:val="000000"/>
          <w:sz w:val="20"/>
        </w:rPr>
        <w:t xml:space="preserve">September 30, 2022 </w:t>
      </w:r>
      <w:r>
        <w:rPr>
          <w:rFonts w:ascii="Arial;sans-serif" w:hAnsi="Arial;sans-serif"/>
          <w:b w:val="false"/>
          <w:color w:val="000000"/>
          <w:sz w:val="20"/>
          <w:shd w:fill="FFFFFF" w:val="clear"/>
        </w:rPr>
        <w:t xml:space="preserve">consisted primarily of cash distributions totaling approximately $21.6 million and $11.6 million from our Metropolitan Square and 7750 Wisconsin Avenue joint ventures, respectively. </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(7)</w:t>
      </w:r>
      <w:r>
        <w:rPr>
          <w:rFonts w:ascii="Arial;sans-serif" w:hAnsi="Arial;sans-serif"/>
          <w:b w:val="false"/>
          <w:color w:val="000000"/>
          <w:sz w:val="20"/>
        </w:rPr>
        <w:t>On June 5, 2023, a joint venture in which we own a 30% interest repaid the existing construction loan collateralized by its 500 North Capitol Street, NW property and obtained new mortgage loans with related parties. At the time of the pay off, the outstanding balance of the loan totaled approximately $105.0 million and was scheduled to mature on June 6, 2023. The new mortgage loans have an aggregate principal balance of $105.0 million, bear interest at a weighted average fixed rate of 6.83% per annum and mature on June 5, 2026. Our portion of the mortgage loans, $10.5 million, has been reflected as a Related Party Note Receivable on our Consolidated Balance Sheets. 500 North Capitol Street, NW is a 231,000 square foot premier workplace in Washington, DC.</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(8)An affiliate of The Bernstein Companies exercised its option to borrow $10.0 million from us, and we provided the financing on June 1, 2020. The financing bore interest at a fixed rate of 8.00% per annum, compounded monthly, and was scheduled to mature on the fifth anniversary of the date on which the base building of the affiliate of The Bernstein Companies’ hotel property was substantially completed. On June 27, 2022, the borrower repaid the loan in full, including approximately $1.6 million of accrued interest. </w:t>
      </w:r>
    </w:p>
    <w:p>
      <w:pPr>
        <w:pStyle w:val="TextBody"/>
        <w:bidi w:val="0"/>
        <w:spacing w:lineRule="auto" w:line="288" w:before="180" w:after="283"/>
        <w:ind w:left="0" w:right="0" w:firstLine="450"/>
        <w:jc w:val="left"/>
        <w:rPr/>
      </w:pPr>
      <w:r>
        <w:rPr>
          <w:rFonts w:ascii="Arial;sans-serif" w:hAnsi="Arial;sans-serif"/>
          <w:b w:val="false"/>
          <w:color w:val="000000"/>
          <w:sz w:val="20"/>
        </w:rPr>
        <w:t xml:space="preserve">Cash provided by financing activities for the nine months ended September 30, 2023 totaled approximately $154.8 million. This amount consisted primarily of borrowings under the 2023 Unsecured Term Loan and the proceeds from the issuance by BPLP of $750 million in aggregate principal amount of its 6.500% unsecured senior notes due 2034, partially offset by the repayment of BPLP’s $730 million unsecured credit agreement (the “2022 Unsecured Term Loan”), repayment of BPLP’s $500 million in aggregate principal amount of its 3.125% unsecured senior notes due September 1, 2023 and payment of our regular dividends and distributions to our shareholders and unitholders and distributions to noncontrolling interests in property partnerships. Future debt payments are discussed below under the heading </w:t>
      </w:r>
      <w:r>
        <w:rPr>
          <w:color w:val="000000"/>
        </w:rPr>
        <w:t>“</w:t>
      </w:r>
      <w:r>
        <w:rPr>
          <w:rFonts w:ascii="Arial;sans-serif" w:hAnsi="Arial;sans-serif"/>
          <w:b w:val="false"/>
          <w:i/>
          <w:color w:val="000000"/>
          <w:sz w:val="20"/>
        </w:rPr>
        <w:t>Debt Financing</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Capitalization</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tbl>
      <w:tblPr>
        <w:tblW w:w="10205" w:type="dxa"/>
        <w:jc w:val="left"/>
        <w:tblInd w:w="0" w:type="dxa"/>
        <w:tblLayout w:type="fixed"/>
        <w:tblCellMar>
          <w:top w:w="28" w:type="dxa"/>
          <w:left w:w="28" w:type="dxa"/>
          <w:bottom w:w="28" w:type="dxa"/>
          <w:right w:w="28" w:type="dxa"/>
        </w:tblCellMar>
      </w:tblPr>
      <w:tblGrid>
        <w:gridCol w:w="1356"/>
        <w:gridCol w:w="1017"/>
        <w:gridCol w:w="1017"/>
        <w:gridCol w:w="109"/>
        <w:gridCol w:w="109"/>
        <w:gridCol w:w="109"/>
        <w:gridCol w:w="648"/>
        <w:gridCol w:w="621"/>
        <w:gridCol w:w="622"/>
        <w:gridCol w:w="109"/>
        <w:gridCol w:w="109"/>
        <w:gridCol w:w="109"/>
        <w:gridCol w:w="664"/>
        <w:gridCol w:w="599"/>
        <w:gridCol w:w="601"/>
        <w:gridCol w:w="109"/>
        <w:gridCol w:w="109"/>
        <w:gridCol w:w="109"/>
        <w:gridCol w:w="229"/>
        <w:gridCol w:w="1176"/>
        <w:gridCol w:w="294"/>
        <w:gridCol w:w="109"/>
        <w:gridCol w:w="109"/>
        <w:gridCol w:w="162"/>
      </w:tblGrid>
      <w:tr>
        <w:trPr/>
        <w:tc>
          <w:tcPr>
            <w:tcW w:w="13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 Units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Equivalent Value (1)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156,939 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156,939 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9,334,732 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18,582 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18,582 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1,105,257 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175,521 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10,439,989 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Consolidated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14,961,715 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unconsolidated joint venture debt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1,518,195 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Partners’ share of Consolidated Debt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(1,359,877)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15,120,033 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25,401,704 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25,560,022 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(1)Values are based on the closing price per share of BXP’s Common Stock on the New York Stock Exchange on September 29, 2023 of $59.48.</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long-term incentive plan units (including 2012 OPP Units and 2013 - 2020 MYLTIP Units) but excludes the 2021 - 2023 MYLTIP Units because the three-year performance periods had not ended as of September 30, 2023.</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(3)See page 94 for additional information.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(4)See page 93 for additional information.</w:t>
      </w:r>
    </w:p>
    <w:p>
      <w:pPr>
        <w:pStyle w:val="TextBody"/>
        <w:bidi w:val="0"/>
        <w:spacing w:before="100" w:after="283"/>
        <w:ind w:left="0" w:right="0" w:firstLine="495"/>
        <w:jc w:val="left"/>
        <w:rPr/>
      </w:pPr>
      <w:r>
        <w:rPr/>
      </w:r>
    </w:p>
    <w:p>
      <w:pPr>
        <w:pStyle w:val="TextBody"/>
        <w:bidi w:val="0"/>
        <w:spacing w:lineRule="auto" w:line="288"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(1)     our consolidated debt; plus</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(2)     the product of (x) the closing price per share of BXP Common Stock on September 29, 2023, as reported by the New York Stock Exchange, multiplied by (y) the sum of:</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 xml:space="preserve">(i)     the number of outstanding shares of Common Stock of BXP, </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(ii)     the number of outstanding OP Units in BPLP (excluding OP Units held by BXP),</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(iii)     the number of OP Units issuable upon conversion of all outstanding LTIP Units, assuming all conditions have been met for the conversion of the LTIP Units, and</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(iv)     the number of OP Units issuable upon conversion of 2012 OPP Units, and 2013 - 2020 MYLTIP Units that were issued in the form of LTIP Units.</w:t>
      </w:r>
    </w:p>
    <w:p>
      <w:pPr>
        <w:pStyle w:val="TextBody"/>
        <w:bidi w:val="0"/>
        <w:spacing w:lineRule="auto" w:line="288"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calculation of consolidated market capitalization does not include LTIP Units issued in the form of MYLTIP Awards unless and until certain performance thresholds are achieved and they are earned. Because their three-year performance periods have not yet ended, 2021 - 2023 MYLTIP Units are not included in this calculation as of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pStyle w:val="TextBody"/>
        <w:bidi w:val="0"/>
        <w:spacing w:lineRule="auto" w:line="288" w:before="180" w:after="283"/>
        <w:ind w:left="0" w:right="0" w:firstLine="450"/>
        <w:jc w:val="left"/>
        <w:rPr/>
      </w:pPr>
      <w:r>
        <w:rPr>
          <w:rFonts w:ascii="Arial;sans-serif" w:hAnsi="Arial;sans-serif"/>
          <w:b w:val="false"/>
          <w:color w:val="000000"/>
          <w:sz w:val="20"/>
        </w:rPr>
        <w:t>For a discussion of our unconsolidated joint venture indebtedness, see “</w:t>
      </w:r>
      <w:r>
        <w:rPr>
          <w:rFonts w:ascii="Arial;sans-serif" w:hAnsi="Arial;sans-serif"/>
          <w:b w:val="false"/>
          <w:i/>
          <w:color w:val="000000"/>
          <w:sz w:val="20"/>
        </w:rPr>
        <w:t>Liquidity and Capital Resources—Investment in Unconsolidated Joint Ventures - Secured Debt” w</w:t>
      </w:r>
      <w:r>
        <w:rPr>
          <w:rFonts w:ascii="Arial;sans-serif" w:hAnsi="Arial;sans-serif"/>
          <w:b w:val="false"/>
          <w:color w:val="000000"/>
          <w:sz w:val="20"/>
        </w:rPr>
        <w:t>ithin “</w:t>
      </w:r>
      <w:r>
        <w:rPr>
          <w:rFonts w:ascii="Arial;sans-serif" w:hAnsi="Arial;sans-serif"/>
          <w:b w:val="false"/>
          <w:i/>
          <w:color w:val="000000"/>
          <w:sz w:val="20"/>
        </w:rPr>
        <w:t>Item 2—Management’s Discussion and Analysis of Financial Condition and Results of Operations</w:t>
      </w:r>
      <w:r>
        <w:rPr>
          <w:color w:val="000000"/>
        </w:rPr>
        <w:t xml:space="preserve">” </w:t>
      </w:r>
      <w:r>
        <w:rPr>
          <w:rFonts w:ascii="Arial;sans-serif" w:hAnsi="Arial;sans-serif"/>
          <w:b w:val="false"/>
          <w:color w:val="000000"/>
          <w:sz w:val="20"/>
        </w:rPr>
        <w:t xml:space="preserve">and for a discussion of our consolidated joint venture indebtedness see </w:t>
      </w:r>
      <w:r>
        <w:rPr>
          <w:color w:val="000000"/>
        </w:rPr>
        <w:t>“</w:t>
      </w:r>
      <w:r>
        <w:rPr>
          <w:rFonts w:ascii="Arial;sans-serif" w:hAnsi="Arial;sans-serif"/>
          <w:b w:val="false"/>
          <w:i/>
          <w:color w:val="000000"/>
          <w:sz w:val="20"/>
        </w:rPr>
        <w:t>Liquidity and Capital Resources—Mortgage Notes Payable</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rFonts w:ascii="Arial;sans-serif" w:hAnsi="Arial;sans-serif"/>
          <w:b w:val="false"/>
          <w:color w:val="000000"/>
          <w:sz w:val="20"/>
        </w:rPr>
        <w:t>.”</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Debt Financing</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September 30, 2023, we had approximately $15.0 billion of outstanding consolidated indebtedness, representing approximately 58.90% of our Consolidated Market Capitalization as calculated above consisting of approximately (1) $10.5 billion (net of discount and deferred financing fees) in publicly traded unsecured senior notes having a GAAP weighted-average interest rate of 3.91% per annum and maturities in 2024 through 2034, (2) $3.3 billion (net of deferred financing fees) of property-specific mortgage debt having a GAAP weighted-average interest rate of 3.42% per annum and a weighted-average term of 5.1 years and (3) $1.2 billion outstanding under BPLP’s 2023 Unsecured Term Loan that matures on May 16, 2024.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summarizes the aggregate carrying value of our mortgage notes payable and BPLP’s unsecured senior notes, unsecured line of credit, and unsecured term loan, as well as Consolidated Debt Financing Statistics at September 30, 2023 and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9258" w:type="dxa"/>
        <w:jc w:val="left"/>
        <w:tblInd w:w="0" w:type="dxa"/>
        <w:tblLayout w:type="fixed"/>
        <w:tblCellMar>
          <w:top w:w="28" w:type="dxa"/>
          <w:left w:w="28" w:type="dxa"/>
          <w:bottom w:w="28" w:type="dxa"/>
          <w:right w:w="28" w:type="dxa"/>
        </w:tblCellMar>
      </w:tblPr>
      <w:tblGrid>
        <w:gridCol w:w="2044"/>
        <w:gridCol w:w="1794"/>
        <w:gridCol w:w="1802"/>
        <w:gridCol w:w="211"/>
        <w:gridCol w:w="1126"/>
        <w:gridCol w:w="286"/>
        <w:gridCol w:w="109"/>
        <w:gridCol w:w="109"/>
        <w:gridCol w:w="109"/>
        <w:gridCol w:w="211"/>
        <w:gridCol w:w="1126"/>
        <w:gridCol w:w="331"/>
      </w:tblGrid>
      <w:tr>
        <w:trPr/>
        <w:tc>
          <w:tcPr>
            <w:tcW w:w="204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Debt Summary:</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 mortgage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3,275,974 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3,271,157 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senior notes,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10,488,568 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9,491,714 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Debt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14,961,715 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13,832,871 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BXP’s share of unconsolidated joint venture debt, net (1)</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1,518,195 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1,450,624 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Subtract:</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Partners’ share of consolidated mortgage notes payable, net (2)</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(1,359,877)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(1,357,896)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BXP’s Share of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15,120,033 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13,925,599 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Debt Financing Statistics:</w:t>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 of total debt:</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 (3)</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Weighted-average interest rate at end of period:</w:t>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 (3)</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Coupon/Stated Weighted-average interest rate at end of period:</w:t>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 (3)</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maturity at end of period (in years):</w:t>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 (3)</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(1)See page 94 for additional information.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(2)See page 93 for additional information.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2023 Unsecured Term Loan bears interest at a variable rate of adjusted Term SOFR plus a margin ranging from 75 to 160 basis points based on BPLP’s credit rating. On May 2, 2023, BPLP executed interest rate swaps that effectively fixed Term SOFR for the $1.2 billion outstanding under the 2023 Unsecured Term Loan (see Notes 6 and 7 to the Consolidated Financial Statements). As such, the 2023 Unsecured Term Loan is reflected within Fixed rate statistics.</w:t>
      </w:r>
    </w:p>
    <w:p>
      <w:pPr>
        <w:pStyle w:val="TextBody"/>
        <w:bidi w:val="0"/>
        <w:spacing w:lineRule="auto" w:line="288" w:before="400" w:after="283"/>
        <w:ind w:left="0" w:right="0" w:firstLine="225"/>
        <w:jc w:val="left"/>
        <w:rPr>
          <w:rFonts w:ascii="Arial;sans-serif" w:hAnsi="Arial;sans-serif"/>
          <w:b/>
          <w:i/>
          <w:color w:val="000000"/>
          <w:sz w:val="20"/>
        </w:rPr>
      </w:pPr>
      <w:r>
        <w:rPr>
          <w:rFonts w:ascii="Arial;sans-serif" w:hAnsi="Arial;sans-serif"/>
          <w:b/>
          <w:i/>
          <w:color w:val="000000"/>
          <w:sz w:val="20"/>
        </w:rPr>
        <w:t>Unsecured Credit Facility</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2021 Credit Facility provides for borrowings of up to $1.815 billion, as described below, through the Revolving Facility, subject to customary conditions. The 2021 Credit Facility matures on June 15, 2026 and includes a sustainability-linked pricing component. Under the 2021 Credit Facility, BPLP may increase the total commitment by up to $500.0 million by utilizing the Accordion. On September 28, 2023, BPLP exercised a portion of the Accordion with three New Lenders to the 2021 Credit Facility. Each of the New Lenders entered into a lender agreement with BPLP to provide an aggregate of $315.0 million in additional revolving credit commitments,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increased the maximum borrowing amount under the 2021 Credit Facility from $1.5 billion to $1.815 billion. All other terms of the 2021 Credit Facility remain unchanged.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1, 2023, BPLP amended its 2021 Credit Facility to replace the LIBOR-based daily floating rate option with a SOFR-based daily floating rate option and to add options for SOFR-based term floating rates and rates for alternative currency loans. In addition, the amendment added a SOFR credit spread adjustment of 0.10%. Other than the foregoing, the material terms of the 2021 Credit Facility remain unchanged.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Based on BPLP’s September 30, 2023 credit rating, (1) the applicable Daily SOFR, Term SOFR, alternative currency daily rate, and alternative currency term rate margins are 0.775%, (2) the alternate base rate margin is zero basis points and (3) the facility fee is 0.15% per annum.</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September 30, 2023 and October 30, 2023, BPLP had no borrowings under its Revolving Facility and outstanding letters of credit totaling approximately $6.7 million, with the ability to borrow approximately $1.8 billion. </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Unsecured Term Loan</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January 4, 2023, BPLP entered into the 2023 Unsecured Term Loan, which provided for a single borrowing of up to $1.2 billion.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BPLP exercised its option to draw $1.2 billion under the 2023 Unsecured Term Loan, a portion of which was used to repay in full the 2022 Unsecured Term Loan, which was scheduled to mature on May 16, 2023. There was no prepayment penalty associated with the repayment of the 2022 Unsecured Term Loan.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September 30, 2023, the 2023 Unsecured Term Loan bears interest at a rate equal to adjusted Term SOFR plus 0.85% per annum based on BPLP’s current credit rating at September 30, 2023 (See Note 7 to the Consolidated Financial Statements). At September 30, 2023, BPLP had $1.2 billion outstanding under the 2023 Unsecured Term Loan.</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Derivative Instruments and Hedging Activities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On May 2, 2023, BPLP executed interest rate swaps in notional amounts aggregating $1.2 billion. These interest rate swaps were entered into to fix Term SOFR, the reference rate for BPLP’s 2023 Unsecured Term Loan, at a weighted-average rate of 4.6420% for the period commencing on May 4, 2023 and ending on May 16, 2024 (See Note 7 to the Consolidated Financial Statements).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Unsecured Senior Notes</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For a description of BPLP’s outstanding unsecured senior notes as of September 30, 2023, see Note 6 to the Consolidated Financial Statements.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May 15, 2023, BPLP completed a public offering of $750.0 million in aggregate principal amount of its 6.500% unsecured senior notes due 2034. The notes were priced at 99.697% of the principal amount to yield an effective rate (including financing fees) of approximately 6.619% per annum to maturity. The notes will mature on January 15, 2034, unless earlier redeemed. The aggregate net proceeds from the offering were approximately $741.3 million after deducting underwriting discounts and transaction expenses.</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September 1, 2023, BPLP completed the repayment of $500.0 million in aggregate principal amount of its 3.125% senior notes due September 1, 2023. The repayment price was approximately $507.8 million, which was equal to the stated principal plus approximately $7.8 million of accrued and unpaid interest to, but not including, the repayment date. Excluding the accrued and unpaid interest, the repayment price was equal to the principal amount being repaid.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September 30, 2023, BPLP was in compliance with each of these financial restrictions and requirements.</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Mortgage Notes Payable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represents the outstanding principal balances due under the mortgage notes payable at September 30, 2023 (See Note 14 to the Consolidated Financial Statements):</w:t>
      </w:r>
    </w:p>
    <w:tbl>
      <w:tblPr>
        <w:tblW w:w="11267" w:type="dxa"/>
        <w:jc w:val="left"/>
        <w:tblInd w:w="0" w:type="dxa"/>
        <w:tblLayout w:type="fixed"/>
        <w:tblCellMar>
          <w:top w:w="28" w:type="dxa"/>
          <w:left w:w="28" w:type="dxa"/>
          <w:bottom w:w="28" w:type="dxa"/>
          <w:right w:w="28" w:type="dxa"/>
        </w:tblCellMar>
      </w:tblPr>
      <w:tblGrid>
        <w:gridCol w:w="633"/>
        <w:gridCol w:w="253"/>
        <w:gridCol w:w="255"/>
        <w:gridCol w:w="109"/>
        <w:gridCol w:w="109"/>
        <w:gridCol w:w="109"/>
        <w:gridCol w:w="252"/>
        <w:gridCol w:w="214"/>
        <w:gridCol w:w="503"/>
        <w:gridCol w:w="109"/>
        <w:gridCol w:w="109"/>
        <w:gridCol w:w="109"/>
        <w:gridCol w:w="252"/>
        <w:gridCol w:w="214"/>
        <w:gridCol w:w="503"/>
        <w:gridCol w:w="109"/>
        <w:gridCol w:w="109"/>
        <w:gridCol w:w="109"/>
        <w:gridCol w:w="196"/>
        <w:gridCol w:w="871"/>
        <w:gridCol w:w="109"/>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09"/>
        <w:gridCol w:w="109"/>
        <w:gridCol w:w="273"/>
        <w:gridCol w:w="198"/>
        <w:gridCol w:w="280"/>
      </w:tblGrid>
      <w:tr>
        <w:trPr/>
        <w:tc>
          <w:tcPr>
            <w:tcW w:w="6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GAAP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Stated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Deferred Financing Costs,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Carrying Amount (Partners</w:t>
            </w:r>
            <w:r>
              <w:rPr>
                <w:color w:val="000000"/>
              </w:rPr>
              <w:t xml:space="preserve">’ </w:t>
            </w:r>
            <w:r>
              <w:rPr>
                <w:rFonts w:ascii="Arial;sans-serif" w:hAnsi="Arial;sans-serif"/>
                <w:b/>
                <w:color w:val="000000"/>
                <w:sz w:val="14"/>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 Date</w:t>
            </w:r>
          </w:p>
        </w:tc>
      </w:tr>
      <w:tr>
        <w:trPr/>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767 Fifth Avenue (the General Motors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9, 2027</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Lexington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9, 2032</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3,275,974 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(1)GAAP interest rate differs from the stated interest rate due to the inclusion of the amortization of financing charges and the effects of hedging transactions (if any).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mortgage loan requires interest only payments with a balloon payment due at maturity.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(3)This property is owned by a consolidated entity in which we have a 60% interest. The partners’ share of the carrying amount has been adjusted for basis differentials.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(4)In connection with the refinancing of the loan, we guaranteed the consolidated entity’s obligation to fund various reserves for tenant improvement costs and allowances, leasing commissions and free rent obligations in lieu of cash deposits. As of September 30, 2023, the maximum funding obligation under the guarantee was approximately $10.0 million. We earn a fee from the joint venture for providing the guarantee and have an agreement with our partners to reimburse the joint venture for their share of any payments made under the guarantee (See Note 8 to the Consolidated Financial Statements).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(5)This property is owned by a consolidated entity in which we have a 55%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Investment in Unconsolidated Joint Ventures - Secured Debt</w:t>
      </w:r>
    </w:p>
    <w:p>
      <w:pPr>
        <w:pStyle w:val="TextBody"/>
        <w:bidi w:val="0"/>
        <w:spacing w:lineRule="auto" w:line="288" w:before="100" w:after="283"/>
        <w:ind w:left="0" w:right="0" w:firstLine="495"/>
        <w:jc w:val="left"/>
        <w:rPr/>
      </w:pPr>
      <w:r>
        <w:rPr>
          <w:rFonts w:ascii="Arial;sans-serif" w:hAnsi="Arial;sans-serif"/>
          <w:b w:val="false"/>
          <w:color w:val="000000"/>
          <w:sz w:val="20"/>
        </w:rPr>
        <w:t>We have investments in unconsolidated joint ventures with our effective ownership interests ranging from 20% to 55%. Seventeen of these ventures have mortgage indebtedness. We exercise significant influence over, but do not control, these entities. As a result, we account for them using the equity method of accounting. See also Note 5 to the Consolidated Financial Statements. At September 30, 2023, the aggregate carrying amount of debt, including both our and our partners’ share, incurred by these ventures was approximately $4.0 billion (of which our proportionate share is approximately $1.5 billion). The table below summarizes the outstanding debt of these joint venture properties at September 30, 2023.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2661" w:type="dxa"/>
        <w:jc w:val="left"/>
        <w:tblInd w:w="0" w:type="dxa"/>
        <w:tblLayout w:type="fixed"/>
        <w:tblCellMar>
          <w:top w:w="28" w:type="dxa"/>
          <w:left w:w="28" w:type="dxa"/>
          <w:bottom w:w="28" w:type="dxa"/>
          <w:right w:w="28" w:type="dxa"/>
        </w:tblCellMar>
      </w:tblPr>
      <w:tblGrid>
        <w:gridCol w:w="561"/>
        <w:gridCol w:w="282"/>
        <w:gridCol w:w="283"/>
        <w:gridCol w:w="109"/>
        <w:gridCol w:w="109"/>
        <w:gridCol w:w="109"/>
        <w:gridCol w:w="308"/>
        <w:gridCol w:w="248"/>
        <w:gridCol w:w="585"/>
        <w:gridCol w:w="109"/>
        <w:gridCol w:w="109"/>
        <w:gridCol w:w="109"/>
        <w:gridCol w:w="314"/>
        <w:gridCol w:w="152"/>
        <w:gridCol w:w="357"/>
        <w:gridCol w:w="109"/>
        <w:gridCol w:w="109"/>
        <w:gridCol w:w="109"/>
        <w:gridCol w:w="314"/>
        <w:gridCol w:w="152"/>
        <w:gridCol w:w="357"/>
        <w:gridCol w:w="109"/>
        <w:gridCol w:w="109"/>
        <w:gridCol w:w="109"/>
        <w:gridCol w:w="196"/>
        <w:gridCol w:w="871"/>
        <w:gridCol w:w="109"/>
        <w:gridCol w:w="109"/>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28"/>
        <w:gridCol w:w="109"/>
        <w:gridCol w:w="109"/>
        <w:gridCol w:w="109"/>
        <w:gridCol w:w="109"/>
        <w:gridCol w:w="109"/>
        <w:gridCol w:w="335"/>
        <w:gridCol w:w="215"/>
        <w:gridCol w:w="306"/>
      </w:tblGrid>
      <w:tr>
        <w:trPr/>
        <w:tc>
          <w:tcPr>
            <w:tcW w:w="5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Nominal %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GAAP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Stated Principal 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Deferred Financing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Carrying Amount (Our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 Date</w:t>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2" w:type="dxa"/>
            <w:gridSpan w:val="4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(dollars in thousands)</w:t>
            </w:r>
          </w:p>
        </w:tc>
        <w:tc>
          <w:tcPr>
            <w:tcW w:w="856" w:type="dxa"/>
            <w:gridSpan w:val="3"/>
            <w:tcBorders/>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Santa Monica Business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July 19, 2025</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Square North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November 10,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1265 Main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January 1, 2032</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Colorado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August 9, 2027</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Dock 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December 18, 2025</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Hub on Causeway - Podium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September 8,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Hub50House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June 17, 2032</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 Causeway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(2)(3) (9)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September 5, 2024</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7750 Wisconsin Avenue (Marriott International 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April 26, 2024</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360 Park Avenue South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42.21 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December 14, 2024</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Safeco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33.67 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September 1, 2026</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 North Capitol Street, 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5, 2026</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200 Fifth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November 24, 2028</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901 New York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January 5,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 Hudson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February 9, 2024</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Metropolitan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April 9, 2024</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Skymark - Reston Next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13, 2026</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4,070,079 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4,048,987 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(1)GAAP interest rate differs from the stated interest rate due to the inclusion of the amortization of financing charges, which includes mortgage recording fees.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loan requires interest only payments with a balloon payment due at maturity.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(3)The loan includes certain extension options, subject to certain conditions.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(4)The loan bears interest at a variable rate equal to SOFR plus 1.38% per annum. A subsidiary of the joint venture entered into interest rate swap contracts with notional amounts aggregating $300.0 million through April 1, 2025, resulting in a fixed rate of approximately 4.059% per annum through the expiration of the interest rate swap contracts.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loan bears interest at a variable rate equal to the greater of (1) the sum of (x) SOFR and (y) 2.41% or (2) 2.80% per annum.</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(6)The loan bears interest at a variable rate equal to (1) the greater of (x) SOFR or (y) 0.25%, plus (2) 2.50% per annum.</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(7)The loan bears interest at a variable rate equal to Daily Simple SOFR plus 2.50% per annum. The joint venture entered into interest rate swap contracts with notional amounts aggregating $154.3 million through September 2, 2025, resulting in a fixed rate of approximately 7.35% per annum through the expiration of the interest rate swap contracts.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(8)The loan bears interest at a variable rate equal to SOFR plus 1.35% per annum. The joint venture entered into interest rate swap contracts with notional amounts aggregating $185.0 million through April 10, 2032, resulting in a fixed rate of approximately 4.432% per annum through the expiration of the interest rate swap contracts.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(9)The loan bears interest at a variable rate equal to SOFR plus 1.48% per annum.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(10)The loan bears interest at a variable rate equal to SOFR plus 1.35% per annum.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(11)The loan bears interest at a variable rate equal to Adjusted Term SOFR plus 2.40% per annum. The spread on the variable rate may be reduced, subject to certain conditions.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(12)The loan bears interest at a variable rate equal to the greater of (x) 2.35% or (y) SOFR plus 2.32% per annum. The joint venture entered into an interest rate cap agreement with a financial institution to limit its exposure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increases in the SOFR rate at a cap of 2.50% per annum on a notional amount of $250.0 million through September 1, 2024.</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(13)The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has been reflected as Related Party Note Receivable, Net on our Consolidated Balance Sheets.</w:t>
      </w:r>
    </w:p>
    <w:p>
      <w:pPr>
        <w:pStyle w:val="TextBody"/>
        <w:bidi w:val="0"/>
        <w:spacing w:lineRule="auto" w:line="288" w:before="0" w:after="0"/>
        <w:ind w:left="0" w:right="0" w:hanging="360"/>
        <w:jc w:val="left"/>
        <w:rPr/>
      </w:pPr>
      <w:r>
        <w:rPr>
          <w:rFonts w:ascii="Arial;sans-serif" w:hAnsi="Arial;sans-serif"/>
          <w:b w:val="false"/>
          <w:color w:val="000000"/>
          <w:sz w:val="18"/>
        </w:rPr>
        <w:t>(14)</w:t>
      </w:r>
      <w:r>
        <w:rPr>
          <w:color w:val="000000"/>
        </w:rPr>
        <w:t xml:space="preserve"> </w:t>
      </w:r>
      <w:r>
        <w:rPr>
          <w:rFonts w:ascii="Arial;sans-serif" w:hAnsi="Arial;sans-serif"/>
          <w:b w:val="false"/>
          <w:color w:val="000000"/>
          <w:sz w:val="18"/>
        </w:rPr>
        <w:t xml:space="preserve">The loan bears interest at a variable rate equal to Term SOFR plus approximately 1.41% per annum. The joint venture entered into interest rate swap contracts with notional amounts aggregating $600.0 million through June 2028, resulting in a fixed rate of approximately 4.34% per annum through the expiration of the interest rate swap contracts. In addition to items noted in footnote one above, the GAAP interest rate includes the adjustment required to reflect the loan at fair value upon acquisition.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(15)We provided $80.0 million of mortgage financing to the joint venture. The loan bears interest at a variable rate equal to Term SOFR plus 3.61% per annum. The loan has been reflected as Related Party Note Receivable, Net on our Consolidated Balance Sheets. As of September 30, 2023, the loan has approximately $25.6 million of accrued interest due at the maturity date.</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(16)The joint venture completed a two-step restructuring of the ownership in this property, which resulted in (i) an affiliate of the existing mezzanine lender purchasing the property and becoming the a new property owner and us no longer having an equity interest in the property and (ii) us becoming a co-lender of up to $20.0 million under the New Mezz Loan. Step one of the restructuring was completed on September 13, 2023, and resulted in, among other things, (i) the cessation of our obligation to fund future investments through our then 20% equity interest, which caused us to recognize a gain on investment of approximately $35.8 million related to its deficit investment balance, which was primarily due to excess distributions, and (ii) the removal of the property from our in-service portfolio. Step two of the restructuring was completed on October 2, 2023, and included (i) the sale of the property and assignment of the Senior Loan to the new owner, and (ii) the closing of a New Mezz Loan with a maximum principal amount of $100.0 million that is senior to the Existing Mezz Loan and subordinate to the Senior Loan (See Notes 5 and 14 to the Consolidated Financial Statements).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(17)The construction financing has a borrowing capacity of $140.0 million. The construction financing bears interest at a variable rate equal to SOFR plus 2.00%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firstLine="225"/>
        <w:jc w:val="left"/>
        <w:rPr/>
      </w:pPr>
      <w:r>
        <w:rPr>
          <w:rFonts w:ascii="Arial;sans-serif" w:hAnsi="Arial;sans-serif"/>
          <w:b w:val="false"/>
          <w:i/>
          <w:color w:val="000000"/>
          <w:sz w:val="20"/>
        </w:rPr>
        <w:t>State and Local Tax Matters</w:t>
      </w:r>
      <w:r>
        <w:rPr>
          <w:color w:val="000000"/>
        </w:rPr>
        <w:t> </w:t>
      </w:r>
    </w:p>
    <w:p>
      <w:pPr>
        <w:pStyle w:val="TextBody"/>
        <w:bidi w:val="0"/>
        <w:spacing w:lineRule="auto" w:line="288" w:before="100" w:after="283"/>
        <w:ind w:left="0" w:right="0" w:firstLine="495"/>
        <w:jc w:val="left"/>
        <w:rPr/>
      </w:pPr>
      <w:r>
        <w:rPr>
          <w:rFonts w:ascii="Arial;sans-serif" w:hAnsi="Arial;sans-serif"/>
          <w:b w:val="false"/>
          <w:color w:val="000000"/>
          <w:sz w:val="20"/>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r>
        <w:rPr>
          <w:color w:val="000000"/>
        </w:rPr>
        <w:t> </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Insurance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information concerning our insurance program, see Note 8 to the Consolidated Financial Statements. </w:t>
      </w:r>
    </w:p>
    <w:p>
      <w:pPr>
        <w:pStyle w:val="TextBody"/>
        <w:bidi w:val="0"/>
        <w:spacing w:lineRule="auto" w:line="288" w:before="280" w:after="283"/>
        <w:ind w:left="0" w:right="0" w:firstLine="225"/>
        <w:jc w:val="left"/>
        <w:rPr>
          <w:rFonts w:ascii="Arial;sans-serif" w:hAnsi="Arial;sans-serif"/>
          <w:b w:val="false"/>
          <w:i/>
          <w:color w:val="000000"/>
          <w:sz w:val="20"/>
        </w:rPr>
      </w:pPr>
      <w:r>
        <w:rPr>
          <w:rFonts w:ascii="Arial;sans-serif" w:hAnsi="Arial;sans-serif"/>
          <w:b w:val="false"/>
          <w:i/>
          <w:color w:val="000000"/>
          <w:sz w:val="20"/>
        </w:rPr>
        <w:t>Funds from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and net income (loss)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(loss) attributable to Boston Properties, Inc. and net income (loss) attributable to Boston Properties Limited Partnership as presented in our Consolidated Financial Statements. FFO should not be considered as a substitute for net income (loss) attributable to Boston Properties, Inc. or net income (loss) attributable to Boston Properties Limited Partnership (determined in accordance with GAAP) or any other GAAP financial measures and should only be considered together with and as a supplement to our financial information prepared in accordance with GAAP.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(loss) attributable to Boston Properties, Inc. to FFO attributable to Boston Properties, Inc. 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2323"/>
        <w:gridCol w:w="1879"/>
        <w:gridCol w:w="1891"/>
        <w:gridCol w:w="109"/>
        <w:gridCol w:w="109"/>
        <w:gridCol w:w="109"/>
        <w:gridCol w:w="217"/>
        <w:gridCol w:w="907"/>
        <w:gridCol w:w="278"/>
        <w:gridCol w:w="111"/>
        <w:gridCol w:w="111"/>
        <w:gridCol w:w="111"/>
        <w:gridCol w:w="217"/>
        <w:gridCol w:w="850"/>
        <w:gridCol w:w="278"/>
        <w:gridCol w:w="109"/>
        <w:gridCol w:w="109"/>
        <w:gridCol w:w="109"/>
        <w:gridCol w:w="109"/>
        <w:gridCol w:w="109"/>
        <w:gridCol w:w="160"/>
      </w:tblGrid>
      <w:tr>
        <w:trPr/>
        <w:tc>
          <w:tcPr>
            <w:tcW w:w="232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5" w:type="dxa"/>
            <w:gridSpan w:val="6"/>
            <w:tcBorders/>
          </w:tcPr>
          <w:p>
            <w:pPr>
              <w:pStyle w:val="TableContents"/>
              <w:bidi w:val="0"/>
              <w:spacing w:before="0" w:after="283"/>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(111,826)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360,977 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(103,543)</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420,661 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207,435 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190,675 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(17,706)</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 included within loss on investment unconsolidated joint ventures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272,603 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investment included within loss from unconsolidated joint ventures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35,756 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326,410 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333,538 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33,787 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Boston Properties,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292,822 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299,751 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Our percentage share of Funds from Operations—basic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89.71 </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89.87 </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156,880 </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156,754 </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(1)During the three months ended September 30, 2023, we recognized an other-than-temporary impairment loss on our investments in Platform 16, 360 Park Avenue South, 200 Fifth Avenue and Safeco Plaza of approximately $155.2 million, $54.0 million, $33.4 million and $29.9 million, respectively (See Note 5 to the Consolidated Financial Statements).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 (See Notes 5 and 14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presents a reconciliation of net income (loss) attributable to Boston Properties, Inc. to Diluted FFO attributable to Boston Properties, Inc. for income (numerator) and shares/units (denominator) 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2305"/>
        <w:gridCol w:w="1914"/>
        <w:gridCol w:w="1926"/>
        <w:gridCol w:w="109"/>
        <w:gridCol w:w="109"/>
        <w:gridCol w:w="109"/>
        <w:gridCol w:w="238"/>
        <w:gridCol w:w="1005"/>
        <w:gridCol w:w="122"/>
        <w:gridCol w:w="122"/>
        <w:gridCol w:w="122"/>
        <w:gridCol w:w="122"/>
        <w:gridCol w:w="238"/>
        <w:gridCol w:w="934"/>
        <w:gridCol w:w="122"/>
        <w:gridCol w:w="109"/>
        <w:gridCol w:w="109"/>
        <w:gridCol w:w="109"/>
        <w:gridCol w:w="109"/>
        <w:gridCol w:w="109"/>
        <w:gridCol w:w="163"/>
      </w:tblGrid>
      <w:tr>
        <w:trPr/>
        <w:tc>
          <w:tcPr>
            <w:tcW w:w="2305"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6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8" w:type="dxa"/>
            <w:gridSpan w:val="6"/>
            <w:tcBorders/>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 included within loss on investment unconsolidated joint ventures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investment included within loss from unconsolidated joint ventures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36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333,538 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360"/>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FFO attributable to Boston Properties, Inc.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292,888 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299,851 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(1)During the three months ended September 30, 2023, we recognized an other-than-temporary impairment loss on our investments in Platform 16, 360 Park Avenue South, 200 Fifth Avenue and Safeco Plaza of approximately $155.2 million, $54.0 million, $33.4 million and $29.9 million, respectively (See Note 5 to the Consolidated Financial Statements).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 (See Notes 5 and 14 of the Consolidated Financial Statements).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(3)BXP’s share of diluted Funds from Operations was 89.73% and 89.90% for the three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2087"/>
        <w:gridCol w:w="1715"/>
        <w:gridCol w:w="1719"/>
        <w:gridCol w:w="109"/>
        <w:gridCol w:w="109"/>
        <w:gridCol w:w="109"/>
        <w:gridCol w:w="592"/>
        <w:gridCol w:w="296"/>
        <w:gridCol w:w="242"/>
        <w:gridCol w:w="242"/>
        <w:gridCol w:w="242"/>
        <w:gridCol w:w="242"/>
        <w:gridCol w:w="588"/>
        <w:gridCol w:w="297"/>
        <w:gridCol w:w="257"/>
        <w:gridCol w:w="109"/>
        <w:gridCol w:w="109"/>
        <w:gridCol w:w="109"/>
        <w:gridCol w:w="109"/>
        <w:gridCol w:w="109"/>
        <w:gridCol w:w="109"/>
        <w:gridCol w:w="109"/>
        <w:gridCol w:w="109"/>
        <w:gridCol w:w="109"/>
        <w:gridCol w:w="109"/>
        <w:gridCol w:w="109"/>
        <w:gridCol w:w="160"/>
      </w:tblGrid>
      <w:tr>
        <w:trPr/>
        <w:tc>
          <w:tcPr>
            <w:tcW w:w="2087"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10"/>
            <w:tcBorders/>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5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10"/>
            <w:tcBorders/>
          </w:tcPr>
          <w:p>
            <w:pPr>
              <w:pStyle w:val="TableContents"/>
              <w:bidi w:val="0"/>
              <w:spacing w:before="0" w:after="283"/>
              <w:jc w:val="left"/>
              <w:rPr>
                <w:sz w:val="4"/>
                <w:szCs w:val="4"/>
              </w:rPr>
            </w:pPr>
            <w:r>
              <w:rPr>
                <w:sz w:val="4"/>
                <w:szCs w:val="4"/>
              </w:rPr>
            </w:r>
          </w:p>
        </w:tc>
      </w:tr>
      <w:tr>
        <w:trPr/>
        <w:tc>
          <w:tcPr>
            <w:tcW w:w="5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174,882 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175,271 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174,795 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Funds from Operations attributable to Boston Properties, Inc.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157,269 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157,133 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(1)BXP’s share of diluted Funds from Operations was 89.73% and 89.90% for the three months ended September 30,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(loss) attributable to Boston Properties Limited Partnership to FFO attributable to Boston Properties Limited Partnership 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1834"/>
        <w:gridCol w:w="1404"/>
        <w:gridCol w:w="1413"/>
        <w:gridCol w:w="109"/>
        <w:gridCol w:w="109"/>
        <w:gridCol w:w="109"/>
        <w:gridCol w:w="109"/>
        <w:gridCol w:w="109"/>
        <w:gridCol w:w="728"/>
        <w:gridCol w:w="728"/>
        <w:gridCol w:w="729"/>
        <w:gridCol w:w="109"/>
        <w:gridCol w:w="211"/>
        <w:gridCol w:w="873"/>
        <w:gridCol w:w="109"/>
        <w:gridCol w:w="109"/>
        <w:gridCol w:w="109"/>
        <w:gridCol w:w="109"/>
        <w:gridCol w:w="211"/>
        <w:gridCol w:w="826"/>
        <w:gridCol w:w="158"/>
      </w:tblGrid>
      <w:tr>
        <w:trPr/>
        <w:tc>
          <w:tcPr>
            <w:tcW w:w="183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2824" w:type="dxa"/>
            <w:gridSpan w:val="10"/>
            <w:tcBorders/>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188,969 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 included within loss on investment unconsolidated joint ventures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investment included within loss from unconsolidated joint ventures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Boston Properties Limited Partnership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174,882 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174,416 </w:t>
            </w:r>
          </w:p>
        </w:tc>
        <w:tc>
          <w:tcPr>
            <w:tcW w:w="158"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(1)During the three months ended September 30, 2023, we recognized an other-than-temporary impairment loss on our investments in Platform 16, 360 Park Avenue South, 200 Fifth Avenue and Safeco Plaza of approximately $155.2 million, $54.0 million, $33.4 million and $29.9 million, respectively (See Note 5 to the Consolidated Financial Statements).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 (See Notes 5 and 14 of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(3)Our calculation includes OP Units and vested LTIP Units (including vested 2012 OPP Units and vested 2013 - 2020 MYLTIP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presents a reconciliation of net income (loss) attributable to Boston Properties Limited Partnership to Diluted FFO attributable to Boston Properties Limited Partnership for income (numerator) and shares/units (denominator) 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1834"/>
        <w:gridCol w:w="1404"/>
        <w:gridCol w:w="1413"/>
        <w:gridCol w:w="109"/>
        <w:gridCol w:w="109"/>
        <w:gridCol w:w="109"/>
        <w:gridCol w:w="109"/>
        <w:gridCol w:w="109"/>
        <w:gridCol w:w="728"/>
        <w:gridCol w:w="728"/>
        <w:gridCol w:w="729"/>
        <w:gridCol w:w="109"/>
        <w:gridCol w:w="211"/>
        <w:gridCol w:w="873"/>
        <w:gridCol w:w="109"/>
        <w:gridCol w:w="109"/>
        <w:gridCol w:w="109"/>
        <w:gridCol w:w="109"/>
        <w:gridCol w:w="211"/>
        <w:gridCol w:w="826"/>
        <w:gridCol w:w="158"/>
      </w:tblGrid>
      <w:tr>
        <w:trPr/>
        <w:tc>
          <w:tcPr>
            <w:tcW w:w="183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2824" w:type="dxa"/>
            <w:gridSpan w:val="10"/>
            <w:tcBorders/>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188,969 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 included within loss on investment unconsolidated joint ventures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investment included within loss from unconsolidated joint ventures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Boston Properties Limited Partnership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333,538 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(1)During the three months ended September 30, 2023, we recognized an other-than-temporary impairment loss on our investments in Platform 16, 360 Park Avenue South, 200 Fifth Avenue and Safeco Plaza of approximately $155.2 million, $54.0 million, $33.4 million and $29.9 million, respectively (See Note 5 to the Consolidated Financial Statements).</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(2)</w:t>
      </w:r>
      <w:r>
        <w:rPr>
          <w:rFonts w:ascii="Arial;sans-serif" w:hAnsi="Arial;sans-serif"/>
          <w:b w:val="false"/>
          <w:color w:val="000000"/>
          <w:sz w:val="18"/>
        </w:rPr>
        <w:t>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 (See Notes 5 and 14 of the Consolidated Financial Statements).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(3)Our calculation includes OP Units and vested LTIP Units (including vested 2012 OPP Units and vested 2013 - 2020 MYLTIP Units).</w:t>
      </w:r>
    </w:p>
    <w:tbl>
      <w:tblPr>
        <w:tblW w:w="7964" w:type="dxa"/>
        <w:jc w:val="left"/>
        <w:tblInd w:w="0" w:type="dxa"/>
        <w:tblLayout w:type="fixed"/>
        <w:tblCellMar>
          <w:top w:w="28" w:type="dxa"/>
          <w:left w:w="28" w:type="dxa"/>
          <w:bottom w:w="28" w:type="dxa"/>
          <w:right w:w="28" w:type="dxa"/>
        </w:tblCellMar>
      </w:tblPr>
      <w:tblGrid>
        <w:gridCol w:w="962"/>
        <w:gridCol w:w="845"/>
        <w:gridCol w:w="847"/>
        <w:gridCol w:w="109"/>
        <w:gridCol w:w="109"/>
        <w:gridCol w:w="109"/>
        <w:gridCol w:w="592"/>
        <w:gridCol w:w="347"/>
        <w:gridCol w:w="347"/>
        <w:gridCol w:w="347"/>
        <w:gridCol w:w="347"/>
        <w:gridCol w:w="347"/>
        <w:gridCol w:w="588"/>
        <w:gridCol w:w="347"/>
        <w:gridCol w:w="368"/>
        <w:gridCol w:w="109"/>
        <w:gridCol w:w="109"/>
        <w:gridCol w:w="109"/>
        <w:gridCol w:w="109"/>
        <w:gridCol w:w="109"/>
        <w:gridCol w:w="109"/>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174,882 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175,271 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174,795 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Material Cash Commitments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2023, we paid approximately $127.3 million to fund tenant-related obligations, including tenant improvements and leasing commissions. </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In addition, during the three months ended September 30, 2023, we and our unconsolidated joint venture partners incurred approximately $36.9 million of new tenant-related obligations associated with approximately 996,700 square feet of second generation leases, or approximately $37 per square foot. We signed approximately 59,100 square feet of first generation leases. The tenant-related obligations for the development properties are included within the projects’ “Estimated Total Investment” referred to in </w:t>
      </w:r>
      <w:r>
        <w:rPr>
          <w:color w:val="000000"/>
        </w:rPr>
        <w:t>“</w:t>
      </w:r>
      <w:r>
        <w:rPr>
          <w:rFonts w:ascii="Arial;sans-serif" w:hAnsi="Arial;sans-serif"/>
          <w:b w:val="false"/>
          <w:i/>
          <w:color w:val="000000"/>
          <w:sz w:val="20"/>
        </w:rPr>
        <w:t xml:space="preserve">Item 2—Management’s Discussion and Analysis of Financial Condition and Results of Operations—Liquidity and Capital Resources.” </w:t>
      </w:r>
      <w:r>
        <w:rPr>
          <w:rFonts w:ascii="Arial;sans-serif" w:hAnsi="Arial;sans-serif"/>
          <w:b w:val="false"/>
          <w:color w:val="000000"/>
          <w:sz w:val="20"/>
        </w:rPr>
        <w:t>In aggregate during the third quarter of 2023, we signed leases for approximately 1.1 million square feet of space and incurred aggregate tenant-related obligations of approximately $59.9 million, or approximately $57 per square foot.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pPr>
      <w:r>
        <w:rPr>
          <w:rFonts w:ascii="Arial;sans-serif" w:hAnsi="Arial;sans-serif"/>
          <w:b/>
          <w:color w:val="000000"/>
          <w:sz w:val="20"/>
        </w:rPr>
        <w:t>ITEM 3—</w:t>
      </w:r>
      <w:r>
        <w:rPr>
          <w:rFonts w:ascii="Arial;sans-serif" w:hAnsi="Arial;sans-serif"/>
          <w:b/>
          <w:i/>
          <w:color w:val="000000"/>
          <w:sz w:val="20"/>
        </w:rPr>
        <w:t>Quantitative and Qualitative Disclosures about Market Risk.</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are exposed to certain market risks, one of the most predominant of which is a change in interest rates. Increases in interest rates can result in increased interest expense under our Revolving Facility, 2023 Unsecured Term Loan and other variable rate debt to the extent we do not have interest rate swaps in place to hedge the effect of such rate increases. Increases in interest rates can also result in increased interest expense when our fixed rate debt matures and needs to be refinanced. As of September 30, 2023, approximately $13.8 billion of these borrowings bore interest at fixed rates and therefore the fair value of these instruments is affected by changes in the market interest rates. The remaining $1.2 billion of outstanding borrowings bore interest at a variable rate. However, we entered into interest rate swaps, thus fixing the variability of the interest rate (See Note 7 to the Consolidated Financial Statements for information pertaining to interest rate contracts in place as of September 30, 2023 and their respective fair values). Therefore, as of September 30, 2023, we have no outstanding variable rate debt that has not been subject to an interest rate swap. </w:t>
      </w:r>
    </w:p>
    <w:p>
      <w:pPr>
        <w:pStyle w:val="TextBody"/>
        <w:bidi w:val="0"/>
        <w:spacing w:lineRule="auto" w:line="288" w:before="180" w:after="283"/>
        <w:ind w:left="0" w:right="0" w:firstLine="495"/>
        <w:jc w:val="left"/>
        <w:rPr/>
      </w:pPr>
      <w:r>
        <w:rPr>
          <w:rFonts w:ascii="Arial;sans-serif" w:hAnsi="Arial;sans-serif"/>
          <w:b w:val="false"/>
          <w:color w:val="000000"/>
          <w:sz w:val="20"/>
        </w:rPr>
        <w:t>The table below does not include our unconsolidated joint venture debt. For a discussion concerning our unconsolidated joint venture debt, including interest rate swaps, see Note 5 to the Consolidated Financial Statements and “</w:t>
      </w:r>
      <w:r>
        <w:rPr>
          <w:rFonts w:ascii="Arial;sans-serif" w:hAnsi="Arial;sans-serif"/>
          <w:b w:val="false"/>
          <w:i/>
          <w:color w:val="000000"/>
          <w:sz w:val="20"/>
        </w:rPr>
        <w:t>Item 2</w:t>
      </w:r>
      <w:r>
        <w:rPr>
          <w:color w:val="000000"/>
        </w:rPr>
        <w:t>—</w:t>
      </w:r>
      <w:r>
        <w:rPr>
          <w:rFonts w:ascii="Arial;sans-serif" w:hAnsi="Arial;sans-serif"/>
          <w:b w:val="false"/>
          <w:i/>
          <w:color w:val="000000"/>
          <w:sz w:val="20"/>
        </w:rPr>
        <w:t>Management’s Discussion and Analysis of Financial Condition and Results of Operations</w:t>
      </w:r>
      <w:r>
        <w:rPr>
          <w:color w:val="000000"/>
        </w:rPr>
        <w:t>—</w:t>
      </w:r>
      <w:r>
        <w:rPr>
          <w:rFonts w:ascii="Arial;sans-serif" w:hAnsi="Arial;sans-serif"/>
          <w:b w:val="false"/>
          <w:i/>
          <w:color w:val="000000"/>
          <w:sz w:val="20"/>
        </w:rPr>
        <w:t>Liquidity and Capital Resources—Investment in Unconsolidated Joint Ventures - Secured Debt.</w:t>
      </w:r>
      <w:r>
        <w:rPr>
          <w:color w:val="000000"/>
        </w:rPr>
        <w: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presents our aggregate debt obligations carrying value, estimated fair value and where applicable, the corresponding weighted-average GAAP interest rates sorted by maturity date as of September 30, 2023. </w:t>
      </w:r>
    </w:p>
    <w:tbl>
      <w:tblPr>
        <w:tblW w:w="13222" w:type="dxa"/>
        <w:jc w:val="left"/>
        <w:tblInd w:w="0" w:type="dxa"/>
        <w:tblLayout w:type="fixed"/>
        <w:tblCellMar>
          <w:top w:w="28" w:type="dxa"/>
          <w:left w:w="28" w:type="dxa"/>
          <w:bottom w:w="28" w:type="dxa"/>
          <w:right w:w="28" w:type="dxa"/>
        </w:tblCellMar>
      </w:tblPr>
      <w:tblGrid>
        <w:gridCol w:w="370"/>
        <w:gridCol w:w="167"/>
        <w:gridCol w:w="169"/>
        <w:gridCol w:w="196"/>
        <w:gridCol w:w="571"/>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961"/>
        <w:gridCol w:w="256"/>
        <w:gridCol w:w="109"/>
        <w:gridCol w:w="109"/>
        <w:gridCol w:w="109"/>
        <w:gridCol w:w="196"/>
        <w:gridCol w:w="961"/>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br/>
              <w:t>Mortgage debt, net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2,297,138 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994,576 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3,275,974 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2,658,844 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6"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Unsecured debt, net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699,733 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848,409 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1,992,508 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744,555 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6,203,363 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10,488,568 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9,163,931 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1,892,063 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843,566 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1,987,665 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3,041,693 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7,197,939 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14,961,715 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13,017,782 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495"/>
        <w:jc w:val="left"/>
        <w:rPr>
          <w:rFonts w:ascii="Arial;sans-serif" w:hAnsi="Arial;sans-serif"/>
          <w:b w:val="false"/>
          <w:color w:val="000000"/>
          <w:sz w:val="20"/>
        </w:rPr>
      </w:pPr>
      <w:r>
        <w:rPr>
          <w:rFonts w:ascii="Arial;sans-serif" w:hAnsi="Arial;sans-serif"/>
          <w:b w:val="false"/>
          <w:color w:val="000000"/>
          <w:sz w:val="20"/>
        </w:rPr>
        <w:t>At September 30, 2023, the weighted-average coupon/stated rates on the fixed rate debt stated above was 3.84% per annum. At September 30, 2023, our outstanding variable rate debt totaled $1.2 billion and all of it was subject to interest rate swaps. At September 30, 2023, the coupon/stated rate on our variable rate debt, including the effect of the interest rate swaps, was approximately 5.592% per annum. If market interest rates on our variable rate debt had been 100 basis points greater, total interest expense would have increased approximately $3.0 million and $9.0 million for the three and nine months ended September 30, 2023, respectively.</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our obligations and we minimize our exposure by limiting counterparties to major banks who meet established credit and capital guidelines. There can be no assurance that we will adequately protect against the foregoing risks.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4—Controls and Procedures.</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Boston Properties, Inc.</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Boston Properties, Inc.’s internal control over financial reporting (as defined in Rule 13a-15(f) under the Securities Exchange Act of 1934, as amended) occurred during the third quarter of our fiscal year ending December 31, 2023 that has materially affected, or is reasonably likely to materially affect, Boston Properties, Inc.’s internal control over financial reporting. </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Boston Properties Limited Partnership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its internal control over financial reporting (as defined in Rule 13a-15(f) under the Securities Exchange Act of 1934, as amended) occurred during the third quarter of our fiscal year ending December 31, 2023 that has materially affected, or is reasonably likely to materially affect, its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1—Legal Proceedings.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1A—Risk Factors.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Except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2—Unregistered Sales of Equity Securities, Use of Proceeds, and Issuer Purchases of Equity Securities</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Boston Properties, Inc.</w:t>
      </w:r>
    </w:p>
    <w:p>
      <w:pPr>
        <w:pStyle w:val="TextBody"/>
        <w:bidi w:val="0"/>
        <w:spacing w:lineRule="auto" w:line="276" w:before="100" w:after="283"/>
        <w:ind w:left="0" w:right="0" w:hanging="540"/>
        <w:jc w:val="left"/>
        <w:rPr>
          <w:rFonts w:ascii="Arial;sans-serif" w:hAnsi="Arial;sans-serif"/>
          <w:b w:val="false"/>
          <w:color w:val="000000"/>
          <w:sz w:val="20"/>
        </w:rPr>
      </w:pPr>
      <w:r>
        <w:rPr>
          <w:rFonts w:ascii="Arial;sans-serif" w:hAnsi="Arial;sans-serif"/>
          <w:b w:val="false"/>
          <w:color w:val="000000"/>
          <w:sz w:val="20"/>
        </w:rPr>
        <w:t>(a)During the three months ended September 30, 2023, BXP issued an aggregate of 79,076 shares of common stock in exchange for 79,076 common units of limited partnership held by certain limited partners of BPLP. Of these shares, 6,836 shares were issued in reliance on an exemption from registration under Section 4(a)(2) of the Securities Act of 1933, as amended. We relied on the exemption under Section 4(a)(2) based upon factual representations received from the limited partner who received the common shares.</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1020"/>
        <w:gridCol w:w="487"/>
        <w:gridCol w:w="494"/>
        <w:gridCol w:w="497"/>
        <w:gridCol w:w="484"/>
        <w:gridCol w:w="485"/>
        <w:gridCol w:w="109"/>
        <w:gridCol w:w="109"/>
        <w:gridCol w:w="109"/>
        <w:gridCol w:w="307"/>
        <w:gridCol w:w="941"/>
        <w:gridCol w:w="158"/>
        <w:gridCol w:w="733"/>
        <w:gridCol w:w="733"/>
        <w:gridCol w:w="735"/>
        <w:gridCol w:w="819"/>
        <w:gridCol w:w="819"/>
        <w:gridCol w:w="1166"/>
      </w:tblGrid>
      <w:tr>
        <w:trPr/>
        <w:tc>
          <w:tcPr>
            <w:tcW w:w="10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Period</w:t>
            </w:r>
          </w:p>
        </w:tc>
        <w:tc>
          <w:tcPr>
            <w:tcW w:w="146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(a)</w:t>
              <w:br/>
              <w:t>Total Number of Shares of Common Stock</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(b)</w:t>
              <w:br/>
              <w:t>Average Price Paid per Common Share</w:t>
            </w:r>
          </w:p>
        </w:tc>
        <w:tc>
          <w:tcPr>
            <w:tcW w:w="2201"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(c)</w:t>
              <w:br/>
              <w:t>Total Number of Shares Purchased as Part of Publicly Announced Plans or Programs</w:t>
            </w:r>
          </w:p>
        </w:tc>
        <w:tc>
          <w:tcPr>
            <w:tcW w:w="280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(d)</w:t>
              <w:br/>
              <w:t>Maximum Number (or Approximate Dollar Value) of Shares that May Yet be Purchased under the Plans or Programs</w:t>
            </w:r>
          </w:p>
        </w:tc>
      </w:tr>
      <w:tr>
        <w:trPr/>
        <w:tc>
          <w:tcPr>
            <w:tcW w:w="2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July 1, 2023 – July 31, 2023</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00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August 1, 2023 – August 31, 2023</w:t>
            </w:r>
          </w:p>
        </w:tc>
        <w:tc>
          <w:tcPr>
            <w:tcW w:w="981" w:type="dxa"/>
            <w:gridSpan w:val="2"/>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04"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September 1, 2023 – September 30, 2023</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307"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53.80 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53.80 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(1)Includes 561 shares of restricted common stock of BXP repurchased in connection with the termination of certain employees’ employment with BXP. Under the terms of the applicable restricted stock award agreements, the shares were repurchased by BXP at a price of $0.01 per share, which was the amount originally paid by such employees for such shares. Also Includes 2,485 shares of common stock of BXP surrendered by a certain employee to BXP to satisfy such employee’s tax withholding obligations in connection with the vesting of restricted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400" w:after="283"/>
        <w:jc w:val="left"/>
        <w:rPr>
          <w:rFonts w:ascii="Arial;sans-serif" w:hAnsi="Arial;sans-serif"/>
          <w:b/>
          <w:i/>
          <w:color w:val="000000"/>
          <w:sz w:val="20"/>
        </w:rPr>
      </w:pPr>
      <w:r>
        <w:rPr>
          <w:rFonts w:ascii="Arial;sans-serif" w:hAnsi="Arial;sans-serif"/>
          <w:b/>
          <w:i/>
          <w:color w:val="000000"/>
          <w:sz w:val="20"/>
        </w:rPr>
        <w:t>Boston Properties Limited Partnership</w:t>
      </w:r>
    </w:p>
    <w:p>
      <w:pPr>
        <w:pStyle w:val="TextBody"/>
        <w:bidi w:val="0"/>
        <w:spacing w:lineRule="auto" w:line="288" w:before="140" w:after="283"/>
        <w:ind w:left="0" w:right="0" w:hanging="540"/>
        <w:jc w:val="left"/>
        <w:rPr/>
      </w:pPr>
      <w:r>
        <w:rPr>
          <w:rFonts w:ascii="Arial;sans-serif" w:hAnsi="Arial;sans-serif"/>
          <w:b w:val="false"/>
          <w:color w:val="000000"/>
          <w:sz w:val="20"/>
          <w:shd w:fill="FFFFFF" w:val="clear"/>
        </w:rPr>
        <w:t>(a)</w:t>
      </w:r>
      <w:r>
        <w:rPr>
          <w:rFonts w:ascii="Arial;sans-serif" w:hAnsi="Arial;sans-serif"/>
          <w:b w:val="false"/>
          <w:color w:val="000000"/>
          <w:sz w:val="20"/>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September 30, 2023, in connection with issuances of common stock by BXP pursuant to purchases under the Boston Properties, Inc. 1999 Employee Stock Purchase Plan, BPLP issued an aggregate of 9,750 common units to BXP in exchange for approximately $0.46 million, the aggregate proceeds of such common stock issuances to BXP. Such units were issued in reliance on an exemption from registration under Section 4(a)(2) of the Securities Act of 1933, as amended.</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1028"/>
        <w:gridCol w:w="504"/>
        <w:gridCol w:w="511"/>
        <w:gridCol w:w="459"/>
        <w:gridCol w:w="447"/>
        <w:gridCol w:w="448"/>
        <w:gridCol w:w="109"/>
        <w:gridCol w:w="109"/>
        <w:gridCol w:w="109"/>
        <w:gridCol w:w="275"/>
        <w:gridCol w:w="842"/>
        <w:gridCol w:w="142"/>
        <w:gridCol w:w="761"/>
        <w:gridCol w:w="761"/>
        <w:gridCol w:w="763"/>
        <w:gridCol w:w="857"/>
        <w:gridCol w:w="857"/>
        <w:gridCol w:w="1223"/>
      </w:tblGrid>
      <w:tr>
        <w:trPr/>
        <w:tc>
          <w:tcPr>
            <w:tcW w:w="10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 </w:t>
              <w:br/>
              <w:t>Total Number of Units Purchased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 </w:t>
              <w:br/>
              <w:t xml:space="preserve">Average Price Paid per Unit </w:t>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 </w:t>
              <w:br/>
              <w:t>Total Number of Units Purchased as Part of Publicly Announced Plans or Programs</w:t>
            </w:r>
          </w:p>
        </w:tc>
        <w:tc>
          <w:tcPr>
            <w:tcW w:w="2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 </w:t>
              <w:br/>
              <w:t>Maximum Number (or Approximate Dollar Value) of Units that May Yet be Purchased Under the Plans or Programs</w:t>
            </w:r>
          </w:p>
        </w:tc>
      </w:tr>
      <w:tr>
        <w:trPr/>
        <w:tc>
          <w:tcPr>
            <w:tcW w:w="2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July 1, 2023 – July 31, 2023</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04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August 1, 2023 – August 31, 2023</w:t>
            </w:r>
          </w:p>
        </w:tc>
        <w:tc>
          <w:tcPr>
            <w:tcW w:w="906" w:type="dxa"/>
            <w:gridSpan w:val="2"/>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37"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September 1, 2023 – September 30, 2023</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3,681 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275"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44.56 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3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3,681 </w:t>
            </w:r>
          </w:p>
        </w:tc>
        <w:tc>
          <w:tcPr>
            <w:tcW w:w="4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44.56 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(1)Includes 561 common units previously held by BXP that were redeemed in connection with the repurchase of shares of restricted common stock of BXP in connection with the termination of certain employees’ employment with BXP and 635 LTIP units that were repurchased by BPLP in connection with the termination of a certain employee’s employment with BXP. Under the terms of the applicable restricted stock award agreements and LTIP unit vesting agreement, such shares were repurchased at a price of $0.01 per share and such LTIP units were repurchased at a price of $0.25 per unit, which were the amounts originally paid by such employees for such shares and units. Also includes 2,485 common units previously held by BXP that were redeemed in connection with the surrender of shares of common stock of BXP by a certain employee to BXP to satisfy such employee’s tax withholding obligations in connection with the vesting of restricted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3—Defaults Upon Senior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4—Mine Safety Disclosures.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5—Other Information.</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 xml:space="preserve">(a)On November 4, 2023, the Company entered into an Amended and Restated Employment Agreement with Owen D. Thomas (the “Agreement”) pursuant to which Mr. Thomas will continue to serve as the Company’s Chief Executive Officer (“CEO”) through December 31, 2026. The term of Mr. Thomas’ previous Employment Agreement, dated April 2, 2018, ended June 30, 2023. The Agreement does not change Mr. Thomas’ base salary, target cash bonus or target total compensation for 2023.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is a summary of the material terms of the Agreement:</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Term and Duties</w:t>
      </w:r>
    </w:p>
    <w:p>
      <w:pPr>
        <w:pStyle w:val="TextBody"/>
        <w:bidi w:val="0"/>
        <w:spacing w:lineRule="auto" w:line="288" w:before="180" w:after="283"/>
        <w:ind w:left="0" w:right="0" w:hanging="538"/>
        <w:jc w:val="left"/>
        <w:rPr>
          <w:rFonts w:ascii="Arial;sans-serif" w:hAnsi="Arial;sans-serif"/>
          <w:b w:val="false"/>
          <w:color w:val="000000"/>
          <w:sz w:val="20"/>
        </w:rPr>
      </w:pPr>
      <w:r>
        <w:rPr>
          <w:rFonts w:ascii="Arial;sans-serif" w:hAnsi="Arial;sans-serif"/>
          <w:b w:val="false"/>
          <w:color w:val="000000"/>
          <w:sz w:val="20"/>
        </w:rPr>
        <w:t>(i)July 1, 2023 through December 31, 2026. There is no automatic renewal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hanging="582"/>
        <w:jc w:val="left"/>
        <w:rPr>
          <w:rFonts w:ascii="Arial;sans-serif" w:hAnsi="Arial;sans-serif"/>
          <w:b w:val="false"/>
          <w:color w:val="000000"/>
          <w:sz w:val="20"/>
        </w:rPr>
      </w:pPr>
      <w:r>
        <w:rPr>
          <w:rFonts w:ascii="Arial;sans-serif" w:hAnsi="Arial;sans-serif"/>
          <w:b w:val="false"/>
          <w:color w:val="000000"/>
          <w:sz w:val="20"/>
        </w:rPr>
        <w:t>(ii)As CEO, Mr. Thomas reports directly to the Board of Directors (the “Board”), and he must devote substantially all of his working time and efforts to the performance of his duties.</w:t>
      </w:r>
    </w:p>
    <w:p>
      <w:pPr>
        <w:pStyle w:val="TextBody"/>
        <w:bidi w:val="0"/>
        <w:spacing w:lineRule="auto" w:line="288" w:before="180" w:after="283"/>
        <w:ind w:left="0" w:right="0" w:hanging="626"/>
        <w:jc w:val="left"/>
        <w:rPr>
          <w:rFonts w:ascii="Arial;sans-serif" w:hAnsi="Arial;sans-serif"/>
          <w:b w:val="false"/>
          <w:color w:val="000000"/>
          <w:sz w:val="20"/>
        </w:rPr>
      </w:pPr>
      <w:r>
        <w:rPr>
          <w:rFonts w:ascii="Arial;sans-serif" w:hAnsi="Arial;sans-serif"/>
          <w:b w:val="false"/>
          <w:color w:val="000000"/>
          <w:sz w:val="20"/>
        </w:rPr>
        <w:t>(iii)The Board agreed to nominate Mr. Thomas for re-election to the Board for so long as he remains CEO, and Mr. Thomas has agreed to resign from the Board upon termination of employment.</w:t>
      </w:r>
    </w:p>
    <w:p>
      <w:pPr>
        <w:pStyle w:val="TextBody"/>
        <w:bidi w:val="0"/>
        <w:spacing w:lineRule="auto" w:line="288" w:before="180" w:after="283"/>
        <w:ind w:left="0" w:right="0" w:hanging="638"/>
        <w:jc w:val="left"/>
        <w:rPr>
          <w:rFonts w:ascii="Arial;sans-serif" w:hAnsi="Arial;sans-serif"/>
          <w:b w:val="false"/>
          <w:color w:val="000000"/>
          <w:sz w:val="20"/>
        </w:rPr>
      </w:pPr>
      <w:r>
        <w:rPr>
          <w:rFonts w:ascii="Arial;sans-serif" w:hAnsi="Arial;sans-serif"/>
          <w:b w:val="false"/>
          <w:color w:val="000000"/>
          <w:sz w:val="20"/>
        </w:rPr>
        <w:t>(iv)Mr. Thomas may participate as an officer or director of, or advisor to, any organization that is not engaged in commercial real estate activities (e.g., Nareit) and engage in religious, charitable or other community activities, provided that they do not materially restrict his ability to fulfill his obligations to the Company as CEO. Mr. Thomas may also continue serving on the Board of Lehman Brothers Holdings Inc. and may engage in “Minority Interest Passive Investments,” which are defined as acquiring, holding and exercising the voting rights associated with an investment made through (1) a non-controlling, minority interest in an entity or (2) the lending of money, in either case with the purpose or intent of obtaining a return on such investment but without management of the property or business to which the investment directly or indirectly relates and without any business or strategic consultation by Mr. Thomas.</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Compensation and Benefits</w:t>
      </w:r>
    </w:p>
    <w:p>
      <w:pPr>
        <w:pStyle w:val="TextBody"/>
        <w:bidi w:val="0"/>
        <w:spacing w:lineRule="auto" w:line="288" w:before="180" w:after="283"/>
        <w:ind w:left="0" w:right="0" w:hanging="538"/>
        <w:jc w:val="left"/>
        <w:rPr>
          <w:rFonts w:ascii="Arial;sans-serif" w:hAnsi="Arial;sans-serif"/>
          <w:b w:val="false"/>
          <w:color w:val="000000"/>
          <w:sz w:val="20"/>
        </w:rPr>
      </w:pPr>
      <w:r>
        <w:rPr>
          <w:rFonts w:ascii="Arial;sans-serif" w:hAnsi="Arial;sans-serif"/>
          <w:b w:val="false"/>
          <w:color w:val="000000"/>
          <w:sz w:val="20"/>
        </w:rPr>
        <w:t xml:space="preserve">(i)Annual base salary of $950,000, subject to annual review and may be increased but not decreased in the discretion of the Compensation Committee of the Board (the “Compensation Committee”). </w:t>
      </w:r>
    </w:p>
    <w:p>
      <w:pPr>
        <w:pStyle w:val="TextBody"/>
        <w:bidi w:val="0"/>
        <w:spacing w:lineRule="auto" w:line="288" w:before="180" w:after="283"/>
        <w:ind w:left="0" w:right="0" w:hanging="582"/>
        <w:jc w:val="left"/>
        <w:rPr>
          <w:rFonts w:ascii="Arial;sans-serif" w:hAnsi="Arial;sans-serif"/>
          <w:b w:val="false"/>
          <w:color w:val="000000"/>
          <w:sz w:val="20"/>
        </w:rPr>
      </w:pPr>
      <w:r>
        <w:rPr>
          <w:rFonts w:ascii="Arial;sans-serif" w:hAnsi="Arial;sans-serif"/>
          <w:b w:val="false"/>
          <w:color w:val="000000"/>
          <w:sz w:val="20"/>
        </w:rPr>
        <w:t>(ii)For each calendar year during the term, Mr. Thomas shall have the opportunity to earn an annual bonus based on the achievement of Company and individual performance goals and other criteria, as determined by the Compensation Committee. Mr. Thomas’ target annual bonus shall be $2,350,000, and such target may be increased but not decreased. The actual earned bonus may range from 0 to 150% of the target based on the Compensation Committee’s evaluation of the achievement of Company and individual performance goals and other criteria. The earned annual bonus for any calendar year shall be paid in cash no later than March 15 of the following calendar year. For the avoidance of doubt, if the term of the agreement ends on December 31, 2026, Mr. Thomas shall be entitled to receive his bonus for 2026, without any pro ration, notwithstanding that Mr. Thomas may no longer be employed by the Company on the date on which such bonuses for 2026 are paid in 2027.</w:t>
      </w:r>
    </w:p>
    <w:p>
      <w:pPr>
        <w:pStyle w:val="TextBody"/>
        <w:bidi w:val="0"/>
        <w:spacing w:lineRule="auto" w:line="288" w:before="180" w:after="283"/>
        <w:ind w:left="0" w:right="0" w:hanging="626"/>
        <w:jc w:val="left"/>
        <w:rPr>
          <w:rFonts w:ascii="Arial;sans-serif" w:hAnsi="Arial;sans-serif"/>
          <w:b w:val="false"/>
          <w:color w:val="000000"/>
          <w:sz w:val="20"/>
        </w:rPr>
      </w:pPr>
      <w:r>
        <w:rPr>
          <w:rFonts w:ascii="Arial;sans-serif" w:hAnsi="Arial;sans-serif"/>
          <w:b w:val="false"/>
          <w:color w:val="000000"/>
          <w:sz w:val="20"/>
        </w:rPr>
        <w:t xml:space="preserve">(iii)For each calendar year during the term, Mr. Thomas will be eligible to participate in the Company’s long-term incentive program, with the target amount of equity granted to be determined at the discretion of the Compensation Committee based on Company and individual performance and competitive peer group information. Equity awards may be provided in the form of stock options, restricted stock, restricted stock units and/or long-term incentive units of partnership interest in BPLP and may be subject to time-based or performance-based vesting, or both, as determined in the discretion of the Compensation Committee. </w:t>
      </w:r>
    </w:p>
    <w:p>
      <w:pPr>
        <w:pStyle w:val="TextBody"/>
        <w:bidi w:val="0"/>
        <w:spacing w:lineRule="auto" w:line="288" w:before="180" w:after="283"/>
        <w:ind w:left="0" w:right="0" w:hanging="638"/>
        <w:jc w:val="left"/>
        <w:rPr>
          <w:rFonts w:ascii="Arial;sans-serif" w:hAnsi="Arial;sans-serif"/>
          <w:b w:val="false"/>
          <w:color w:val="000000"/>
          <w:sz w:val="20"/>
        </w:rPr>
      </w:pPr>
      <w:r>
        <w:rPr>
          <w:rFonts w:ascii="Arial;sans-serif" w:hAnsi="Arial;sans-serif"/>
          <w:b w:val="false"/>
          <w:color w:val="000000"/>
          <w:sz w:val="20"/>
        </w:rPr>
        <w:t>(iv)Mr. Thomas is eligible to participate in all of the Company’s employee benefit plans and programs as in effect from time to time for the Company’s senior executive employees, including medical/dental insurance, life insurance, disability insurance and deferred compensation plans.</w:t>
      </w:r>
    </w:p>
    <w:p>
      <w:pPr>
        <w:pStyle w:val="TextBody"/>
        <w:bidi w:val="0"/>
        <w:spacing w:lineRule="auto" w:line="288" w:before="180" w:after="283"/>
        <w:ind w:left="0" w:right="0" w:hanging="593"/>
        <w:jc w:val="left"/>
        <w:rPr>
          <w:rFonts w:ascii="Arial;sans-serif" w:hAnsi="Arial;sans-serif"/>
          <w:b w:val="false"/>
          <w:color w:val="000000"/>
          <w:sz w:val="20"/>
        </w:rPr>
      </w:pPr>
      <w:r>
        <w:rPr>
          <w:rFonts w:ascii="Arial;sans-serif" w:hAnsi="Arial;sans-serif"/>
          <w:b w:val="false"/>
          <w:color w:val="000000"/>
          <w:sz w:val="20"/>
        </w:rPr>
        <w:t>(v)Mr. Thomas is entitled to the use of a Company-owned or leased automobile, a benefit he has declined every year since becoming CEO.</w:t>
      </w:r>
    </w:p>
    <w:p>
      <w:pPr>
        <w:pStyle w:val="TextBody"/>
        <w:bidi w:val="0"/>
        <w:spacing w:lineRule="auto" w:line="288" w:before="180" w:after="283"/>
        <w:ind w:left="0" w:right="0" w:hanging="638"/>
        <w:jc w:val="left"/>
        <w:rPr>
          <w:rFonts w:ascii="Arial;sans-serif" w:hAnsi="Arial;sans-serif"/>
          <w:b w:val="false"/>
          <w:color w:val="000000"/>
          <w:sz w:val="20"/>
        </w:rPr>
      </w:pPr>
      <w:r>
        <w:rPr>
          <w:rFonts w:ascii="Arial;sans-serif" w:hAnsi="Arial;sans-serif"/>
          <w:b w:val="false"/>
          <w:color w:val="000000"/>
          <w:sz w:val="20"/>
        </w:rPr>
        <w:t>(vi)The Company has agreed to pay Mr. Thomas’ reasonable advisor fees (legal and tax) incurred in connection with the Agreement, up to a maximum of $25,000.</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Severance Benefits and Retirement Eligibility</w:t>
      </w:r>
    </w:p>
    <w:p>
      <w:pPr>
        <w:pStyle w:val="TextBody"/>
        <w:bidi w:val="0"/>
        <w:spacing w:lineRule="auto" w:line="288" w:before="180" w:after="283"/>
        <w:ind w:left="0" w:right="0" w:hanging="538"/>
        <w:jc w:val="left"/>
        <w:rPr>
          <w:rFonts w:ascii="Arial;sans-serif" w:hAnsi="Arial;sans-serif"/>
          <w:b w:val="false"/>
          <w:color w:val="000000"/>
          <w:sz w:val="20"/>
        </w:rPr>
      </w:pPr>
      <w:r>
        <w:rPr>
          <w:rFonts w:ascii="Arial;sans-serif" w:hAnsi="Arial;sans-serif"/>
          <w:b w:val="false"/>
          <w:color w:val="000000"/>
          <w:sz w:val="20"/>
        </w:rPr>
        <w:t>(i)Mr. Thomas’ employment with the Company is at-will, but his employment agreement provides for certain payments and benefits to him upon his separation from the Company in certain circumstances,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hanging="540"/>
        <w:jc w:val="left"/>
        <w:rPr/>
      </w:pPr>
      <w:r>
        <w:rPr>
          <w:rFonts w:ascii="Arial;sans-serif" w:hAnsi="Arial;sans-serif"/>
          <w:b w:val="false"/>
          <w:color w:val="000000"/>
          <w:sz w:val="20"/>
        </w:rPr>
        <w:t>(1)</w:t>
      </w:r>
      <w:r>
        <w:rPr>
          <w:rFonts w:ascii="Arial;sans-serif" w:hAnsi="Arial;sans-serif"/>
          <w:b w:val="false"/>
          <w:color w:val="000000"/>
          <w:sz w:val="20"/>
          <w:shd w:fill="FFFFFF" w:val="clear"/>
        </w:rPr>
        <w:t>If the employment of Mr. Thomas is terminated by the Company without Cause or by Mr. Thomas for Good Reason not in connection with a Change in Control, then Mr. Thomas will be entitled to a severance amount equal to two times the sum of (x) his base salary plus (y) the amount of his cash bonus, if any, received in respect of the immediately preceding year (but not less than his target bonus). Mr. Thomas is also entitled to a pro rata target bonus for the year of termination and an additional 24 months of vesting in his time-based equity awards, acceleration of vesting of his performance-based awards to the extent provided in the relevant award agreements, and, subject to payment of premiums at the active employees’ rate, may also participate in the Company’s health plan for up to 24 months. Receipt of these payments and benefits (other than the prorated target bonus) is subject to Mr. Thomas executing a general release of claims against the Company.</w:t>
      </w:r>
    </w:p>
    <w:p>
      <w:pPr>
        <w:pStyle w:val="TextBody"/>
        <w:bidi w:val="0"/>
        <w:spacing w:lineRule="auto" w:line="288" w:before="180" w:after="283"/>
        <w:ind w:left="0" w:right="0" w:hanging="540"/>
        <w:jc w:val="left"/>
        <w:rPr/>
      </w:pPr>
      <w:r>
        <w:rPr>
          <w:rFonts w:ascii="Arial;sans-serif" w:hAnsi="Arial;sans-serif"/>
          <w:b w:val="false"/>
          <w:color w:val="000000"/>
          <w:sz w:val="20"/>
        </w:rPr>
        <w:t>(2)</w:t>
      </w:r>
      <w:r>
        <w:rPr>
          <w:rFonts w:ascii="Arial;sans-serif" w:hAnsi="Arial;sans-serif"/>
          <w:b w:val="false"/>
          <w:color w:val="000000"/>
          <w:sz w:val="20"/>
          <w:shd w:fill="FFFFFF" w:val="clear"/>
        </w:rPr>
        <w:t>If the employment of Mr. Thomas is terminated by the Company without Cause or by Mr. Thomas for Good Reason upon or within 24 months after a Change in Control of the Company, then Mr. Thomas will be entitled to his pro rata target cash bonus for the year of termination and a lump sum severance amount equal to three times the sum of (x) his base salary plus (y) the amount of his average annual cash bonus for the three calendar years preceding the change in control (or his target bonus, if greater). Mr. Thomas will also be entitled to full vesting of his time-based equity awards, acceleration of vesting of his performance-based awards to the extent provided in the relevant award agreements, 36 months of financial counseling, tax preparation assistance and outplacement counseling, and, subject to payment of premiums at the active employees’ rate, may also participate in the Company’s health plan for up to 36 months.</w:t>
      </w:r>
    </w:p>
    <w:p>
      <w:pPr>
        <w:pStyle w:val="TextBody"/>
        <w:bidi w:val="0"/>
        <w:spacing w:lineRule="auto" w:line="288" w:before="180" w:after="283"/>
        <w:ind w:left="0" w:right="0" w:hanging="582"/>
        <w:jc w:val="left"/>
        <w:rPr>
          <w:rFonts w:ascii="Arial;sans-serif" w:hAnsi="Arial;sans-serif"/>
          <w:b w:val="false"/>
          <w:color w:val="000000"/>
          <w:sz w:val="20"/>
        </w:rPr>
      </w:pPr>
      <w:r>
        <w:rPr>
          <w:rFonts w:ascii="Arial;sans-serif" w:hAnsi="Arial;sans-serif"/>
          <w:b w:val="false"/>
          <w:color w:val="000000"/>
          <w:sz w:val="20"/>
        </w:rPr>
        <w:t>(ii)Because Mr. Thomas is at least 62 years of age and has completed at least ten (10) years of employment with the Company, Mr. Thomas is deemed to have satisfied the requirements for retirement eligibility and, as a result, the Agreement provides that his time-based equity awards, whether currently outstanding or granted in the future, shall be deemed to be fully vested and performance-based equity awards that are earned will vest in full (without any proration of the award based on service time). In addition, upon a Qualified Retirement, Mr. Thomas shall be entitled to a prorated portion of his annual bonus for the year in which he retires.</w:t>
      </w:r>
    </w:p>
    <w:p>
      <w:pPr>
        <w:pStyle w:val="TextBody"/>
        <w:bidi w:val="0"/>
        <w:spacing w:lineRule="auto" w:line="288" w:before="180" w:after="283"/>
        <w:ind w:left="0" w:right="0" w:hanging="626"/>
        <w:jc w:val="left"/>
        <w:rPr>
          <w:rFonts w:ascii="Arial;sans-serif" w:hAnsi="Arial;sans-serif"/>
          <w:b w:val="false"/>
          <w:color w:val="000000"/>
          <w:sz w:val="20"/>
        </w:rPr>
      </w:pPr>
      <w:r>
        <w:rPr>
          <w:rFonts w:ascii="Arial;sans-serif" w:hAnsi="Arial;sans-serif"/>
          <w:b w:val="false"/>
          <w:color w:val="000000"/>
          <w:sz w:val="20"/>
        </w:rPr>
        <w:t>(iii)Mr. Thomas is not entitled to participate in any of the Company’s change in control severance plans and he is not entitled to receive any tax gross-up payments. In the event that any payment or benefit to be paid or provided to Mr. Thomas would be subject to the golden parachute excise tax under Section 280G of the Internal Revenue Code, the payments and benefits will be reduced to the extent necessary to avoid the imposition of the excise tax if doing so would result in a greater after-tax benefit to Mr. Thomas.</w:t>
      </w:r>
    </w:p>
    <w:p>
      <w:pPr>
        <w:pStyle w:val="TextBody"/>
        <w:bidi w:val="0"/>
        <w:spacing w:lineRule="auto" w:line="288" w:before="180" w:after="283"/>
        <w:ind w:left="0" w:right="0" w:hanging="638"/>
        <w:jc w:val="left"/>
        <w:rPr>
          <w:rFonts w:ascii="Arial;sans-serif" w:hAnsi="Arial;sans-serif"/>
          <w:b w:val="false"/>
          <w:color w:val="000000"/>
          <w:sz w:val="20"/>
        </w:rPr>
      </w:pPr>
      <w:r>
        <w:rPr>
          <w:rFonts w:ascii="Arial;sans-serif" w:hAnsi="Arial;sans-serif"/>
          <w:b w:val="false"/>
          <w:color w:val="000000"/>
          <w:sz w:val="20"/>
        </w:rPr>
        <w:t>(iv)The expiration of Mr. Thomas’ agreement on December 31, 2026 (1) will not constitute or result in a termination of employment by the Company without Cause or termination of employment by Mr. Thomas for Good Reason, and the severance provisions (other than retirement eligibility and related benefits) shall not apply, and (2) will constitute a Qualified Retirement. In addition, notwithstanding the expiration of the term on December 31, 2026 and consistent with the Company’s historical practice in respect of retiring executives, in 2027 Mr. Thomas shall receive an annual equity incentive award(s) in respect of services provided during calendar year 2026, and the terms and conditions of such awards, including the grant date target value and, generally, the type(s) of awards, shall be determined in the discretion of the Compensation Committee.</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Restrictive Covenants</w:t>
      </w:r>
    </w:p>
    <w:p>
      <w:pPr>
        <w:pStyle w:val="TextBody"/>
        <w:bidi w:val="0"/>
        <w:spacing w:lineRule="auto" w:line="288" w:before="180" w:after="283"/>
        <w:ind w:left="0" w:right="0" w:hanging="538"/>
        <w:jc w:val="left"/>
        <w:rPr>
          <w:rFonts w:ascii="Arial;sans-serif" w:hAnsi="Arial;sans-serif"/>
          <w:b w:val="false"/>
          <w:color w:val="000000"/>
          <w:sz w:val="20"/>
        </w:rPr>
      </w:pPr>
      <w:r>
        <w:rPr>
          <w:rFonts w:ascii="Arial;sans-serif" w:hAnsi="Arial;sans-serif"/>
          <w:b w:val="false"/>
          <w:color w:val="000000"/>
          <w:sz w:val="20"/>
        </w:rPr>
        <w:t>(i)While he is an officer and until the later of (1) one year after the termination of his employment for any reason or (2) the latest date of full vesting of any performance-based equity award, Mr. Thomas is prohibited from: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180" w:after="283"/>
        <w:ind w:left="0" w:right="0" w:hanging="582"/>
        <w:jc w:val="left"/>
        <w:rPr>
          <w:rFonts w:ascii="Arial;sans-serif" w:hAnsi="Arial;sans-serif"/>
          <w:b w:val="false"/>
          <w:color w:val="000000"/>
          <w:sz w:val="20"/>
        </w:rPr>
      </w:pPr>
      <w:r>
        <w:rPr>
          <w:rFonts w:ascii="Arial;sans-serif" w:hAnsi="Arial;sans-serif"/>
          <w:b w:val="false"/>
          <w:color w:val="000000"/>
          <w:sz w:val="20"/>
        </w:rPr>
        <w:t>(ii)participating as a significant owner or performing services in a senior leadership position of any business that owns, develops and manages primarily commercial office space real estate property at the time of termination of his employment; or</w:t>
      </w:r>
    </w:p>
    <w:p>
      <w:pPr>
        <w:pStyle w:val="TextBody"/>
        <w:bidi w:val="0"/>
        <w:spacing w:lineRule="auto" w:line="288" w:before="180" w:after="283"/>
        <w:ind w:left="0" w:right="0" w:hanging="626"/>
        <w:jc w:val="left"/>
        <w:rPr>
          <w:rFonts w:ascii="Arial;sans-serif" w:hAnsi="Arial;sans-serif"/>
          <w:b w:val="false"/>
          <w:color w:val="000000"/>
          <w:sz w:val="20"/>
        </w:rPr>
      </w:pPr>
      <w:r>
        <w:rPr>
          <w:rFonts w:ascii="Arial;sans-serif" w:hAnsi="Arial;sans-serif"/>
          <w:b w:val="false"/>
          <w:color w:val="000000"/>
          <w:sz w:val="20"/>
        </w:rPr>
        <w:t xml:space="preserve">(iii)intentionally interfering with the Company’s relationships with certain of its tenants or employees, either for himself or any other business, person or entity. </w:t>
      </w:r>
    </w:p>
    <w:p>
      <w:pPr>
        <w:pStyle w:val="TextBody"/>
        <w:bidi w:val="0"/>
        <w:spacing w:lineRule="auto" w:line="288" w:before="180" w:after="283"/>
        <w:ind w:left="0" w:right="0" w:hanging="638"/>
        <w:jc w:val="left"/>
        <w:rPr>
          <w:rFonts w:ascii="Arial;sans-serif" w:hAnsi="Arial;sans-serif"/>
          <w:b w:val="false"/>
          <w:color w:val="000000"/>
          <w:sz w:val="20"/>
        </w:rPr>
      </w:pPr>
      <w:r>
        <w:rPr>
          <w:rFonts w:ascii="Arial;sans-serif" w:hAnsi="Arial;sans-serif"/>
          <w:b w:val="false"/>
          <w:color w:val="000000"/>
          <w:sz w:val="20"/>
        </w:rPr>
        <w:t>(iv)The non-competition covenant shall not apply if Mr. Thomas’ employment is terminated following a Change in Control.</w:t>
      </w:r>
    </w:p>
    <w:p>
      <w:pPr>
        <w:pStyle w:val="TextBody"/>
        <w:bidi w:val="0"/>
        <w:spacing w:lineRule="auto" w:line="288" w:before="180" w:after="283"/>
        <w:ind w:left="0" w:right="0" w:hanging="593"/>
        <w:jc w:val="left"/>
        <w:rPr>
          <w:rFonts w:ascii="Arial;sans-serif" w:hAnsi="Arial;sans-serif"/>
          <w:b w:val="false"/>
          <w:color w:val="000000"/>
          <w:sz w:val="20"/>
        </w:rPr>
      </w:pPr>
      <w:r>
        <w:rPr>
          <w:rFonts w:ascii="Arial;sans-serif" w:hAnsi="Arial;sans-serif"/>
          <w:b w:val="false"/>
          <w:color w:val="000000"/>
          <w:sz w:val="20"/>
        </w:rPr>
        <w:t>(v)Mr. Thomas is also subject to confidentiality requirements and post-termination litigation and regulatory cooperation obligations.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terms “Cause,” “Change in Control,” “Good Reason” and “Qualified Retirement” have the meanings set forth in the Agreement. The foregoing summary of the Agreement does not purport to be complete and is subject to, and qualified in its entirety by reference to, the full text of the Agreement, which is included as Exhibit 10.1 hereto and incorporated herein by reference.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(b)None.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(c)During the three months ended September 30, 2023,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6—Exhibits.</w:t>
      </w:r>
    </w:p>
    <w:p>
      <w:pPr>
        <w:pStyle w:val="TextBody"/>
        <w:bidi w:val="0"/>
        <w:spacing w:lineRule="auto" w:line="288" w:before="100" w:after="283"/>
        <w:ind w:left="0" w:right="0" w:hanging="450"/>
        <w:jc w:val="left"/>
        <w:rPr/>
      </w:pPr>
      <w:r>
        <w:rPr>
          <w:rFonts w:ascii="Arial;sans-serif" w:hAnsi="Arial;sans-serif"/>
          <w:b w:val="false"/>
          <w:color w:val="000000"/>
          <w:sz w:val="20"/>
        </w:rPr>
        <w:t>(a)Exhibits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28"/>
        <w:gridCol w:w="290"/>
        <w:gridCol w:w="192"/>
        <w:gridCol w:w="115"/>
        <w:gridCol w:w="115"/>
        <w:gridCol w:w="116"/>
        <w:gridCol w:w="2752"/>
        <w:gridCol w:w="2608"/>
        <w:gridCol w:w="3689"/>
      </w:tblGrid>
      <w:tr>
        <w:trPr/>
        <w:tc>
          <w:tcPr>
            <w:tcW w:w="3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pdated101ex93023filing.htm">
              <w:r>
                <w:rPr>
                  <w:rStyle w:val="InternetLink"/>
                  <w:rFonts w:ascii="Arial;sans-serif" w:hAnsi="Arial;sans-serif"/>
                  <w:b w:val="false"/>
                  <w:color w:val="0000FF"/>
                  <w:sz w:val="20"/>
                  <w:u w:val="single"/>
                </w:rPr>
                <w:t>Amended and Restated Employment Agreement by and between Boston Properties, Inc. and Owen D. Thomas and dated November 4, 2023 (Filed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11.htm">
              <w:r>
                <w:rPr>
                  <w:rStyle w:val="InternetLink"/>
                  <w:rFonts w:ascii="Arial;sans-serif" w:hAnsi="Arial;sans-serif"/>
                  <w:b w:val="false"/>
                  <w:color w:val="0000FF"/>
                  <w:sz w:val="20"/>
                  <w:u w:val="single"/>
                </w:rPr>
                <w:t>Certification of Chief Executive Officer pursuant to Section 302 of the Sarbanes-Oxley Act of 2002 for Boston Properties, Inc. (Filed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12.htm">
              <w:r>
                <w:rPr>
                  <w:rStyle w:val="InternetLink"/>
                  <w:rFonts w:ascii="Arial;sans-serif" w:hAnsi="Arial;sans-serif"/>
                  <w:b w:val="false"/>
                  <w:color w:val="0000FF"/>
                  <w:sz w:val="20"/>
                  <w:u w:val="single"/>
                </w:rPr>
                <w:t>Certification of Chief Financial Officer pursuant to Section 302 of the Sarbanes-Oxley Act of 2002 for Boston Properties, Inc. (Filed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13.htm">
              <w:r>
                <w:rPr>
                  <w:rStyle w:val="InternetLink"/>
                  <w:rFonts w:ascii="Arial;sans-serif" w:hAnsi="Arial;sans-serif"/>
                  <w:b w:val="false"/>
                  <w:color w:val="0000FF"/>
                  <w:sz w:val="20"/>
                  <w:u w:val="single"/>
                </w:rPr>
                <w:t>Certification of Chief Executive Officer pursuant to Section 302 of the Sarbanes-Oxley Act of 2002 for Boston Properties Limited Partnership. (Filed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14.htm">
              <w:r>
                <w:rPr>
                  <w:rStyle w:val="InternetLink"/>
                  <w:rFonts w:ascii="Arial;sans-serif" w:hAnsi="Arial;sans-serif"/>
                  <w:b w:val="false"/>
                  <w:color w:val="0000FF"/>
                  <w:sz w:val="20"/>
                  <w:u w:val="single"/>
                </w:rPr>
                <w:t>Certification of Chief Financial Officer pursuant to Section 302 of the Sarbanes-Oxley Act of 2002 for Boston Properties Limited Partnership. (Filed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21.htm">
              <w:r>
                <w:rPr>
                  <w:rStyle w:val="InternetLink"/>
                  <w:rFonts w:ascii="Arial;sans-serif" w:hAnsi="Arial;sans-serif"/>
                  <w:b w:val="false"/>
                  <w:color w:val="0000FF"/>
                  <w:sz w:val="20"/>
                  <w:u w:val="single"/>
                </w:rPr>
                <w:t>Certification of Chief Executive Officer pursuant to Section 906 of the Sarbanes Oxley Act of 2002 for Boston Properties, Inc. (Furnished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22.htm">
              <w:r>
                <w:rPr>
                  <w:rStyle w:val="InternetLink"/>
                  <w:rFonts w:ascii="Arial;sans-serif" w:hAnsi="Arial;sans-serif"/>
                  <w:b w:val="false"/>
                  <w:color w:val="0000FF"/>
                  <w:sz w:val="20"/>
                  <w:u w:val="single"/>
                </w:rPr>
                <w:t>Certification of Chief Financial Officer pursuant to Section 906 of the Sarbanes Oxley Act of 2002 for Boston Properties, Inc. (Furnished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23.htm">
              <w:r>
                <w:rPr>
                  <w:rStyle w:val="InternetLink"/>
                  <w:rFonts w:ascii="Arial;sans-serif" w:hAnsi="Arial;sans-serif"/>
                  <w:b w:val="false"/>
                  <w:color w:val="0000FF"/>
                  <w:sz w:val="20"/>
                  <w:u w:val="single"/>
                </w:rPr>
                <w:t>Certification of Chief Executive Officer pursuant to Section 906 of the Sarbanes Oxley Act of 2002 for Boston Properties Limited Partnership. (Furnished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3930ex324.htm">
              <w:r>
                <w:rPr>
                  <w:rStyle w:val="InternetLink"/>
                  <w:rFonts w:ascii="Arial;sans-serif" w:hAnsi="Arial;sans-serif"/>
                  <w:b w:val="false"/>
                  <w:color w:val="0000FF"/>
                  <w:sz w:val="20"/>
                  <w:u w:val="single"/>
                </w:rPr>
                <w:t>Certification of Chief Financial Officer pursuant to Section 906 of the Sarbanes Oxley Act of 2002 for Boston Properties Limited Partnership. (Furnished herewith.)</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 (Filed herewith.)</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 (Filed herewith.)</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 (Filed herewith.)</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 (Filed herewith.)</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 (Filed herewith.)</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with applicable taxonomy extension information contained in Exhibits 101*.). (Filed herewith.)</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Indicates management contract or compensatory plan or arrangement required to be filed or incorporated by reference as an exhibit to this Form 10-Q pursuant to Item 6 of Form 10-Q.</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7673" w:type="dxa"/>
        <w:jc w:val="center"/>
        <w:tblInd w:w="0" w:type="dxa"/>
        <w:tblLayout w:type="fixed"/>
        <w:tblCellMar>
          <w:top w:w="28" w:type="dxa"/>
          <w:left w:w="28" w:type="dxa"/>
          <w:bottom w:w="28" w:type="dxa"/>
          <w:right w:w="28" w:type="dxa"/>
        </w:tblCellMar>
      </w:tblPr>
      <w:tblGrid>
        <w:gridCol w:w="619"/>
        <w:gridCol w:w="544"/>
        <w:gridCol w:w="547"/>
        <w:gridCol w:w="438"/>
        <w:gridCol w:w="438"/>
        <w:gridCol w:w="438"/>
        <w:gridCol w:w="1354"/>
        <w:gridCol w:w="1354"/>
        <w:gridCol w:w="194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INC.</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7, 2023</w:t>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180" w:after="283"/>
        <w:jc w:val="left"/>
        <w:rPr/>
      </w:pPr>
      <w:hyperlink w:anchor="ia2bed122133a44418e357743064632e6_10">
        <w:r>
          <w:rPr>
            <w:rStyle w:val="InternetLink"/>
            <w:rFonts w:ascii="Arial;sans-serif" w:hAnsi="Arial;sans-serif"/>
            <w:b w:val="false"/>
            <w:color w:val="0000FF"/>
            <w:sz w:val="20"/>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8514" w:type="dxa"/>
        <w:jc w:val="center"/>
        <w:tblInd w:w="0" w:type="dxa"/>
        <w:tblLayout w:type="fixed"/>
        <w:tblCellMar>
          <w:top w:w="28" w:type="dxa"/>
          <w:left w:w="28" w:type="dxa"/>
          <w:bottom w:w="28" w:type="dxa"/>
          <w:right w:w="28" w:type="dxa"/>
        </w:tblCellMar>
      </w:tblPr>
      <w:tblGrid>
        <w:gridCol w:w="619"/>
        <w:gridCol w:w="544"/>
        <w:gridCol w:w="547"/>
        <w:gridCol w:w="718"/>
        <w:gridCol w:w="718"/>
        <w:gridCol w:w="718"/>
        <w:gridCol w:w="1362"/>
        <w:gridCol w:w="1362"/>
        <w:gridCol w:w="192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Boston Properties, Inc., its General Partner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7, 2023</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10.1</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AMENDED AND RESTATED</w:t>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EMPLOYMENT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THIS AMENDED AND RESTATED EMPLOYMENT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the 4th day of November 2023, by and between Owen D. Thomas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and Boston Properties, Inc., a Delaware corporation, with its principal executive office located at 800 Boylston Street, Boston, Massachusetts 02199 (together with its subsidiaries,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jc w:val="center"/>
        <w:rPr/>
      </w:pPr>
      <w:r>
        <w:rPr>
          <w:rFonts w:ascii="Times New Roman;sans-serif" w:hAnsi="Times New Roman;sans-serif"/>
          <w:b w:val="false"/>
          <w:color w:val="000000"/>
          <w:sz w:val="24"/>
          <w:u w:val="single"/>
        </w:rPr>
        <w:t>WITNESSETH THAT</w:t>
      </w:r>
      <w:r>
        <w:rPr>
          <w:rFonts w:ascii="Times New Roman;sans-serif" w:hAnsi="Times New Roman;sans-serif"/>
          <w:b w:val="false"/>
          <w:color w:val="000000"/>
          <w:sz w:val="24"/>
        </w:rPr>
        <w:t>:</w:t>
      </w:r>
    </w:p>
    <w:p>
      <w:pPr>
        <w:pStyle w:val="TextBody"/>
        <w:bidi w:val="0"/>
        <w:spacing w:lineRule="auto" w:line="240" w:before="240" w:after="240"/>
        <w:ind w:left="0" w:right="0" w:firstLine="720"/>
        <w:jc w:val="left"/>
        <w:rPr/>
      </w:pPr>
      <w:r>
        <w:rPr>
          <w:rFonts w:ascii="Times New Roman;sans-serif" w:hAnsi="Times New Roman;sans-serif"/>
          <w:b w:val="false"/>
          <w:color w:val="000000"/>
          <w:sz w:val="24"/>
        </w:rPr>
        <w:t>WHEREAS, Executive has been employed by the Company as its Chief Executive Officer and has served the Company as a member of the Company’s Board of Directors (the “</w:t>
      </w:r>
      <w:r>
        <w:rPr>
          <w:rFonts w:ascii="Times New Roman;sans-serif" w:hAnsi="Times New Roman;sans-serif"/>
          <w:b w:val="false"/>
          <w:color w:val="000000"/>
          <w:sz w:val="24"/>
          <w:u w:val="single"/>
        </w:rPr>
        <w:t>Board of Directors</w:t>
      </w:r>
      <w:r>
        <w:rPr>
          <w:color w:val="000000"/>
        </w:rPr>
        <w:t>”</w:t>
      </w:r>
      <w:r>
        <w:rPr>
          <w:rFonts w:ascii="Times New Roman;sans-serif" w:hAnsi="Times New Roman;sans-serif"/>
          <w:b w:val="false"/>
          <w:color w:val="000000"/>
          <w:sz w:val="24"/>
        </w:rPr>
        <w:t>) pursuant to an Employment Agreement dated March 10, 2013 (the “</w:t>
      </w:r>
      <w:r>
        <w:rPr>
          <w:rFonts w:ascii="Times New Roman;sans-serif" w:hAnsi="Times New Roman;sans-serif"/>
          <w:b w:val="false"/>
          <w:color w:val="000000"/>
          <w:sz w:val="24"/>
          <w:u w:val="single"/>
        </w:rPr>
        <w:t>2013 Agreement</w:t>
      </w:r>
      <w:r>
        <w:rPr>
          <w:color w:val="000000"/>
        </w:rPr>
        <w:t>”</w:t>
      </w:r>
      <w:r>
        <w:rPr>
          <w:rFonts w:ascii="Times New Roman;sans-serif" w:hAnsi="Times New Roman;sans-serif"/>
          <w:b w:val="false"/>
          <w:color w:val="000000"/>
          <w:sz w:val="24"/>
        </w:rPr>
        <w:t>) as superseded in its entirety by an Employment Agreement dated April 2, 2018 (the “</w:t>
      </w:r>
      <w:r>
        <w:rPr>
          <w:rFonts w:ascii="Times New Roman;sans-serif" w:hAnsi="Times New Roman;sans-serif"/>
          <w:b w:val="false"/>
          <w:color w:val="000000"/>
          <w:sz w:val="24"/>
          <w:u w:val="single"/>
        </w:rPr>
        <w:t>2018 Agreement</w:t>
      </w:r>
      <w:r>
        <w:rPr>
          <w:color w:val="000000"/>
        </w:rPr>
        <w:t>”</w:t>
      </w:r>
      <w:r>
        <w:rPr>
          <w:rFonts w:ascii="Times New Roman;sans-serif" w:hAnsi="Times New Roman;sans-serif"/>
          <w:b w:val="false"/>
          <w:color w:val="000000"/>
          <w:sz w:val="24"/>
        </w:rPr>
        <w:t>) in which capacities he has provided services to the Company and Boston Properties Limited Partnership (“</w:t>
      </w:r>
      <w:r>
        <w:rPr>
          <w:rFonts w:ascii="Times New Roman;sans-serif" w:hAnsi="Times New Roman;sans-serif"/>
          <w:b w:val="false"/>
          <w:color w:val="000000"/>
          <w:sz w:val="24"/>
          <w:u w:val="single"/>
        </w:rPr>
        <w:t>BPLP</w:t>
      </w:r>
      <w:r>
        <w:rPr>
          <w:color w:val="000000"/>
        </w:rPr>
        <w:t>”</w:t>
      </w:r>
      <w:r>
        <w:rPr>
          <w:rFonts w:ascii="Times New Roman;sans-serif" w:hAnsi="Times New Roman;sans-serif"/>
          <w:b w:val="false"/>
          <w:color w:val="000000"/>
          <w:sz w:val="24"/>
        </w:rPr>
        <w:t xml:space="preserve">), of which the Company is General Partner and owner of the majority economic interest; </w:t>
      </w:r>
    </w:p>
    <w:p>
      <w:pPr>
        <w:pStyle w:val="TextBody"/>
        <w:bidi w:val="0"/>
        <w:spacing w:lineRule="auto" w:line="240"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desire to continue Executive’s employment as Chief Executive Officer and his service as a member of the Board of Directors based on the terms set forth in this Agreement; and</w:t>
      </w:r>
    </w:p>
    <w:p>
      <w:pPr>
        <w:pStyle w:val="TextBody"/>
        <w:bidi w:val="0"/>
        <w:spacing w:lineRule="auto" w:line="240"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desire to amend and restate the 2018 Agreement and enter into this Agreement to reflect the terms of Executive’s employment with the Company through the third anniversary of the Effective Date.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in consideration of the mutual covenants and premises set forth herein, and for other good and valuable consideration, the receipt and sufficiency of which are hereby acknowledged, the Company and Executive hereby agree as follows: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Executive’s employment with the Company pursuant to this Agreement shall commence effective as of July 1,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and shall continue until December 31, 2026 (the “</w:t>
      </w:r>
      <w:r>
        <w:rPr>
          <w:rFonts w:ascii="Times New Roman;sans-serif" w:hAnsi="Times New Roman;sans-serif"/>
          <w:b w:val="false"/>
          <w:color w:val="000000"/>
          <w:sz w:val="24"/>
          <w:u w:val="single"/>
        </w:rPr>
        <w:t>Expiration Date</w:t>
      </w:r>
      <w:r>
        <w:rPr>
          <w:color w:val="000000"/>
        </w:rPr>
        <w:t>”</w:t>
      </w:r>
      <w:r>
        <w:rPr>
          <w:rFonts w:ascii="Times New Roman;sans-serif" w:hAnsi="Times New Roman;sans-serif"/>
          <w:b w:val="false"/>
          <w:color w:val="000000"/>
          <w:sz w:val="24"/>
        </w:rPr>
        <w:t>) unless earlier terminated as provided herein. As used herein, the “</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rPr>
        <w:t xml:space="preserve">shall mean the period of Executive’s employment pursuant to this Agreement and shall end upon any termination of Executive’s employment with the Company as provided herein. Notwithstanding the foregoing, in the event a Change in Control (as defined in Paragraph 9(d)) occurs during the Term, the Term shall be extended until twenty-four (24) months after the Change in Control.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Employment; Duties; Location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During the Term, Executive shall continue to be employed by the Company as its Chief Executive Officer and shall continue to serve as a member of the Board of Directors under the same terms as the other Directors, with no additional compensation. While Executive remains Chief Executive Officer of the Company, he will be nominated for re-election to the Board of Directors each year. Executive agrees he will resign from the Board of Directors upon his termination of employment from the Company at the request of the Board. Executive’s duties and authority shall be commensurate with his title and position with the Company and shall include the performance of services in respect of BPLP. Executive shall report directly to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of Directors. Executive shall be principally located at the Company’s New York office.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Executive agrees to his employment as described in this Paragraph 2 and agrees to continue to devote substantially all of his working time and efforts to the performance of his duties hereunder, except as otherwise approved by the Board of Directors or as specifically otherwise provided in this Agreement. Executive shall be permitted to continue such outside positions as set forth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Executive may also engage in religious, charitable or other community activities as long as such activities do not materially interfere with Executive’s performance of his duties to the Company under this Agreement. Other than as set forth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Executive may not serve on other boards of directors of for-profit companies without the consent of the Board of Directors. Notwithstanding the foregoing, nothing herein shall be interpreted to preclude Executive from (i) engaging in Minority Interest Passive Investments (as defined below), including Minority Interest Passive Investments in, or relating to the ownership, development, operation, management, or leasing of, commercial real estate properties or (ii) participating as an officer or director of, or advisor to, any organization that is not engaged in the acquisition, development, construction, operation, management, or leasing of any commercial real estate property;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activities and related duties and pursuits do not materially restrict Executive’s ability to fulfill his obligations as an officer and employee of the Company as set forth herein.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Engaging in a “</w:t>
      </w:r>
      <w:r>
        <w:rPr>
          <w:rFonts w:ascii="Times New Roman;sans-serif" w:hAnsi="Times New Roman;sans-serif"/>
          <w:b w:val="false"/>
          <w:color w:val="000000"/>
          <w:sz w:val="24"/>
          <w:u w:val="single"/>
        </w:rPr>
        <w:t>Minority Interest Passive Investment</w:t>
      </w:r>
      <w:r>
        <w:rPr>
          <w:color w:val="000000"/>
        </w:rPr>
        <w:t xml:space="preserve">” </w:t>
      </w:r>
      <w:r>
        <w:rPr>
          <w:rFonts w:ascii="Times New Roman;sans-serif" w:hAnsi="Times New Roman;sans-serif"/>
          <w:b w:val="false"/>
          <w:color w:val="000000"/>
          <w:sz w:val="24"/>
        </w:rPr>
        <w:t xml:space="preserve">means acquiring, holding, and exercising the voting rights associated with an investment made through (i) the purchase of securities (including partnership interests) that represent a non-controlling, minority interest in an entity or (ii) the lending of money, in either case with the purpose or intent of obtaining a return on such investment but without management by Executive of the property or business to which such investment directly or indirectly relates and without any business or strategic consultation by Executive with such entity.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Company shall pay Executive during the Term an annual salary of $950,000 (the “</w:t>
      </w:r>
      <w:r>
        <w:rPr>
          <w:rFonts w:ascii="Times New Roman;sans-serif" w:hAnsi="Times New Roman;sans-serif"/>
          <w:b w:val="false"/>
          <w:color w:val="000000"/>
          <w:sz w:val="24"/>
          <w:u w:val="single"/>
        </w:rPr>
        <w:t>Base Salary</w:t>
      </w:r>
      <w:r>
        <w:rPr>
          <w:color w:val="000000"/>
        </w:rPr>
        <w:t>”</w:t>
      </w:r>
      <w:r>
        <w:rPr>
          <w:rFonts w:ascii="Times New Roman;sans-serif" w:hAnsi="Times New Roman;sans-serif"/>
          <w:b w:val="false"/>
          <w:color w:val="000000"/>
          <w:sz w:val="24"/>
        </w:rPr>
        <w:t>), payable in accordance with the Company’s normal business practices for senior executives (including tax withholding), but in no event less frequently than monthly. Executive’s Base Salary shall be reviewed at least annually by the Compensation Committee of the Board of Directors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xml:space="preserve">) and may be increased in its discretion but once increased, may not be decreased (with any such increased Base Salary being considered thereafter the Base Salary for all purposes of this Agreement).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Bonus</w:t>
      </w:r>
      <w:r>
        <w:rPr>
          <w:rFonts w:ascii="Times New Roman;sans-serif" w:hAnsi="Times New Roman;sans-serif"/>
          <w:b w:val="false"/>
          <w:color w:val="000000"/>
          <w:sz w:val="24"/>
        </w:rPr>
        <w:t>. For each fiscal year during the Term, Executive shall have the opportunity to earn an annual bonus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based on the achievement of Company and individual performance goals and other criteria, as shall be determined by the Compensation Committee from time to time. Executive’s target bonus shall be $2,350,000 (the “</w:t>
      </w:r>
      <w:r>
        <w:rPr>
          <w:rFonts w:ascii="Times New Roman;sans-serif" w:hAnsi="Times New Roman;sans-serif"/>
          <w:b w:val="false"/>
          <w:color w:val="000000"/>
          <w:sz w:val="24"/>
          <w:u w:val="single"/>
        </w:rPr>
        <w:t>target bonus</w:t>
      </w:r>
      <w:r>
        <w:rPr>
          <w:color w:val="000000"/>
        </w:rPr>
        <w:t>”</w:t>
      </w:r>
      <w:r>
        <w:rPr>
          <w:rFonts w:ascii="Times New Roman;sans-serif" w:hAnsi="Times New Roman;sans-serif"/>
          <w:b w:val="false"/>
          <w:color w:val="000000"/>
          <w:sz w:val="24"/>
        </w:rPr>
        <w:t>), and the target bonus may be increased by the Compensation Committee in its discretion but, once increased, may not be decreased (with any such increased target bonus considered thereafter the target bonus for all purposes of this Agreement), and the actual earned Annual Bonus may range from 0 to 150% of the target bonus based on the Compensation Committee’s evaluation of the Company’s and Executive’s performance versus the goals. Such earned Annual Bonus for any calendar year shall be paid in cash no later than March 15 of the following calendar year.</w:t>
      </w:r>
      <w:r>
        <w:rPr>
          <w:color w:val="000000"/>
        </w:rPr>
        <w:t xml:space="preserve"> </w:t>
      </w:r>
      <w:r>
        <w:rPr>
          <w:rFonts w:ascii="Times New Roman;sans-serif" w:hAnsi="Times New Roman;sans-serif"/>
          <w:b w:val="false"/>
          <w:color w:val="000000"/>
          <w:sz w:val="24"/>
        </w:rPr>
        <w:t>For the avoidance of doubt, notwithstanding the expiration of the Term of this Agreement if the Term of this Agreement ends on the Expiration Date, Executive shall be entitled to receive his bonus for 2026, without any pro ration and notwithstanding that Executive may no longer be employed by the Company on the date on which such bonuses for 2026 are paid in 2027.</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8"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Equity Compensation</w:t>
      </w:r>
      <w:r>
        <w:rPr>
          <w:rFonts w:ascii="Times New Roman;sans-serif" w:hAnsi="Times New Roman;sans-serif"/>
          <w:b w:val="false"/>
          <w:color w:val="000000"/>
          <w:sz w:val="24"/>
        </w:rPr>
        <w:t>. For each calendar year during the Term, Executive will be eligible to participate in the Company’s long-term incentive program, with the amount of equity granted to be determined at the discretion of the Compensation Committee based on Company and individual performance and competitive peer group information. Long term incentives may be provided in the form of stock options, restricted stock, restricted stock units or Long Term Incentive Units, or any combination thereof (collectively, “</w:t>
      </w:r>
      <w:r>
        <w:rPr>
          <w:rFonts w:ascii="Times New Roman;sans-serif" w:hAnsi="Times New Roman;sans-serif"/>
          <w:b w:val="false"/>
          <w:color w:val="000000"/>
          <w:sz w:val="24"/>
          <w:u w:val="single"/>
        </w:rPr>
        <w:t>Equity Incentive Awards</w:t>
      </w:r>
      <w:r>
        <w:rPr>
          <w:color w:val="000000"/>
        </w:rPr>
        <w:t>”</w:t>
      </w:r>
      <w:r>
        <w:rPr>
          <w:rFonts w:ascii="Times New Roman;sans-serif" w:hAnsi="Times New Roman;sans-serif"/>
          <w:b w:val="false"/>
          <w:color w:val="000000"/>
          <w:sz w:val="24"/>
        </w:rPr>
        <w:t>), in accordance with the terms of the Boston Properties, Inc. 2021 Stock Incentive Plan, as may be amended from time to time, or any successor stock incentive plan adopted by the Company from time to time (the “</w:t>
      </w:r>
      <w:r>
        <w:rPr>
          <w:rFonts w:ascii="Times New Roman;sans-serif" w:hAnsi="Times New Roman;sans-serif"/>
          <w:b w:val="false"/>
          <w:color w:val="000000"/>
          <w:sz w:val="24"/>
          <w:u w:val="single"/>
        </w:rPr>
        <w:t>Stock Plan</w:t>
      </w:r>
      <w:r>
        <w:rPr>
          <w:color w:val="000000"/>
        </w:rPr>
        <w:t>”</w:t>
      </w:r>
      <w:r>
        <w:rPr>
          <w:rFonts w:ascii="Times New Roman;sans-serif" w:hAnsi="Times New Roman;sans-serif"/>
          <w:b w:val="false"/>
          <w:color w:val="000000"/>
          <w:sz w:val="24"/>
        </w:rPr>
        <w:t xml:space="preserve">). Such Equity Incentive Awards will be subject to either time-based or performance-based vesting, or both, as determined by the Compensation Committee. The terms and conditions of annual Equity Incentive Awards (“Annual Equity Incentive Awards”) granted to Executive in respect of any calendar year during the Term, including the grant date target value and, generally, the vesting conditions and types of awards, shall be no less favorable than the terms and conditions of Annual Equity Incentive Awards granted to other executives of the Company in respect of such calendar year; provided, however, that Executive acknowledges and agrees that the Company has historically granted, and may in the future grant, to Executive performance-based, Annual Equity Incentive Awards that represent a percentage of the total Annual Equity Incentive Awards granted to Executive that is different than such relative percentage for other executives, and that any such difference shall not be deemed to breach this Section 3(c).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4.</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xml:space="preserve">. During the Term, Executive shall be entitled to receive the following benefits: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Medical/Dental Insurance</w:t>
      </w:r>
      <w:r>
        <w:rPr>
          <w:rFonts w:ascii="Times New Roman;sans-serif" w:hAnsi="Times New Roman;sans-serif"/>
          <w:b w:val="false"/>
          <w:color w:val="000000"/>
          <w:sz w:val="24"/>
        </w:rPr>
        <w:t xml:space="preserve">. Executive shall be entitled to participate in any and all health plans, including all medical and dental insurance plans, as in effect from time to time for senior executives of the Company. Such participation shall be subject to (i) the terms of the applicable plan documents, (ii) generally applicable policies of the Company, and (iii) the discretion of the Board of Directors, the Compensation Committee or any administrative or other committee provided for in, or contemplated by, such plan; provided that the terms and conditions of Executive’s participation in such plans shall be no less favorable to Executive in any manner than such terms and conditions applicable to other senior executives of the Company. Nothing contained in this Agreement shall be construed to create any obligation on the part of the Company to establish any such plan or to maintain the effectiveness of any such plan which may be in effect from time to time.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Life Insurance; Disability Insurance</w:t>
      </w:r>
      <w:r>
        <w:rPr>
          <w:rFonts w:ascii="Times New Roman;sans-serif" w:hAnsi="Times New Roman;sans-serif"/>
          <w:b w:val="false"/>
          <w:color w:val="000000"/>
          <w:sz w:val="24"/>
        </w:rPr>
        <w:t xml:space="preserve">. The Company shall provide Executive with such life and/or disability insurance as the Company may from time to time make available to senior executives of the Company, with the level of benefits applicable to Executive commensurate with Executive’s compensation as compared to that of other senior executives.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xml:space="preserve">. The Company shall promptly reimburse Executive for all reasonable business expenses incurred by Executive in accordance with the practices of the Company for senior executives of the Company, as in effect from time to time.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xml:space="preserve">. Executive shall receive paid vacation annually in accordance with terms determined for such Executive by the Company, but in no event shall Executive receive less than four weeks of paid vacation per year.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u w:val="single"/>
        </w:rPr>
        <w:t>Deferred Compensation</w:t>
      </w:r>
      <w:r>
        <w:rPr>
          <w:rFonts w:ascii="Times New Roman;sans-serif" w:hAnsi="Times New Roman;sans-serif"/>
          <w:b w:val="false"/>
          <w:color w:val="000000"/>
          <w:sz w:val="24"/>
        </w:rPr>
        <w:t xml:space="preserve">. Executive shall be entitled to participate in any deferred compensation plan or arrangement that the Company may have in place for its senior executives, directors and/or officers.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u w:val="single"/>
        </w:rPr>
        <w:t>Automobile</w:t>
      </w:r>
      <w:r>
        <w:rPr>
          <w:rFonts w:ascii="Times New Roman;sans-serif" w:hAnsi="Times New Roman;sans-serif"/>
          <w:b w:val="false"/>
          <w:color w:val="000000"/>
          <w:sz w:val="24"/>
        </w:rPr>
        <w:t xml:space="preserve">. The Company shall provide Executive with the use of a Company-owned or leased automobile.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xml:space="preserve">. The Company shall provide to Executive such other benefits, including the right to participate in such retirement or pension plans, as are made generally available to senior executives of the Company from time to time. Such participation shall be subject to (i) the terms of the applicable plan documents, (ii) generally applicable policies of the Company, and (iii) the discretion of the Board of Directors, the Compensation Committee or any administrative or other committee provided for in, or contemplated by, such plan; provided that the terms and conditions of Executive’s participation in such plans shall be no less favorable to Executive in any manner than such terms and conditions applicable to other senior executives of the Company.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u w:val="single"/>
        </w:rPr>
        <w:t>Taxation of Payments and Benefits</w:t>
      </w:r>
      <w:r>
        <w:rPr>
          <w:rFonts w:ascii="Times New Roman;sans-serif" w:hAnsi="Times New Roman;sans-serif"/>
          <w:b w:val="false"/>
          <w:color w:val="000000"/>
          <w:sz w:val="24"/>
        </w:rPr>
        <w:t xml:space="preserve">. The Company shall undertake to make deductions, withholdings and tax reports with respect to payments and benefits under this Agreement to the extent that it reasonably and in good faith believes that it is required to make such deductions, withholdings and tax reports. Payments under this Agreement shall be in amounts net of any such deductions or withholdings. Nothing in this Agreement shall be construed to require the Company to make any payments to compensate Executive for any adverse tax effect associated with any payments or benefits or for any deduction or withholding from any payment or benefit.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5.</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To the full extent permitted by law and subject to the Company’s Certificate of Incorporation and Bylaws, and under terms and conditions no less favorable to Executive in any regard than to any other officer or director of the Company, the Company shall indemnify Executive with respect to any actions commenced against Executive in his capacity as a director or officer or former director or officer of the Company, or any affiliate thereof for which he may serve in such capacity, and the Company shall advance on a timely basis any expenses incurred in defending such actions. The obligation to indemnify hereunder shall survive the termination of this Agreement indefinitely. The Company agrees to maintain directors’ and officers’ liability insurance with respect to Executive. Executive shall be designated as a “covered person” under the Company’s directors’ and officers’ liability insurance coverage and shall be covered to the same extent as other directors and executive officers, including following the termination of Executive’s employment for the maximum statute of limitations period which could apply to any claim against Executive which otherwise would be covered by such insurance.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6.</w:t>
      </w:r>
      <w:r>
        <w:rPr>
          <w:rFonts w:ascii="Times New Roman;sans-serif" w:hAnsi="Times New Roman;sans-serif"/>
          <w:b w:val="false"/>
          <w:color w:val="000000"/>
          <w:sz w:val="24"/>
          <w:u w:val="single"/>
        </w:rPr>
        <w:t>Company Authority/Policies</w:t>
      </w:r>
      <w:r>
        <w:rPr>
          <w:rFonts w:ascii="Times New Roman;sans-serif" w:hAnsi="Times New Roman;sans-serif"/>
          <w:b w:val="false"/>
          <w:color w:val="000000"/>
          <w:sz w:val="24"/>
        </w:rPr>
        <w:t xml:space="preserve">. Executive agrees to observe and comply with the rules and regulations of the Company as adopted by its Board of Directors respecting the performance of his duties and to carry out and perform orders, directions and policies communicated to him from time to time by the Board of Directors, to the extent consistent with Executive’s duties pursuant to Paragraph 2 above. Executive also agrees to comply with the Company’s stock ownership guidelines in effect from time to time.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7.</w:t>
      </w:r>
      <w:r>
        <w:rPr>
          <w:rFonts w:ascii="Times New Roman;sans-serif" w:hAnsi="Times New Roman;sans-serif"/>
          <w:b w:val="false"/>
          <w:color w:val="000000"/>
          <w:sz w:val="24"/>
          <w:u w:val="single"/>
        </w:rPr>
        <w:t>Records/Nondisclosure/Company Policies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All records, financial statements and similar documents obtained, reviewed or compiled by Executive in the course of the performance by him of services for the Company, whether or not confidential information or trade secrets, shall be the exclusive property of the Company. Executive shall have no rights in such documents upon any termination of Executive’s employment.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Executive will not disclose to any person or entity (except as required by applicable law, the rules of the New York Stock Exchange, or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20"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otherwise in connection with the performance of his duties and responsibilities hereunder), or use for his own benefit or gain, any confidential information of the Company obtained by him incident to his employment with the Company. Executive shall take all reasonable steps to safeguard any confidential information and to protect such confidential information against disclosure, misuse, loss, or theft. The term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includes, without limitation, financial information, business plans, prospects, and opportunities which have been discussed or considered by the management of the Company but does not include any information which has become part of the public domain by means other than Executive’s non-observance of his obligations hereunder.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For the avoidance of doubt, nothing contained in this Agreement limits Executive’s ability to communicate with the Securities and Exchange Commission, including to provide documents or other information, without notice to the Company.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Paragraph 7 shall survive the termination of this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8.</w:t>
      </w:r>
      <w:r>
        <w:rPr>
          <w:rFonts w:ascii="Times New Roman;sans-serif" w:hAnsi="Times New Roman;sans-serif"/>
          <w:b w:val="false"/>
          <w:color w:val="000000"/>
          <w:sz w:val="24"/>
          <w:u w:val="single"/>
        </w:rPr>
        <w:t>Termination/Severance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At Will Employment</w:t>
      </w:r>
      <w:r>
        <w:rPr>
          <w:rFonts w:ascii="Times New Roman;sans-serif" w:hAnsi="Times New Roman;sans-serif"/>
          <w:b w:val="false"/>
          <w:color w:val="000000"/>
          <w:sz w:val="24"/>
        </w:rPr>
        <w:t xml:space="preserve">. Executive’s employment hereunder is “at will” and, therefore, may be terminated at any time, with or without cause, at the option of the Company or Executive, subject only to the severance obligations under this Paragraph 8.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Except for termination as a result of Executive’s death as specified in Subparagraph 8(b), during the Term, any termination of Executive’s employment by the Company or any such termination by Executive shall be communicated by written Notice of Termination to the other party hereto. For purposes of this Agreement, a “</w:t>
      </w:r>
      <w:r>
        <w:rPr>
          <w:rFonts w:ascii="Times New Roman;sans-serif" w:hAnsi="Times New Roman;sans-serif"/>
          <w:b w:val="false"/>
          <w:color w:val="000000"/>
          <w:sz w:val="24"/>
          <w:u w:val="single"/>
        </w:rPr>
        <w:t>Notice of Termination</w:t>
      </w:r>
      <w:r>
        <w:rPr>
          <w:color w:val="000000"/>
        </w:rPr>
        <w:t xml:space="preserve">” </w:t>
      </w:r>
      <w:r>
        <w:rPr>
          <w:rFonts w:ascii="Times New Roman;sans-serif" w:hAnsi="Times New Roman;sans-serif"/>
          <w:b w:val="false"/>
          <w:color w:val="000000"/>
          <w:sz w:val="24"/>
        </w:rPr>
        <w:t xml:space="preserve">shall mean a notice which shall indicate the specific termination provision hereunder relied upon by the terminating party.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Date of Termination</w:t>
      </w:r>
      <w:r>
        <w:rPr>
          <w:color w:val="000000"/>
        </w:rPr>
        <w:t xml:space="preserve">” </w:t>
      </w:r>
      <w:r>
        <w:rPr>
          <w:rFonts w:ascii="Times New Roman;sans-serif" w:hAnsi="Times New Roman;sans-serif"/>
          <w:b w:val="false"/>
          <w:color w:val="000000"/>
          <w:sz w:val="24"/>
        </w:rPr>
        <w:t xml:space="preserve">shall mean: (A) if Executive’s employment is terminated by his death, the date of his death; (B) if Executive’s employment is terminated on account of disability under Subparagraph 8(c), the date on which Notice of Termination is given by the Company, or such later date as is indicated in the Notice of Termination; (C) if Executive’s employment is terminated by the Company for Cause under Subparagraph 8(d), the date on which a Notice of Termination is given by the Company, or such later date as is indicated in the Notice of Termination; (D) if Executive’s employment is terminated by the Company without Cause under Subparagraph 8(e)(i), thirty (30) days after the date on which a Notice of Termination is given by the Company, or such later date as is indicated in the Notice of Termination,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Company may establish a Date of Termination earlier than thirty (30) days after the Notice of Termination if, in addition to other amounts due pursuant to this Agreement, it pays Executive the amount equal to the Base Salary and the employer-paid portion of any employee group health plan benefits for the portion of such thirty (30) day period that follows the Date of Termination; (E) if Executive’s employment is terminated by Executive under Subparagraph 8(f), thirty (30) days after the date on which a Notice of Termination is given by Executive, or such other date as is mutually agreed by Executive and the Company; and (F) if Executive’s employment is terminated by Executive under Subparagraph 8(e)(ii) for Good Reason, the date on which the Notice of Termination is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1"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given by Executive after the end of the thirty (30) day cure period, or such other date as is mutually agreed by Executive and the Company.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xml:space="preserve">. If Executive dies during the Term, the Term shall terminate as of the date of death, and the Company shall, within ninety (90) days of death, pay in a lump sum amount to such person as Executive shall designate in a notice filed with the Company or, if no such person is designated, to Executive’s estate, Executive’s accrued and unpaid Base Salary to his date of death, plus his target bonus for the calendar year of termination, prorated for the number of days actually employed in the then current calendar year, to the extent unpaid on the Date of Termination. All unvested stock options and stock-based grants with time-based vesting shall vest and become exercisable by Executive’s estate or other legal representatives or nonforfeitable, as applicable, on the Date of Termination, and all unvested stock options and stock-based grants with performance-based vesting shall vest and become exercisable by Executive’s estate or other legal representatives or nonforfeitable, as applicable, to the extent provided in the applicable award agreements, and Executive’s estate or other legal representatives shall have such period of time to exercise the stock options as is provided in the Stock Plan and agreements with Executive pursuant thereto. For a period of eighteen (18) months following the Date of Termination and subject to the continued copayment of premium amounts by Executive’s spouse and dependents in amounts consistent with that applicable to active employees, Executive’s spouse and dependents shall continue to participate in the Company’s health insurance plan (medical, dental and vision) upon the same terms and conditions in effect for other executives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 the continuation of health benefits under this Subparagraph shall reduce and count against the rights of Executive’s spouse and dependents under the Consolidated Omnibus Budget Reconciliation Act of 1986,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xml:space="preserve">), and (ii) the value of premiums paid by the Company shall be reportable as taxable income to Executive’s spouse to the extent required by applicable law in order for the benefits received by Executive’s spouse and dependents to be non-taxable or to avoid imposition of penalty taxes on the Company pursuant to the Patient Protection and Affordable Care Act. In addition to the foregoing, any payments to which Executive’s spouse, beneficiaries, or estate may be entitled under any employee benefit plan shall also be paid in accordance with the terms of such plan or arrangement. Such payments, in the aggregate, shall fully discharge the Company’s obligations hereunder.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If during the Term, as a result of Executive’s incapacity due to physical or mental illness, Executive shall have been absent from his duties hereunder on a full-time basis for one hundred eighty (180) calendar days in the aggregate in any twelve (12) month period, the Company may terminate Executive’s employment hereunder and the Company shall, within ninety (90) days of such termination, pay in a lump sum amount to Executive, Executive’s accrued and unpaid Base Salary to his Date of Termination, plus his target bonus for the calendar year of termination, prorated for the number of days actually employed in the then current calendar year, to the extent unpaid on the Date of Termination. During any period during the Term that Executive fails to perform his duties hereunder as a result of incapacity due to physical or mental illness, but prior to Executive’s termination in accordance with the preceding sentence or otherwise under this Agreement, Executive shall continue to be treated as an active employee for all purposes under this Agreement and any other benefit and compensation arrangements of the Company. All unvested stock options and stock-based grants with time-based vesting shall vest and become exercisable or nonforfeitable, as applicable, as of the Date of Termination, and all unvested stock options and stock-based grants with performance-based vesting shall become exercisable or nonforfeitable, as applicable, to the extent provided in the applicable award agreements, and Executive shall have such period of time to exercise the stock options as is provided in the Stock Plan and agreements with Executive pursuant thereto. For a period of eighteen (18) months following the Date of Termination and subject to Executive’s continued copayment of premium amounts in amounts consistent with that applicable to active employees, Executive, Executive’s spouse and dependents shall continue to participate in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2"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health insurance plan (medical, dental and vision) upon the same terms and conditions in effect for other executives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the continuation of health benefits under this Subparagraph shall reduce and count against the rights of Executive, Executive’s spouse and dependents under COBRA, and (ii) the value of premiums paid by the Company shall be reported as taxable income to Executive to the extent required by applicable law in order for the benefits received by Executive, Executive’s spouse and dependents to be non-taxable or to avoid imposition of penalty taxes on the Company pursuant to the Patient Protection and Affordable Care Act. Such payment will be made within sixty (60) days of Executive’s termination of employment. In addition to the foregoing, any payments to which Executive may be entitled under any employee benefit plan shall also be paid in accordance with the terms of such plan or arrangement. Such payments, in the aggregate, shall fully discharge the Company’s obligations hereunder.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Termination by the Company for Cause</w:t>
      </w:r>
      <w:r>
        <w:rPr>
          <w:rFonts w:ascii="Times New Roman;sans-serif" w:hAnsi="Times New Roman;sans-serif"/>
          <w:b w:val="false"/>
          <w:color w:val="000000"/>
          <w:sz w:val="24"/>
        </w:rPr>
        <w:t>.</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The Company may terminate Executive’s employment hereunder for Cause.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shall mean: (A) gross negligence or willful misconduct by Executive in connection with the performance of his material duties hereunder; (B) a breach by Executive of any of his material duties hereunder (for reasons other than physical or mental illness) and the failure of Executive to cure such breach within thirty (30) days after written notice thereof by the Company; or (C) indictment of Executive of a felony and such indictment has a material adverse effect on the interests or reputation of the Company. Termination for Cause may only occur after reasonable advance written notice to Executive of the events giving rise to the potential termination for “Cause,” at a meeting of the Board of Directors called for this purpose and at which Executive has the opportunity to be represented by counsel, at which at least two-thirds of the non-employee members of the Board of Directors vote to terminate employment for “Cause.”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If during the Term, Executive’s employment is terminated by the Company for Cause, then the Company shall, through the Date of Termination, pay Executive his accrued and unpaid Base Salary. Thereafter, the Company shall have no further obligations to Executive except as otherwise provided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termination shall not adversely affect or alter Executive’s rights under any employee benefit plan of the Company in which Executive, at the Date of Termination, has a vested interest. Notwithstanding the foregoing and in addition to whatever other rights or remedies the Company may have at law or in equity, all vested and unvested stock options, and all unvested other stock-based grants, held by Executive as of the Date of Termination, shall immediately expire on the Date of Termination if Executive’s employment is terminated by the Company for Cause.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u w:val="single"/>
        </w:rPr>
        <w:t>Termination by the Company without Cause or by Executive for Good Reason</w:t>
      </w:r>
      <w:r>
        <w:rPr>
          <w:rFonts w:ascii="Times New Roman;sans-serif" w:hAnsi="Times New Roman;sans-serif"/>
          <w:b w:val="false"/>
          <w:color w:val="000000"/>
          <w:sz w:val="24"/>
        </w:rPr>
        <w:t>.</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The Company may terminate Executive’s employment hereunder without Cause if such termination is approved by the Board of Directors. Any termination by the Company of Executive’s employment hereunder which does not (A) constitute a termination for Cause under Subparagraph (d)(i), (B) result from the death or disability of Executive under Subparagraph (b) or (c), or (C) result from the expiration of the Term shall be deemed a termination without Cause. For the avoidance of doubt, employment may continue beyond the expiration of the Term on an at-will basis in the absence of a new agreement.</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Executive may terminate his employment hereunder for Good Reason.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 xml:space="preserve">shall mean the occurrence of any of the following without Executive’s written consent: (A) a material adverse change, in the nature or scope of Executive’s responsibilities, authorities, powers, functions, or duties under this Agreement (which for the avoidance of doubt shall be deemed to occur in the event that the Company ceases to be a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standalone public company, whether through becoming a subsidiary of a publicly held company or becoming a privately held company); (B) a breach by the Company of any of its material obligations hereunder; or (C) a material change in the geographic location at which Executive must perform his services. To constitute a Good Reason termination, Executive (1) must provide written notice to the Company within ninety (90) days of Executive’s initial actual knowledge of the existence of the event constituting Good Reason, (2) may not terminate his employment pursuant to this Subparagraph unless the Company fails to remedy the event constituting Good Reason within thirty (30) days after such notice has been deemed given pursuant to this Agreement (the “</w:t>
      </w:r>
      <w:r>
        <w:rPr>
          <w:rFonts w:ascii="Times New Roman;sans-serif" w:hAnsi="Times New Roman;sans-serif"/>
          <w:b w:val="false"/>
          <w:color w:val="000000"/>
          <w:sz w:val="24"/>
          <w:u w:val="single"/>
        </w:rPr>
        <w:t>Cure Period</w:t>
      </w:r>
      <w:r>
        <w:rPr>
          <w:color w:val="000000"/>
        </w:rPr>
        <w:t>”</w:t>
      </w:r>
      <w:r>
        <w:rPr>
          <w:rFonts w:ascii="Times New Roman;sans-serif" w:hAnsi="Times New Roman;sans-serif"/>
          <w:b w:val="false"/>
          <w:color w:val="000000"/>
          <w:sz w:val="24"/>
        </w:rPr>
        <w:t>), and (3) Executive must terminate employment with the Company no later than thirty (30) days after the end of the Cure Period, and only if the Company has failed to remedy the event constituting Good Reason within the Cure Period.</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If during the Term and prior to a Change in Control Executive’s employment is terminated by the Company without Cause or if Executive terminates his employment for Good Reason in accordance with this Subparagraph (e), then the Company shall, through the Date of Termination, pay Executive his accrued and unpaid Base Salary and his target bonus for the calendar year of termination, prorated for the number of days actually employed in the then current calendar year, to the extent unpaid on the Date of Termination. In addition, subject to signing by Executive of a general release of claims in a form attached hereto as Exhibit B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xml:space="preserve">) and the Release becoming irrevocable, all within thirty (30) days after the Date of Termination, Executive shall be entitled to the following: </w:t>
      </w:r>
    </w:p>
    <w:p>
      <w:pPr>
        <w:pStyle w:val="TextBody"/>
        <w:bidi w:val="0"/>
        <w:spacing w:lineRule="auto" w:line="240" w:before="0" w:after="240"/>
        <w:ind w:left="0" w:right="0" w:firstLine="288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Salary continuation in an amount (the “</w:t>
      </w:r>
      <w:r>
        <w:rPr>
          <w:rFonts w:ascii="Times New Roman;sans-serif" w:hAnsi="Times New Roman;sans-serif"/>
          <w:b w:val="false"/>
          <w:color w:val="000000"/>
          <w:sz w:val="24"/>
          <w:u w:val="single"/>
        </w:rPr>
        <w:t>Severance Amount</w:t>
      </w:r>
      <w:r>
        <w:rPr>
          <w:color w:val="000000"/>
        </w:rPr>
        <w:t>”</w:t>
      </w:r>
      <w:r>
        <w:rPr>
          <w:rFonts w:ascii="Times New Roman;sans-serif" w:hAnsi="Times New Roman;sans-serif"/>
          <w:b w:val="false"/>
          <w:color w:val="000000"/>
          <w:sz w:val="24"/>
        </w:rPr>
        <w:t xml:space="preserve">) equal to two (2) times the sum of (x) his annual Base Salary under Subparagraph 3(a) and (y) the amount of his cash bonus, if any, received in respect of the immediately preceding calendar year under Subparagraph 3(b) (or, if greater, Executive’s target bonus for such immediately preceding calendar year). The Severance Amount shall be paid in equal installments in accordance with the Company’s then payroll practice over a twenty-four (24) month period beginning with the first payroll date that occurs at least thirty (30) days after the Date of Termination. Solely for purposes of Section 409A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xml:space="preserve">), each installment payment is considered a separate payment; </w:t>
      </w:r>
    </w:p>
    <w:p>
      <w:pPr>
        <w:pStyle w:val="TextBody"/>
        <w:bidi w:val="0"/>
        <w:spacing w:lineRule="auto" w:line="240" w:before="0" w:after="240"/>
        <w:ind w:left="0" w:right="0" w:firstLine="288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For a period of twenty-four (24) months following the Date of Termination or until Executive becomes covered under a group health plan of another employer, whichever is earlier, subject to Executive’s continued copayment of premium amounts in amounts consistent with that applicable to active employees, Executive, Executive’s spouse and dependents shall continue to participate in the Company’s health insurance plan (medical, dental and vision) upon the same terms and conditions in effect for other executives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the continuation of health benefits under this Subparagraph shall reduce and count against the rights of Executive, Executive’s spouse and dependents under COBRA, and (y) the value of premiums paid by the Company shall be reported as taxable income to Executive to the extent required by applicable law in order for the benefits received by Executive’s spouse and dependents to be non-taxable or to avoid imposition of penalty taxes on the Company pursuant to the Patient Protection and Affordable Care Act; </w:t>
      </w:r>
      <w:r>
        <w:rPr>
          <w:rFonts w:ascii="Times New Roman;sans-serif" w:hAnsi="Times New Roman;sans-serif"/>
          <w:b w:val="false"/>
          <w:color w:val="000000"/>
          <w:sz w:val="24"/>
          <w:u w:val="single"/>
        </w:rPr>
        <w:t xml:space="preserve">provided, further, however, </w:t>
      </w:r>
      <w:r>
        <w:rPr>
          <w:rFonts w:ascii="Times New Roman;sans-serif" w:hAnsi="Times New Roman;sans-serif"/>
          <w:b w:val="false"/>
          <w:color w:val="000000"/>
          <w:sz w:val="24"/>
        </w:rPr>
        <w:t xml:space="preserve">if the applicable 24-month period exceeds Executive’s (or his spouse’s or dependent’s) maximum health continuation period under COBRA, the Company shall pay to Executive a monthly cash payment in an amount equal to the monthly employer contribution paid by the Company during Executive’s COBRA health continuation period for the remainder of the applicable 24-month period. For the avoidance of doubt, the value of any such monthly cash payments paid by the Company upon expiration of Executive’s (or his spouse’s or dependent’s) COBRA health continuation period shall be reported as taxable income to Executive; and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All stock options and other stock-based awards with time-based vesting in which Executive would have vested if he had remained employed for a period of twenty-four (24) months commencing on the Date of Termination shall vest and become exercisable or nonforfeitable, as applicable, as of the Date of Termination, and all stock options and other stock-based awards with performance-based vesting held by Executive shall become exercisable or nonforfeitable to the extent provided in the applicable award agreements. To avoid termination or forfeiture of any unvested stock option or stock-based award during the consideration of the Release, any termination or forfeiture of any unvested portion of any stock option or stock-based award that is eligible for acceleration of vesting pursuant to this Subparagraph that otherwise would have occurred on or within thirty (30) days after the Date of Termination will be delayed until the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after the Date of Termination (but in no event later than the expiration date thereof) and will only occur to the extent such portion of such award does not vest pursuant to this section.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u w:val="single"/>
        </w:rPr>
        <w:t>Voluntary Termination by Executive</w:t>
      </w:r>
      <w:r>
        <w:rPr>
          <w:rFonts w:ascii="Times New Roman;sans-serif" w:hAnsi="Times New Roman;sans-serif"/>
          <w:b w:val="false"/>
          <w:color w:val="000000"/>
          <w:sz w:val="24"/>
        </w:rPr>
        <w:t xml:space="preserve">. Executive may terminate his employment hereunder for any reason, including, but not limited to, Good Reason in accordance with Subparagraph 8(e)(ii). If Executive’s employment is terminated by Executive other than for Good Reason, then the Company shall, through the Date of Termination, pay Executive his accrued and unpaid Base Salary. Thereafter, the Company shall have no further obligations to Executive except as otherwise expressly provided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any such termination shall not adversely affect or alter Executive’s rights under any employee benefit plan of the Company in which Executive, at the Date of Termination, has a vested interest. The vesting and exercise of any stock options and the forfeitability of any stock-based grants held by Executive shall be governed by the terms of the Stock Plan and the related agreements between Executive and the Company.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u w:val="single"/>
        </w:rPr>
        <w:t>Qualified Retirement</w:t>
      </w:r>
      <w:r>
        <w:rPr>
          <w:rFonts w:ascii="Times New Roman;sans-serif" w:hAnsi="Times New Roman;sans-serif"/>
          <w:b w:val="false"/>
          <w:color w:val="000000"/>
          <w:sz w:val="24"/>
        </w:rPr>
        <w:t>. As of the Effective Date, Executive is at least 62 years of age and has completed at least ten (10) years of employment with the Company, such that all Annual Equity Incentive Awards, which, prior to the Effective Date, have been granted and are outstanding, or that, after the Effective Date, may be granted, to Executive shall continue to provide, or shall be deemed to provide, for the following:</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Regardless of whether Executive remains employed by the Company, the full number of LTIP units (and/or the full number of shares of common stock or other equity-based awards, if applicable) Executive earns (if any) under any Annual Equity Incentive Awards with performance-based vesting (e.g., a Multi-Year Long-Term Incentive Program award) (“</w:t>
      </w:r>
      <w:r>
        <w:rPr>
          <w:rFonts w:ascii="Times New Roman;sans-serif" w:hAnsi="Times New Roman;sans-serif"/>
          <w:b w:val="false"/>
          <w:color w:val="000000"/>
          <w:sz w:val="24"/>
          <w:u w:val="single"/>
        </w:rPr>
        <w:t>Performance Awards</w:t>
      </w:r>
      <w:r>
        <w:rPr>
          <w:color w:val="000000"/>
        </w:rPr>
        <w:t>”</w:t>
      </w:r>
      <w:r>
        <w:rPr>
          <w:rFonts w:ascii="Times New Roman;sans-serif" w:hAnsi="Times New Roman;sans-serif"/>
          <w:b w:val="false"/>
          <w:color w:val="000000"/>
          <w:sz w:val="24"/>
        </w:rPr>
        <w:t>) shall be determined in the same manner and at the same time as it otherwise would have been the case if Executive had remained employed by the Company through the full vesting period for the applicable Performance Award, including without limitation with respect to performance hurdles and lapse of restrictions on transfer, without any proration of the award due to service time, and with any service-based vesting requirements deemed satisfied over the relevant service-vesting schedule. The benefits of the immediately preceding sentence are referred to below as “</w:t>
      </w:r>
      <w:r>
        <w:rPr>
          <w:rFonts w:ascii="Times New Roman;sans-serif" w:hAnsi="Times New Roman;sans-serif"/>
          <w:b w:val="false"/>
          <w:color w:val="000000"/>
          <w:sz w:val="24"/>
          <w:u w:val="single"/>
        </w:rPr>
        <w:t>Performance Award Enhancements</w:t>
      </w:r>
      <w:r>
        <w:rPr>
          <w:rFonts w:ascii="Times New Roman;sans-serif" w:hAnsi="Times New Roman;sans-serif"/>
          <w:b w:val="false"/>
          <w:color w:val="000000"/>
          <w:sz w:val="24"/>
        </w:rPr>
        <w:t xml:space="preserve">.”  The period for which the covenants set forth in Paragraph 10 are applicable shall be extended as set forth in Paragraph 10;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Executive may waive the Performance Award Enhancements with respect to one or more Performance Awards and thereby affect the length of the period for which such covenants are applicable, as provided in Paragraph 10.  To be effective, such waiver must be effected by written notice before the date of the commencement of any activities otherwise prohibited by Paragraph 10; and</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Annual Equity Incentive Awards with time-based vesting shall be deemed fully vested upon grant (without proration) and exercisable or nonforfeitable, as applicable.  For the avoidance of doubt, (x) such vesting shall not be construed to affect restrictions on transfer (if any) provided in the applicable award agreement and the (y) vesting of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any Performance Award covered by Performance Award Enhancements shall be governed by Subparagraph 8(g)(i) above and not by this Subparagraph 8(g)(ii).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the foregoing, upon a Qualified Retirement, Executive shall be entitled to a prorated portion of the Annual Bonus Executive would have received in respect of the year in which the Date of Termination occurs, if Executive’s employment had not terminated prior to payment thereof, with such prorated portion based on the number of days during the calendar year that Executive was employed, relative to the full calendar year, with such prorated Annual Bonus amount to be paid in cash no later than March 15 of the following year.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u w:val="single"/>
        </w:rPr>
        <w:t>Expiration of the Term</w:t>
      </w:r>
      <w:r>
        <w:rPr>
          <w:rFonts w:ascii="Times New Roman;sans-serif" w:hAnsi="Times New Roman;sans-serif"/>
          <w:b w:val="false"/>
          <w:color w:val="000000"/>
          <w:sz w:val="24"/>
        </w:rPr>
        <w:t>. For the avoidance of doubt, the expiration of the Term of this Agreement on the Expiration Date (i) will not constitute or result in a termination of employment by the Company without Cause or termination of employment by Executive for Good Reason, and Executive acknowledges that the severance provisions of Paragraphs 8 (other than Subparagraph 8(g)) and 9 shall not apply and (ii) will constitute a Qualified Retirement for purposes of application of Section 8(g) above. In addition, notwithstanding the expiration of the Term of this Agreement on the Expiration Date and consistent with the Company’s historical practice in respect of retiring executives, in 2027 Executive shall receive an Annual Equity Incentive Award(s) in respect of Executive’s services provided during calendar year 2026, and the terms and conditions of such awards, including the grant date target value and, generally, the type(s) of awards, shall be determined in the discretion of the Compensation Committee, subject only to the other conditions for such awards contained in Paragraph 3(c)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xml:space="preserve">. Without regard to the reason for the termination of Executive’s employment hereunder, Executive shall be under no obligation to mitigate damages with respect to such termination under any circumstances and in the event Executive is employed or receives income from any other source, there shall be no offset against the amounts due from the Company hereunder.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9.</w:t>
      </w:r>
      <w:r>
        <w:rPr>
          <w:rFonts w:ascii="Times New Roman;sans-serif" w:hAnsi="Times New Roman;sans-serif"/>
          <w:b w:val="false"/>
          <w:color w:val="000000"/>
          <w:sz w:val="24"/>
          <w:u w:val="single"/>
        </w:rPr>
        <w:t>Change in Control Payment</w:t>
      </w:r>
      <w:r>
        <w:rPr>
          <w:rFonts w:ascii="Times New Roman;sans-serif" w:hAnsi="Times New Roman;sans-serif"/>
          <w:b w:val="false"/>
          <w:color w:val="000000"/>
          <w:sz w:val="24"/>
        </w:rPr>
        <w:t xml:space="preserve">. The provisions of this Paragraph 9 set forth certain terms of an agreement reached between Executive and the Company regarding Executive’s rights and obligations upon the occurrence of a Change in Control of the Company. These provisions are intended to assure and encourage in advance Executive’s continued attention and dedication to his assigned duties and his objectivity during the pendency and after the occurrence of any such event. These provisions shall apply in lieu of, and expressly supersede, the provisions of Subparagraph 8(e) regarding severance pay and benefits upon an involuntary termination of employment, if such termination of employment occurs during the Term upon or within twenty-four (24) months after the occurrence of the first event constituting a Change in Control. These provisions shall terminate and be of no further force or effect beginning twenty-four (24) months after the occurrence of a Change in Control, at which point the provisions of Subparagraph 8(e) shall again become effective in accordance with their terms. For the avoidance of doubt, Executive’s Change in Control benefits shall be governed solely by this Paragraph 9, and Executive shall not participate in any Change in Control severance plans or programs maintained by the Company.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Change in Control Benefits</w:t>
      </w:r>
      <w:r>
        <w:rPr>
          <w:rFonts w:ascii="Times New Roman;sans-serif" w:hAnsi="Times New Roman;sans-serif"/>
          <w:b w:val="false"/>
          <w:color w:val="000000"/>
          <w:sz w:val="24"/>
        </w:rPr>
        <w:t xml:space="preserve">. During the Term, if upon or within twenty-four (24) months after a Change in Control, Executive’s employment is terminated by the Company without Cause or Executive terminates his employment for Good Reason, then the Company shall, through the Date of Termination, pay Executive his accrued and unpaid Base Salary and his target bonus for the calendar year of termination, prorated for the number of days actually employed in the then current calendar year, to the extent unpaid on the Date of Termination. In addition,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6"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all stock options and other stock-based awards with time-based vesting held by Executive shall immediately accelerate and become fully exercisable or nonforfeitable;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all stock options and other stock-based awards with performance-based vesting held by Executive shall become exercisable or nonforfeitable to the extent provided in the applicable award agreements;</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the Company shall pay Executive a lump sum in cash in an amount equal to three (3) times the sum of (x) his annual Base Salary under Subparagraph 3(a) (or Executive’s Base Salary in effect immediately prior to the Change in Control, if higher) and (y) Executive’s average annual cash bonus under Subparagraph 3(b) received with respect to the three (3) calendar years preceding the Change in Control, with the bonus in respect of the calendar year immediately preceding the Change in Control being deemed the target bonus for such year if the Change in Control occurs before the bonus in respect of such calendar year has been paid (or, if greater than such three-year average bonus, Executive’s target bonus under Paragraph 3(b) hereof). Such amount shall be paid in one lump sum payment on the Date of 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Change in Control does not constitute a change in the ownership or effective control of the Company, or in the ownership of a substantial portion of the assets of the Company, within the meaning of Section 409A of the Code, the amount of cash severance payable under this Subparagraph equal to the Severance Amount under Subparagraph 8(e)(iii)(A) shall be paid in equal installments in accordance with the Company’s then payroll practice over a twenty-four (24) month period beginning with the first payroll date that occurs thirty (30) days after the Date of Termination, and the balance shall be paid in a lump sum payment on the Date of Termination. Solely for purposes of Section 409A of the Code, each installment payment is considered a separate payment;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(iv)</w:t>
      </w:r>
      <w:r>
        <w:rPr>
          <w:rFonts w:ascii="Times New Roman;sans-serif" w:hAnsi="Times New Roman;sans-serif"/>
          <w:b w:val="false"/>
          <w:color w:val="000000"/>
          <w:sz w:val="24"/>
        </w:rPr>
        <w:t xml:space="preserve">for a period of thirty-six (36) months following the Date of Termination or until Executive becomes covered under a group health plan of another employer, whichever is earlier, subject to Executive’s continued copayment of premium amounts in amounts consistent with that applicable to active employees, Executive, Executive’s spouse and dependents shall continue to participate in the Company’s health insurance plan (medical, dental and vision) upon the same terms and conditions in effect for other executives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the continuation of health benefits under this Subparagraph shall reduce and count against the rights of Executive, Executive’s spouse and dependents under COBRA, and (y) the value of premiums paid by the Company shall be reported as taxable income to Executive to the extent required by applicable law in order for the benefits received by Executive’s spouse and dependents to be non-taxable or to avoid imposition of penalty taxes on the Company pursuant to the Patient Protection and Affordable Care Act; </w:t>
      </w:r>
      <w:r>
        <w:rPr>
          <w:rFonts w:ascii="Times New Roman;sans-serif" w:hAnsi="Times New Roman;sans-serif"/>
          <w:b w:val="false"/>
          <w:color w:val="000000"/>
          <w:sz w:val="24"/>
          <w:u w:val="single"/>
        </w:rPr>
        <w:t xml:space="preserve">provided, further, however, </w:t>
      </w:r>
      <w:r>
        <w:rPr>
          <w:rFonts w:ascii="Times New Roman;sans-serif" w:hAnsi="Times New Roman;sans-serif"/>
          <w:b w:val="false"/>
          <w:color w:val="000000"/>
          <w:sz w:val="24"/>
        </w:rPr>
        <w:t xml:space="preserve">if the applicable 36-month period exceeds Executive’s (or his spouse’s or dependent’s) maximum health continuation period under COBRA, the Company shall pay to Executive a monthly cash payment in an amount equal to the monthly employer contribution paid by the Company during Executive’s COBRA health continuation period for the remainder of the applicable 36-month period. For the avoidance of doubt, the value of any such monthly cash payments paid by the Company upon expiration of Executive’s (or his spouse’s or dependent’s) COBRA health continuation period shall be reported as taxable income to Executive; and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(v)</w:t>
      </w:r>
      <w:r>
        <w:rPr>
          <w:rFonts w:ascii="Times New Roman;sans-serif" w:hAnsi="Times New Roman;sans-serif"/>
          <w:b w:val="false"/>
          <w:color w:val="000000"/>
          <w:sz w:val="24"/>
        </w:rPr>
        <w:t xml:space="preserve">the Company shall reimburse Executive for financial counseling, tax preparation assistance and out-placement counseling for thirty-six (36) months after the Date of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7"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Additional Limitation</w:t>
      </w:r>
      <w:r>
        <w:rPr>
          <w:rFonts w:ascii="Times New Roman;sans-serif" w:hAnsi="Times New Roman;sans-serif"/>
          <w:b w:val="false"/>
          <w:color w:val="000000"/>
          <w:sz w:val="24"/>
        </w:rPr>
        <w:t>.</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xml:space="preserve">), would be subject to the Excise Tax, the following provisions shall apply: </w:t>
      </w:r>
    </w:p>
    <w:p>
      <w:pPr>
        <w:pStyle w:val="TextBody"/>
        <w:bidi w:val="0"/>
        <w:spacing w:lineRule="auto" w:line="240" w:before="0" w:after="240"/>
        <w:ind w:left="0" w:right="0" w:firstLine="288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If the Payments, reduced by the sum of (1) the Excise Tax and (2) the total of the Federal, state, and local income and employment taxes payable by Executive on the amount of the Payments which are in excess of the Threshold Amount, are greater than or equal to the Threshold Amount, Executive shall be entitled to the full benefits payable under this Agreement. </w:t>
      </w:r>
    </w:p>
    <w:p>
      <w:pPr>
        <w:pStyle w:val="TextBody"/>
        <w:bidi w:val="0"/>
        <w:spacing w:lineRule="auto" w:line="240" w:before="0" w:after="240"/>
        <w:ind w:left="0" w:right="0" w:firstLine="288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If the Threshold Amount is less than (x) the Payments, but greater than (y) the Payments reduced by the sum of (1) the Excise Tax and (2) the total of the Federal, state, and local income and employment taxes on the amount of the Payments which are in excess of the Threshold Amount, then the Payments shall be reduced (but not below zero) to the minimum extent necessary so that the sum of all Payments shall not exceed the Threshold Amount. In such event, the Payments shall be reduced in the following order: (1) cash payments not subject to Section 409A of the Code; (2) cash payments subject to Section 409A of the Code (to the extent such reduction does not result in tax penalties to Executive); (3) equity-based payments and acceleration; and (4) non-cash forms of benefits;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in the case of all the foregoing payments all amounts or payments that are not subject to calculation under Treas. Reg. §1.280G-1, Q&amp;A-24(b) or (c) shall be reduced before any amounts that are subject to calculation under Treas. Reg. §1.280G-1, Q&amp;A-24(b) or (c). To the extent any payment is to be made over time (e.g., in installments, etc.), then the payments shall be reduced in reverse chronological order. No reductions shall be made under this Subclause (B) unless agreed by Executive.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For the purposes of this Subparagraph 9(b), “</w:t>
      </w:r>
      <w:r>
        <w:rPr>
          <w:rFonts w:ascii="Times New Roman;sans-serif" w:hAnsi="Times New Roman;sans-serif"/>
          <w:b w:val="false"/>
          <w:color w:val="000000"/>
          <w:sz w:val="24"/>
          <w:u w:val="single"/>
        </w:rPr>
        <w:t>Threshold Amount</w:t>
      </w:r>
      <w:r>
        <w:rPr>
          <w:color w:val="000000"/>
        </w:rPr>
        <w:t xml:space="preserve">” </w:t>
      </w:r>
      <w:r>
        <w:rPr>
          <w:rFonts w:ascii="Times New Roman;sans-serif" w:hAnsi="Times New Roman;sans-serif"/>
          <w:b w:val="false"/>
          <w:color w:val="000000"/>
          <w:sz w:val="24"/>
        </w:rPr>
        <w:t>shall mean three times Executive’s “base amount” within the meaning of Section 280G(b)(3) of the Code and the regulations promulgated thereunder less one dollar ($1.00); and “</w:t>
      </w:r>
      <w:r>
        <w:rPr>
          <w:rFonts w:ascii="Times New Roman;sans-serif" w:hAnsi="Times New Roman;sans-serif"/>
          <w:b w:val="false"/>
          <w:color w:val="000000"/>
          <w:sz w:val="24"/>
          <w:u w:val="single"/>
        </w:rPr>
        <w:t>Excise Tax</w:t>
      </w:r>
      <w:r>
        <w:rPr>
          <w:color w:val="000000"/>
        </w:rPr>
        <w:t xml:space="preserve">” </w:t>
      </w:r>
      <w:r>
        <w:rPr>
          <w:rFonts w:ascii="Times New Roman;sans-serif" w:hAnsi="Times New Roman;sans-serif"/>
          <w:b w:val="false"/>
          <w:color w:val="000000"/>
          <w:sz w:val="24"/>
        </w:rPr>
        <w:t xml:space="preserve">shall mean the excise tax imposed by Section 4999 of the Code, and any interest or penalties incurred by Executive with respect to such excise tax. </w:t>
      </w:r>
    </w:p>
    <w:p>
      <w:pPr>
        <w:pStyle w:val="TextBody"/>
        <w:bidi w:val="0"/>
        <w:spacing w:lineRule="auto" w:line="240" w:before="0" w:after="240"/>
        <w:ind w:left="0" w:right="0" w:firstLine="216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The determination as to which of the alternative provisions of Subparagraph 9(b)(i) shall apply to Executive shall be made by a nationally recognized accounting firm selected by the Company, which does not provide services to the acquirer or other counter-party in the transaction to which this Paragraph 9(b) applies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xml:space="preserve">), which shall provide detailed supporting calculations both to the Company and Executive within 15 business days of the Date of Termination, if applicable, or at such earlier time as is reasonably requested by the Company or Executive. For purposes of determining which of the alternative provisions of Subparagraph 9(b)(i)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Executive’s residence on the Date of Termination, net of the maximum reduction in federal income taxes which could be obtained from deduction of such state and local taxes. In making its determinations under this Paragraph 9(b), the Accounting Firm shall value the noncompetition obligations of Executive described in Section 10 and take into account the maximum extent to which such value may be used to reduce the value of the Payments which otherwise could be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8"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Excise Tax. Subject to the last sentence of Subclause 9(b)(i)(B), any determination by the Accounting Firm shall be binding upon the Company and Executive.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 xml:space="preserve">shall have the same meaning as defined in the Stock Plan, as amended from time to time.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10.</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xml:space="preserve">. Because Executive’s services to the Company are special and because Executive has access to the Company’s confidential information, Executive covenants and agrees that during Executive’s employment with the Company and until the Restricted Period End Date, as defined below, Executive shall not, without the prior written consent of the Company (which shall be authorized by approval of the Board of Directors of the Company, including the approval of a majority of the independent Directors of the Company), directly or indirectly: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participate as a significant owner of, or perform services as an officer, executive, director or other senior leadership position of, any business that owns, develops and manages primarily commercial office space real estate property (the “</w:t>
      </w:r>
      <w:r>
        <w:rPr>
          <w:rFonts w:ascii="Times New Roman;sans-serif" w:hAnsi="Times New Roman;sans-serif"/>
          <w:b w:val="false"/>
          <w:color w:val="000000"/>
          <w:sz w:val="24"/>
          <w:u w:val="single"/>
        </w:rPr>
        <w:t>BXP Business</w:t>
      </w:r>
      <w:r>
        <w:rPr>
          <w:color w:val="000000"/>
        </w:rPr>
        <w:t>”</w:t>
      </w:r>
      <w:r>
        <w:rPr>
          <w:rFonts w:ascii="Times New Roman;sans-serif" w:hAnsi="Times New Roman;sans-serif"/>
          <w:b w:val="false"/>
          <w:color w:val="000000"/>
          <w:sz w:val="24"/>
        </w:rPr>
        <w:t xml:space="preserve">) on the Date of Termination;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intentionally interfere with, disrupt or attempt to disrupt the relationship, contractual or otherwise, between the Company or its affiliates and any BXP Business tenants or employees of the Company or its affiliates, either for himself or for any other business, operation, corporation, partnership, association, agency, or other person or entity.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Restricted Period End Date</w:t>
      </w:r>
      <w:r>
        <w:rPr>
          <w:color w:val="000000"/>
        </w:rPr>
        <w:t xml:space="preserve">” </w:t>
      </w:r>
      <w:r>
        <w:rPr>
          <w:rFonts w:ascii="Times New Roman;sans-serif" w:hAnsi="Times New Roman;sans-serif"/>
          <w:b w:val="false"/>
          <w:color w:val="000000"/>
          <w:sz w:val="24"/>
        </w:rPr>
        <w:t xml:space="preserve">shall mean the later of (i) the end date of the one-year period immediately following the termination of Executive’s employment with the Company for any reason or (ii) the latest date of full vesting applicable to any Performance Award under the terms of the applicable Performance Award for which the Performance Award Enhancements have not been waived by Executive pursuant to Subparagraph 8(g)(i) before the commencement of any activities otherwise prohibited by this Paragraph 10. For the avoidance of doubt, the “latest date of full vesting applicable to any Performance Award” means the date on which all vesting requirements have been satisfied and all restrictions on transfer have expired under the terms of the Performance Award without respect to the terms of Subparagraph 8(g)(i).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Paragraph 10 shall not be interpreted to prevent Executive from engaging in Minority Interest Passive Investments or any other activity permitted under Subparagraph 2(b). This Paragraph 10 shall survive the termination of this Agreement.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to the contrary herein, the noncompetition provision of this Paragraph 10 shall not apply if Executive’s employment terminates after a Change in Control.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11.</w:t>
      </w:r>
      <w:r>
        <w:rPr>
          <w:rFonts w:ascii="Times New Roman;sans-serif" w:hAnsi="Times New Roman;sans-serif"/>
          <w:b w:val="false"/>
          <w:color w:val="000000"/>
          <w:sz w:val="24"/>
          <w:u w:val="single"/>
        </w:rPr>
        <w:t>Conflicting Agreements</w:t>
      </w:r>
      <w:r>
        <w:rPr>
          <w:rFonts w:ascii="Times New Roman;sans-serif" w:hAnsi="Times New Roman;sans-serif"/>
          <w:b w:val="false"/>
          <w:color w:val="000000"/>
          <w:sz w:val="24"/>
        </w:rPr>
        <w:t xml:space="preserve">. Executive hereby represents and warrants that the execution of this Agreement and the performance of his obligations hereunder will not breach or be in conflict with any other agreement to which he is a party or is bound, and that he is not now subject to any covenants against competition or similar covenants which would affect the performance of his obligations hereunder.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requests, demands, and other communications under this Agreement shall be in writing and shall be deemed duly given (i) if delivered by hand and receipted for by the party addressee, on the date of such receipt or (ii) if mailed by domestic certified or registered mail with postage prepaid, on the third business day after the date postmarked. Address for notice for the Company is as shown above, or as subsequently modified by written notice. Address for notice for Executive is the address shown on the records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9"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13.</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xml:space="preserve">. This Agreement constitutes the entire agreement between the parties with respect to the subject matter hereof and supersedes all prior agreements between the parties with respect to any related subject matter, including without limitation the 2013 Agreement, 2018 Agreement, the Stock Plan and any Equity Incentive Awards or other long-term incentive compensation award agreement (including any such award agreements that may be granted on or after the Effective Date, and, to the extent the Clawback Policy, Supplemental Clawback Policy and/or Draft Policy or any other plan, policy, award or agreement (in any such case which may be offered to the Executive or otherwise in effect on or after the Effective Date) contains restrictive covenants of the nature of those contained in Section 10 of this Agreement, the covenants set forth in such Section 10 shall govern for all purposes under any such plan, policy, award and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Indemnification Agreement by and among the Company, BBLP and Executive of December 10, 2019, as amended from time to time, shall remain in full force and effect hereafter.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14.</w:t>
      </w:r>
      <w:r>
        <w:rPr>
          <w:rFonts w:ascii="Times New Roman;sans-serif" w:hAnsi="Times New Roman;sans-serif"/>
          <w:b w:val="false"/>
          <w:color w:val="000000"/>
          <w:sz w:val="24"/>
          <w:u w:val="single"/>
        </w:rPr>
        <w:t>Assignment; Successors and Assigns, etc</w:t>
      </w:r>
      <w:r>
        <w:rPr>
          <w:rFonts w:ascii="Times New Roman;sans-serif" w:hAnsi="Times New Roman;sans-serif"/>
          <w:b w:val="false"/>
          <w:color w:val="000000"/>
          <w:sz w:val="24"/>
        </w:rPr>
        <w:t xml:space="preserve">. Neither the Company nor Executive may make any assignment of this Agreement or any interest herein, by operation of law or otherwise, without the prior written consent of the other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 may assign its rights under this Agreement without the consent of Executive to a solvent successor to substantially all of the business of the Company in the event that the Company shall effect a reorganization, consolidate with or merge into any other corporation, partnership, organization or other entity, or transfer all or substantially all of its properties or assets to any other corporation, partnership, organization or other entity. This Agreement shall inure to the benefit of and be binding upon the Company and Executive, their respective successors, executors, administrators, heirs and permitted assigns.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15.</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Headings herein are for convenience of reference only and shall not define, limit or interpret the contents hereof.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16.</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xml:space="preserve">. This Agreement may be amended, modified or supplemented by the mutual consent of the parties in writing, but no oral amendment, modification or supplement shall be effective.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17.</w:t>
      </w:r>
      <w:r>
        <w:rPr>
          <w:rFonts w:ascii="Times New Roman;sans-serif" w:hAnsi="Times New Roman;sans-serif"/>
          <w:b w:val="false"/>
          <w:color w:val="000000"/>
          <w:sz w:val="24"/>
          <w:u w:val="single"/>
        </w:rPr>
        <w:t>Arbitration; Other Disputes</w:t>
      </w:r>
      <w:r>
        <w:rPr>
          <w:rFonts w:ascii="Times New Roman;sans-serif" w:hAnsi="Times New Roman;sans-serif"/>
          <w:b w:val="false"/>
          <w:color w:val="000000"/>
          <w:sz w:val="24"/>
        </w:rPr>
        <w:t xml:space="preserve">. Any dispute or controversy arising under or in connection with this Agreement shall be settled exclusively by arbitration in Boston, Massachusetts, in accordance with the rules of the American Arbitration Association then in effect. Judgment may be entered in any court having jurisdiction. Notwithstanding the above, the Company shall be entitled to seek a restraining order or injunction in any court of competent jurisdiction to prevent any continuation of any violation of Paragraphs 7 or 10 hereof. In the event that the Company terminates Executive’s employment for Cause under Subparagraph 8(d)(i) and Executive only contention is that Cause did not exist, then the Company’s only obligation shall be to submit such claim to arbitration and the only issue before the arbitrator will be whether Executive was in fact terminated for Cause. If the arbitrator determines that Executive was not terminated for Cause by the Company, then the only remedies that the arbitrator may award are the payments and benefits provided under Paragraph 8 or Paragraph 9, whichever is applicable, and reasonable legal fees. If the arbitrator finds that Executive was terminated for Cause, the arbitrator will be without authority to award Executive anything, and the parties will each be responsible for their own attorneys’ fees, and they will divide the costs of arbitration equally. Furthermore, should a dispute occur concerning Executive’s mental or physical capacity as described in Subparagraph 8(c), a doctor selected by Executive and a doctor selected by the Company shall be entitled to examine Executive. If the opinion of the Company’s doctor and Executive’s doctor conflict, the Company’s doctor and Executive’s doctor shall together agree upon a third doctor, whose opinion shall be binding. Notwithstanding the foregoing, Executive shall be entitled to all reasonable legal and arbitration fees incurred in obtaining or enforcing any right or benefit under this Agreement (i) prior to a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30"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Change in Control, if Executive prevails on at least one material issue in dispute, and (ii) on or after a Change in Control, except in cases involving frivolous or bad faith claims initiated by Executive. This Paragraph 17 shall survive the termination of this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18.</w:t>
      </w:r>
      <w:r>
        <w:rPr>
          <w:rFonts w:ascii="Times New Roman;sans-serif" w:hAnsi="Times New Roman;sans-serif"/>
          <w:b w:val="false"/>
          <w:color w:val="000000"/>
          <w:sz w:val="24"/>
          <w:u w:val="single"/>
        </w:rPr>
        <w:t>Litigation and Regulatory Cooperation</w:t>
      </w:r>
      <w:r>
        <w:rPr>
          <w:rFonts w:ascii="Times New Roman;sans-serif" w:hAnsi="Times New Roman;sans-serif"/>
          <w:b w:val="false"/>
          <w:color w:val="000000"/>
          <w:sz w:val="24"/>
        </w:rPr>
        <w:t xml:space="preserve">. During and after Executive’s employment, Executive shall reasonably cooperate with the Company in the defense or prosecution of any claims or actions now in existence or which may be brought in the future against or on behalf of the Company which relate to events or occurrences that transpired while Executive was employed by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cooperation shall not materially and adversely affect Executive or expose Executive to an increased probability of civil or criminal litigation. Executive’s cooperation in connection with such claims or actions shall include, without limitation, being available to meet with counsel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also provide Executive with compensation on an hourly basis calculated at his final base compensation rate for requested litigation and regulatory cooperation that occurs after his termination of employment, and reimburse Executive for all costs and expenses incurred in connection with his performance under this Paragraph 18, including, without limitation, reasonable attorneys’ fees and costs.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19.</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provision of this Agreement shall to any extent be held void or unenforceable (as to duration, scope, activity, subject or otherwise) by a court of competent jurisdiction, such provision shall be deemed to be modified so as to constitute a provision conforming as nearly as possible to the original provision while still remaining valid and enforceable. In such event, the remainder of this Agreement (or the application of such provision to persons or circumstances other than those in respect of which it is deemed to be void or unenforceable) shall not be affected thereby. Each other provision of this Agreement, unless specifically conditioned on the voided aspect of such provision, shall remain valid and enforceable to the fullest extent permitted by law; any other provisions of this Agreement that are specifically conditioned on the voided aspect of such invalid provision shall also be deemed to be modified so as to constitute a provision conforming as nearly as possible to the original provision while still remaining valid and enforceable to the fullest extent permitted by law.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20.</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This Agreement shall be construed and regulated in all respects under the laws of the State of Delaware without reference to principles of conflict of laws.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21.</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on account of Executive’s separation from service would be considered “non-qualified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31"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22.</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any number of counterparts, each of which when so executed and delivered shall be taken to be an original; but such counterparts shall together constitute one and the same document.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23.</w:t>
      </w:r>
      <w:r>
        <w:rPr>
          <w:rFonts w:ascii="Times New Roman;sans-serif" w:hAnsi="Times New Roman;sans-serif"/>
          <w:b w:val="false"/>
          <w:color w:val="000000"/>
          <w:sz w:val="24"/>
          <w:u w:val="single"/>
        </w:rPr>
        <w:t>Advisor’s Fees</w:t>
      </w:r>
      <w:r>
        <w:rPr>
          <w:rFonts w:ascii="Times New Roman;sans-serif" w:hAnsi="Times New Roman;sans-serif"/>
          <w:b w:val="false"/>
          <w:color w:val="000000"/>
          <w:sz w:val="24"/>
        </w:rPr>
        <w:t>. The Company shall pay Executive’s reasonable advisor fees (legal and tax) incurred in connection with the contemplation, preparation, negotiation and execution of this Agreement up to a maximum of $25,000.</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24.</w:t>
      </w:r>
      <w:r>
        <w:rPr>
          <w:rFonts w:ascii="Times New Roman;sans-serif" w:hAnsi="Times New Roman;sans-serif"/>
          <w:b w:val="false"/>
          <w:color w:val="000000"/>
          <w:sz w:val="24"/>
          <w:u w:val="single"/>
        </w:rPr>
        <w:t>Clawback Acknowledgements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Executive acknowledges and agrees that this Agreement and certain payments hereunder are subject to (i) any clawback, forfeiture or other similar policy adopted by the Board of Directors or Compensation Committee thereof and as in effect from time to time, including, without limitation, the Company’s Compensation Recovery Policy, as may be adopted, amended and/or restated from time to time (the “</w:t>
      </w:r>
      <w:r>
        <w:rPr>
          <w:rFonts w:ascii="Times New Roman;sans-serif" w:hAnsi="Times New Roman;sans-serif"/>
          <w:b w:val="false"/>
          <w:color w:val="000000"/>
          <w:sz w:val="24"/>
          <w:u w:val="single"/>
        </w:rPr>
        <w:t>Clawback Policy</w:t>
      </w:r>
      <w:r>
        <w:rPr>
          <w:color w:val="000000"/>
        </w:rPr>
        <w:t>”</w:t>
      </w:r>
      <w:r>
        <w:rPr>
          <w:rFonts w:ascii="Times New Roman;sans-serif" w:hAnsi="Times New Roman;sans-serif"/>
          <w:b w:val="false"/>
          <w:color w:val="000000"/>
          <w:sz w:val="24"/>
        </w:rPr>
        <w:t>) or any supplemental such policy that may be adopted, amended and/or restated from time to time (the “</w:t>
      </w:r>
      <w:r>
        <w:rPr>
          <w:rFonts w:ascii="Times New Roman;sans-serif" w:hAnsi="Times New Roman;sans-serif"/>
          <w:b w:val="false"/>
          <w:color w:val="000000"/>
          <w:sz w:val="24"/>
          <w:u w:val="single"/>
        </w:rPr>
        <w:t>Supplemental Clawback Policy</w:t>
      </w:r>
      <w:r>
        <w:rPr>
          <w:color w:val="000000"/>
        </w:rPr>
        <w:t>”</w:t>
      </w:r>
      <w:r>
        <w:rPr>
          <w:rFonts w:ascii="Times New Roman;sans-serif" w:hAnsi="Times New Roman;sans-serif"/>
          <w:b w:val="false"/>
          <w:color w:val="000000"/>
          <w:sz w:val="24"/>
        </w:rPr>
        <w:t xml:space="preserve">); and (ii) applicable law.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Executive has received and has had an opportunity to review the Clawback Policy and the Supplemental Clawback Policy, or any draft in existence as of the Effective Date (any such draft, a “</w:t>
      </w:r>
      <w:r>
        <w:rPr>
          <w:rFonts w:ascii="Times New Roman;sans-serif" w:hAnsi="Times New Roman;sans-serif"/>
          <w:b w:val="false"/>
          <w:color w:val="000000"/>
          <w:sz w:val="24"/>
          <w:u w:val="single"/>
        </w:rPr>
        <w:t>Draft Policy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In consideration of this Agreement and the payments hereunder, Executive further acknowledges and agrees that: (i) all Incentive-Based Compensation (as such term shall be defined in any applicable Clawback Policy, Supplemental Clawback Policy and/or Draft Policy) received by Executive after the effective date of any applicable Clawback Policy and/or Supplemental Clawback Policy is subject to recovery pursuant to the applicable policy, and (ii) any action by the Company to recover Erroneously Awarded Compensation (as such term shall be defined in any applicable Clawback Policy, Supplemental Clawback Policy and/or Draft Policy) from Executive shall not, whether alone or in combination with any other action, event or condition, be deemed (A) “good reason” for resignation or to serve as a basis for a claim of constructive termination under any benefits or compensation arrangement applicable to Executive (including without limitation this Agreement), or (B) to constitute a breach of any contract or other arrangement to which such Executive is party.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Executive acknowledges and agrees that Executive is not entitled to indemnification for any recovery pursuant to the Clawback Policy and/or any Supplemental Clawback Policy, as applicable, and, to the extent any agreement or organizational document purports to provide otherwise, Executive hereby irrevocably agrees to forego such indemnification.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color w:val="000000"/>
        </w:rPr>
        <w:t xml:space="preserve"> </w:t>
      </w:r>
      <w:r>
        <w:rPr>
          <w:rFonts w:ascii="Times New Roman;sans-serif" w:hAnsi="Times New Roman;sans-serif"/>
          <w:b w:val="false"/>
          <w:color w:val="000000"/>
          <w:sz w:val="24"/>
        </w:rPr>
        <w:t>Executive acknowledges and agrees to take all required action in a reasonably prompt manner, as applicable, to enable any reduction, cancellation, forfeiture or recoupment of the payments hereunder and any other Incentive-Based Compensation in order to enable the enforcement of the Clawback Policy, any Supplemental Clawback Policy and applicable law.</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this Agreement is entered into as of the date and year first above written. </w:t>
      </w:r>
    </w:p>
    <w:p>
      <w:pPr>
        <w:pStyle w:val="TextBody"/>
        <w:bidi w:val="0"/>
        <w:spacing w:before="0" w:after="240"/>
        <w:ind w:left="0" w:right="0" w:firstLine="720"/>
        <w:jc w:val="left"/>
        <w:rPr/>
      </w:pPr>
      <w:r>
        <w:rPr/>
      </w:r>
    </w:p>
    <w:p>
      <w:pPr>
        <w:pStyle w:val="TextBody"/>
        <w:bidi w:val="0"/>
        <w:spacing w:before="0" w:after="240"/>
        <w:jc w:val="left"/>
        <w:rPr/>
      </w:pPr>
      <w:r>
        <w:rPr/>
      </w:r>
    </w:p>
    <w:p>
      <w:pPr>
        <w:pStyle w:val="TextBody"/>
        <w:bidi w:val="0"/>
        <w:spacing w:before="0" w:after="0"/>
        <w:jc w:val="left"/>
        <w:rPr/>
      </w:pPr>
      <w:r>
        <w:rPr/>
      </w:r>
    </w:p>
    <w:tbl>
      <w:tblPr>
        <w:tblW w:w="7481" w:type="dxa"/>
        <w:jc w:val="center"/>
        <w:tblInd w:w="0" w:type="dxa"/>
        <w:tblLayout w:type="fixed"/>
        <w:tblCellMar>
          <w:top w:w="28" w:type="dxa"/>
          <w:left w:w="28" w:type="dxa"/>
          <w:bottom w:w="28" w:type="dxa"/>
          <w:right w:w="28" w:type="dxa"/>
        </w:tblCellMar>
      </w:tblPr>
      <w:tblGrid>
        <w:gridCol w:w="564"/>
        <w:gridCol w:w="496"/>
        <w:gridCol w:w="496"/>
        <w:gridCol w:w="1733"/>
        <w:gridCol w:w="1733"/>
        <w:gridCol w:w="2459"/>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r>
      <w:tr>
        <w:trPr/>
        <w:tc>
          <w:tcPr>
            <w:tcW w:w="7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BOSTON PROPERTIES, INC.</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Eric G. Kevorkian</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Eric G. Kevorkian</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Chief Legal Officer &amp; Secretary</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Owen D. Thomas</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Owen D. Thomas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EXHIBIT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Permitted Outside Positions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Lehman Brothers Holdings Inc.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Execution Version</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5"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92.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EXHIBIT B</w:t>
      </w:r>
    </w:p>
    <w:p>
      <w:pPr>
        <w:pStyle w:val="TextBody"/>
        <w:bidi w:val="0"/>
        <w:spacing w:lineRule="auto" w:line="240"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Release of Claims</w:t>
      </w:r>
    </w:p>
    <w:p>
      <w:pPr>
        <w:pStyle w:val="TextBody"/>
        <w:bidi w:val="0"/>
        <w:spacing w:lineRule="auto" w:line="240" w:before="0" w:after="240"/>
        <w:jc w:val="left"/>
        <w:rPr/>
      </w:pPr>
      <w:r>
        <w:rPr>
          <w:rFonts w:ascii="Times New Roman;sans-serif" w:hAnsi="Times New Roman;sans-serif"/>
          <w:b w:val="false"/>
          <w:color w:val="000000"/>
          <w:sz w:val="24"/>
        </w:rPr>
        <w:t>In exchange for and as a condition to the post-employment benefits provided to me contained in the Amended and Restated Employment Agreement between the Company and me dated November 4, 2023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 xml:space="preserve">), I agree as follows: </w:t>
      </w:r>
    </w:p>
    <w:p>
      <w:pPr>
        <w:pStyle w:val="TextBody"/>
        <w:bidi w:val="0"/>
        <w:spacing w:lineRule="auto" w:line="240" w:before="0" w:after="240"/>
        <w:jc w:val="left"/>
        <w:rPr/>
      </w:pPr>
      <w:r>
        <w:rPr>
          <w:rFonts w:ascii="Times New Roman;sans-serif" w:hAnsi="Times New Roman;sans-serif"/>
          <w:b w:val="false"/>
          <w:color w:val="000000"/>
          <w:sz w:val="24"/>
        </w:rPr>
        <w:t>I voluntarily release and forever discharge the Company, its affiliated and/or related entities, its and their respective predecessors, successors and assigns, its and their respective employee benefit plans and fiduciaries of such plans, and the current and former officers, directors, shareholders (but solely in their capacity as shareholders) and employees of each of the foregoing, and except as to shareholders, in their official and personal capacities (collectively referred to as the “</w:t>
      </w:r>
      <w:r>
        <w:rPr>
          <w:rFonts w:ascii="Times New Roman;sans-serif" w:hAnsi="Times New Roman;sans-serif"/>
          <w:b w:val="false"/>
          <w:color w:val="000000"/>
          <w:sz w:val="24"/>
          <w:u w:val="single"/>
        </w:rPr>
        <w:t>Releasees</w:t>
      </w:r>
      <w:r>
        <w:rPr>
          <w:color w:val="000000"/>
        </w:rPr>
        <w:t>”</w:t>
      </w:r>
      <w:r>
        <w:rPr>
          <w:rFonts w:ascii="Times New Roman;sans-serif" w:hAnsi="Times New Roman;sans-serif"/>
          <w:b w:val="false"/>
          <w:color w:val="000000"/>
          <w:sz w:val="24"/>
        </w:rPr>
        <w:t>) generally from all claims, demands, debts, damages and liabilities of every name and nature, known or unknown (“</w:t>
      </w:r>
      <w:r>
        <w:rPr>
          <w:rFonts w:ascii="Times New Roman;sans-serif" w:hAnsi="Times New Roman;sans-serif"/>
          <w:b w:val="false"/>
          <w:color w:val="000000"/>
          <w:sz w:val="24"/>
          <w:u w:val="single"/>
        </w:rPr>
        <w:t>Claims</w:t>
      </w:r>
      <w:r>
        <w:rPr>
          <w:color w:val="000000"/>
        </w:rPr>
        <w:t>”</w:t>
      </w:r>
      <w:r>
        <w:rPr>
          <w:rFonts w:ascii="Times New Roman;sans-serif" w:hAnsi="Times New Roman;sans-serif"/>
          <w:b w:val="false"/>
          <w:color w:val="000000"/>
          <w:sz w:val="24"/>
        </w:rPr>
        <w:t xml:space="preserve">), that, as of the date when I sign this Release of Claims, I have, ever had, now claim to have or ever claimed to have had against any or all of the Releasees relating to my employment by and separation from service with the Company, including without limitation any claim of: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wrongful discharge;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breach of any employment, compensation or related contract with any of the Releasees;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of retaliation or discrimination under federal, state or local law (including, without limitation, Claims of age discrimination or retaliation under the Age Discrimination in Employment Act, Claims of disability discrimination or retaliation under the Americans with Disabilities Act, Claims of discrimination or retaliation under Title VII of the Civil Rights Act of 1964 and Claims of discrimination or retaliation under the fair employment practices laws of the state or states in which I have been employed by the Company or its affiliates, each as amended from time to time);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under any other federal or state statute (including, but not limited to, the Employee Retirement Income Security Act of 1974, as amended);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of defamation or other torts;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of violation of public policy;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for wages, bonuses, incentive compensation, stock, stock options, vacation pay or any other compensation or benefits, whether based on a statute or otherwise; and </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4"/>
        </w:rPr>
        <w:t xml:space="preserve">for damages or other remedies of any sort, including, without limitation, compensatory damages, punitive damages, injunctive relief and attorney’s fees; </w:t>
      </w:r>
    </w:p>
    <w:p>
      <w:pPr>
        <w:pStyle w:val="TextBody"/>
        <w:bidi w:val="0"/>
        <w:spacing w:lineRule="auto" w:line="240" w:before="0" w:after="24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this Release of Claims shall not affect my rights as a terminated employee as of the date of termination of employment under the Company’s benefit and incentive plans and governing practices, including, but not limited to, my stock options, restricted stock, LTIP Units, performance awards, deferred compensation, employee stock purchase plans or my rights under the Employment Agreement. This Release of Claims will also not release the following claims: (a) any claim to enforce the Employment Agreement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Equity Incentive Award or for breach of the Employment Agreement or any Equity Incentive Award; (b) any claim for vested benefits pursuant to any Employee Retirement Income Security Act (ERISA) plan or other employee benefit plan, policy or arrangement in which I participate; (c) any claim for Workers’ Compensation benefits or COBRA benefits; (d) any right of indemnification or contribution that I have pursuant to the Indemnification Agreement between the Company, BPLP and me dated December 10, 2019 or any successor thereto, or pursuant to the Company’s Certificate of Incorporation, By-laws or other governance documents, or (e) any right to coverage I may have under any insurance coverage maintained by the Company or any of its affiliates, including without limitation directors and officers coverage.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further agree that I shall not seek or accept damages of any nature, other equitable or legal remedies for my own benefit, attorney’s fees or costs from any of the Releasees with respect to any Claim released hereunder.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acknowledge that I have been advised to consult with an attorney before signing this Release of Claims.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further understand that I have been given an adequate opportunity, if I so desired, to consider this Release of Claims for up to twenty-one (21) days before deciding whether to sign it. If I signed this Release of Claims before the expiration of that twenty-one (21) day period, I acknowledge that such decision was entirely voluntary. I understand that for a period of seven (7) days after I execute this Release of Claims I have the right to revoke it by a written notice to be received by the General Counsel of the Company by the end of that period. I also understand that this Release of Claims shall not be effective or enforceable until the expiration of that period. </w:t>
      </w:r>
    </w:p>
    <w:p>
      <w:pPr>
        <w:pStyle w:val="TextBody"/>
        <w:bidi w:val="0"/>
        <w:spacing w:lineRule="auto" w:line="240"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represent and agree that I have carefully read and fully understand all of the provisions of this Release of Claims and that I am voluntarily agreeing to such provisions. </w:t>
      </w:r>
    </w:p>
    <w:p>
      <w:pPr>
        <w:pStyle w:val="TextBody"/>
        <w:bidi w:val="0"/>
        <w:spacing w:before="0" w:after="0"/>
        <w:jc w:val="left"/>
        <w:rPr/>
      </w:pPr>
      <w:r>
        <w:rPr/>
      </w:r>
    </w:p>
    <w:tbl>
      <w:tblPr>
        <w:tblW w:w="2528" w:type="dxa"/>
        <w:jc w:val="right"/>
        <w:tblInd w:w="0" w:type="dxa"/>
        <w:tblLayout w:type="fixed"/>
        <w:tblCellMar>
          <w:top w:w="28" w:type="dxa"/>
          <w:left w:w="28" w:type="dxa"/>
          <w:bottom w:w="28" w:type="dxa"/>
          <w:right w:w="28" w:type="dxa"/>
        </w:tblCellMar>
      </w:tblPr>
      <w:tblGrid>
        <w:gridCol w:w="124"/>
        <w:gridCol w:w="109"/>
        <w:gridCol w:w="109"/>
        <w:gridCol w:w="604"/>
        <w:gridCol w:w="604"/>
        <w:gridCol w:w="6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Owen D. Thomas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7"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Inc.;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2669" w:type="dxa"/>
        <w:jc w:val="right"/>
        <w:tblInd w:w="0" w:type="dxa"/>
        <w:tblLayout w:type="fixed"/>
        <w:tblCellMar>
          <w:top w:w="28" w:type="dxa"/>
          <w:left w:w="28" w:type="dxa"/>
          <w:bottom w:w="28" w:type="dxa"/>
          <w:right w:w="28" w:type="dxa"/>
        </w:tblCellMar>
      </w:tblPr>
      <w:tblGrid>
        <w:gridCol w:w="854"/>
        <w:gridCol w:w="750"/>
        <w:gridCol w:w="1065"/>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Inc.;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6"/>
        <w:gridCol w:w="709"/>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spacing w:lineRule="auto" w:line="288" w:before="8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31.3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5070" w:type="dxa"/>
        <w:jc w:val="right"/>
        <w:tblInd w:w="0" w:type="dxa"/>
        <w:tblLayout w:type="fixed"/>
        <w:tblCellMar>
          <w:top w:w="28" w:type="dxa"/>
          <w:left w:w="28" w:type="dxa"/>
          <w:bottom w:w="28" w:type="dxa"/>
          <w:right w:w="28" w:type="dxa"/>
        </w:tblCellMar>
      </w:tblPr>
      <w:tblGrid>
        <w:gridCol w:w="1622"/>
        <w:gridCol w:w="1424"/>
        <w:gridCol w:w="2024"/>
      </w:tblGrid>
      <w:tr>
        <w:trPr/>
        <w:tc>
          <w:tcPr>
            <w:tcW w:w="16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Boston Properties, Inc.</w:t>
              <w:br/>
              <w:t>General Partner of Boston Properties Limited Partnership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5069" w:type="dxa"/>
        <w:jc w:val="right"/>
        <w:tblInd w:w="0" w:type="dxa"/>
        <w:tblLayout w:type="fixed"/>
        <w:tblCellMar>
          <w:top w:w="28" w:type="dxa"/>
          <w:left w:w="28" w:type="dxa"/>
          <w:bottom w:w="28" w:type="dxa"/>
          <w:right w:w="28" w:type="dxa"/>
        </w:tblCellMar>
      </w:tblPr>
      <w:tblGrid>
        <w:gridCol w:w="1622"/>
        <w:gridCol w:w="1425"/>
        <w:gridCol w:w="2022"/>
      </w:tblGrid>
      <w:tr>
        <w:trPr/>
        <w:tc>
          <w:tcPr>
            <w:tcW w:w="16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Boston Properties, Inc.</w:t>
              <w:br/>
              <w:t>General Partner of Boston Properties Limited Partnership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PURSUANT TO 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“Company”) hereby certifies to his knowledge that the Company’s Quarterly Report on Form 10-Q for the period ended September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2640" w:type="dxa"/>
        <w:jc w:val="righ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r>
              <w:rPr>
                <w:color w:val="000000"/>
              </w:rPr>
              <w:t>      </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spacing w:lineRule="auto" w:line="288" w:before="80" w:after="283"/>
        <w:jc w:val="lef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“Company”) hereby certifies to his knowledge that the Company's Quarterly Report on Form 10-Q for the period ended September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2609" w:type="dxa"/>
        <w:jc w:val="right"/>
        <w:tblInd w:w="0" w:type="dxa"/>
        <w:tblLayout w:type="fixed"/>
        <w:tblCellMar>
          <w:top w:w="28" w:type="dxa"/>
          <w:left w:w="28" w:type="dxa"/>
          <w:bottom w:w="28" w:type="dxa"/>
          <w:right w:w="28" w:type="dxa"/>
        </w:tblCellMar>
      </w:tblPr>
      <w:tblGrid>
        <w:gridCol w:w="834"/>
        <w:gridCol w:w="734"/>
        <w:gridCol w:w="1041"/>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32.3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sole general partner of Boston Properties Limited Partnership (the “Operating Partnership”), hereby certifies to his knowledge that the Operating Partnership's Quarterly Report on Form 10-Q for the period ended September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5070" w:type="dxa"/>
        <w:jc w:val="right"/>
        <w:tblInd w:w="0" w:type="dxa"/>
        <w:tblLayout w:type="fixed"/>
        <w:tblCellMar>
          <w:top w:w="28" w:type="dxa"/>
          <w:left w:w="28" w:type="dxa"/>
          <w:bottom w:w="28" w:type="dxa"/>
          <w:right w:w="28" w:type="dxa"/>
        </w:tblCellMar>
      </w:tblPr>
      <w:tblGrid>
        <w:gridCol w:w="1620"/>
        <w:gridCol w:w="1424"/>
        <w:gridCol w:w="2026"/>
      </w:tblGrid>
      <w:tr>
        <w:trPr/>
        <w:tc>
          <w:tcPr>
            <w:tcW w:w="16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Boston Properties, Inc.</w:t>
              <w:br/>
              <w:t>General Partner of Boston Properties Limited Partnership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32.4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sole general partner of Boston Properties Limited Partnership (the “Operating Partnership”), hereby certifies to his knowledge that the Operating Partnership’s Quarterly Report on Form 10-Q for the period ended September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tbl>
      <w:tblPr>
        <w:tblW w:w="5070" w:type="dxa"/>
        <w:jc w:val="right"/>
        <w:tblInd w:w="0" w:type="dxa"/>
        <w:tblLayout w:type="fixed"/>
        <w:tblCellMar>
          <w:top w:w="28" w:type="dxa"/>
          <w:left w:w="28" w:type="dxa"/>
          <w:bottom w:w="28" w:type="dxa"/>
          <w:right w:w="28" w:type="dxa"/>
        </w:tblCellMar>
      </w:tblPr>
      <w:tblGrid>
        <w:gridCol w:w="1621"/>
        <w:gridCol w:w="1426"/>
        <w:gridCol w:w="2023"/>
      </w:tblGrid>
      <w:tr>
        <w:trPr/>
        <w:tc>
          <w:tcPr>
            <w:tcW w:w="16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Boston Properties, Inc.</w:t>
              <w:br/>
              <w:t>General Partner of Boston Properties Limited Partnership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70779</Words>
  <Characters>392594</Characters>
  <CharactersWithSpaces>461625</CharactersWithSpaces>
  <Paragraphs>9425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