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20"/>
          </w:cols>
          <w:pgMar w:left="460" w:top="216" w:right="37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Einiger Carol B.</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500" w:type="dxa"/>
            <w:vAlign w:val="bottom"/>
          </w:tcPr>
          <w:p>
            <w:pPr>
              <w:ind w:left="28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C/O BOSTON PROPERTIES, INC.</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 BOYLSTON STREET</w:t>
            </w:r>
          </w:p>
        </w:tc>
        <w:tc>
          <w:tcPr>
            <w:tcW w:w="118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5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02199</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500" w:type="dxa"/>
            <w:vAlign w:val="bottom"/>
          </w:tcPr>
          <w:p>
            <w:pPr>
              <w:ind w:left="28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BOSTON PROPERTIES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BXP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2360" w:type="dxa"/>
            <w:vAlign w:val="bottom"/>
            <w:tcBorders>
              <w:top w:val="single" w:sz="8" w:color="0000EE"/>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05/30/2024</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20"/>
          </w:cols>
          <w:pgMar w:left="460" w:top="216"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LTIP</w:t>
            </w:r>
          </w:p>
        </w:tc>
        <w:tc>
          <w:tcPr>
            <w:tcW w:w="7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80" w:type="dxa"/>
            <w:vAlign w:val="bottom"/>
            <w:vMerge w:val="continue"/>
          </w:tcPr>
          <w:p>
            <w:pPr>
              <w:spacing w:after="0"/>
              <w:rPr>
                <w:sz w:val="14"/>
                <w:szCs w:val="14"/>
                <w:color w:val="auto"/>
              </w:rPr>
            </w:pPr>
          </w:p>
        </w:tc>
        <w:tc>
          <w:tcPr>
            <w:tcW w:w="70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05/30/2024</w:t>
            </w: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92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color w:val="0000FF"/>
              </w:rPr>
              <w:t>2,835</w:t>
            </w:r>
          </w:p>
        </w:tc>
        <w:tc>
          <w:tcPr>
            <w:tcW w:w="86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008000"/>
              </w:rPr>
              <w:t>(1)(2)</w:t>
            </w: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0000FF"/>
              </w:rPr>
              <w:t>2,835</w:t>
            </w:r>
          </w:p>
        </w:tc>
        <w:tc>
          <w:tcPr>
            <w:tcW w:w="700" w:type="dxa"/>
            <w:vAlign w:val="bottom"/>
            <w:vMerge w:val="restart"/>
          </w:tcPr>
          <w:p>
            <w:pPr>
              <w:jc w:val="right"/>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900" w:type="dxa"/>
            <w:vAlign w:val="bottom"/>
            <w:vMerge w:val="restart"/>
          </w:tcPr>
          <w:p>
            <w:pPr>
              <w:jc w:val="right"/>
              <w:ind w:right="235"/>
              <w:spacing w:after="0"/>
              <w:rPr>
                <w:sz w:val="20"/>
                <w:szCs w:val="20"/>
                <w:color w:val="auto"/>
              </w:rPr>
            </w:pPr>
            <w:r>
              <w:rPr>
                <w:rFonts w:ascii="Times New Roman" w:cs="Times New Roman" w:eastAsia="Times New Roman" w:hAnsi="Times New Roman"/>
                <w:sz w:val="13"/>
                <w:szCs w:val="13"/>
                <w:color w:val="0000FF"/>
              </w:rPr>
              <w:t>17,983</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117"/>
        </w:trPr>
        <w:tc>
          <w:tcPr>
            <w:tcW w:w="680" w:type="dxa"/>
            <w:vAlign w:val="bottom"/>
          </w:tcPr>
          <w:p>
            <w:pPr>
              <w:spacing w:after="0" w:line="118" w:lineRule="exact"/>
              <w:rPr>
                <w:sz w:val="20"/>
                <w:szCs w:val="20"/>
                <w:color w:val="auto"/>
              </w:rPr>
            </w:pPr>
            <w:r>
              <w:rPr>
                <w:rFonts w:ascii="Times New Roman" w:cs="Times New Roman" w:eastAsia="Times New Roman" w:hAnsi="Times New Roman"/>
                <w:sz w:val="9"/>
                <w:szCs w:val="9"/>
                <w:color w:val="0000FF"/>
              </w:rPr>
              <w:t>Units</w:t>
            </w:r>
            <w:r>
              <w:rPr>
                <w:rFonts w:ascii="Times New Roman" w:cs="Times New Roman" w:eastAsia="Times New Roman" w:hAnsi="Times New Roman"/>
                <w:sz w:val="13"/>
                <w:szCs w:val="13"/>
                <w:color w:val="008000"/>
                <w:vertAlign w:val="superscript"/>
              </w:rPr>
              <w:t>(1)</w:t>
            </w:r>
          </w:p>
        </w:tc>
        <w:tc>
          <w:tcPr>
            <w:tcW w:w="7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jc w:val="center"/>
              <w:ind w:left="55"/>
              <w:spacing w:after="0" w:line="118" w:lineRule="exact"/>
              <w:rPr>
                <w:sz w:val="20"/>
                <w:szCs w:val="20"/>
                <w:color w:val="auto"/>
              </w:rPr>
            </w:pPr>
            <w:r>
              <w:rPr>
                <w:rFonts w:ascii="Times New Roman" w:cs="Times New Roman" w:eastAsia="Times New Roman" w:hAnsi="Times New Roman"/>
                <w:sz w:val="13"/>
                <w:szCs w:val="13"/>
                <w:color w:val="0000FF"/>
                <w:w w:val="99"/>
              </w:rPr>
              <w:t>par value</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$0.01</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units of limited partnership interest in Boston Properties Limited Partnership ("BPLP"), of which the Issuer is the general partner, issued pursuant to the Issuer's equity based incentive programs ("LTIP Units"). Conditioned upon minimum allocations to the capital accounts of the LTIP Units for federal income tax purposes, each LTIP Unit may be converted, at the election of BPLP or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2,835 LTIP Units will vest on the earlier of (i) May 30, 2025 and (ii) the date of the BXP's 2025 annual meeting of stockholders.</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05/31/2024</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668"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2024-05-31T12:35:08Z</dcterms:created>
  <dcterms:modified xsi:type="dcterms:W3CDTF">2024-05-31T12:35:08Z</dcterms:modified>
</cp:coreProperties>
</file>