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4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4342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ZUCKERMAN MORTIMER B</w:t>
              </w:r>
            </w:hyperlink>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10"/>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BOSTON PROPERTIES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BXP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9"/>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BOSTON PROPERTIES, INC.</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5"/>
          </w:tcPr>
          <w:p>
            <w:pPr>
              <w:ind w:left="300"/>
              <w:spacing w:after="0"/>
              <w:rPr>
                <w:sz w:val="20"/>
                <w:szCs w:val="20"/>
                <w:color w:val="auto"/>
              </w:rPr>
            </w:pPr>
            <w:r>
              <w:rPr>
                <w:rFonts w:ascii="Arial" w:cs="Arial" w:eastAsia="Arial" w:hAnsi="Arial"/>
                <w:sz w:val="17"/>
                <w:szCs w:val="17"/>
                <w:color w:val="0000FF"/>
              </w:rPr>
              <w:t>01/01/2015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599 LEXINGTON AVENUE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10022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5)</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5"/>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gridSpan w:val="16"/>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LTIP</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01/01/2015</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85"/>
              </w:rPr>
              <w:t>85,962</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(2)</w:t>
            </w:r>
          </w:p>
        </w:tc>
        <w:tc>
          <w:tcPr>
            <w:tcW w:w="300" w:type="dxa"/>
            <w:vAlign w:val="bottom"/>
          </w:tcPr>
          <w:p>
            <w:pPr>
              <w:spacing w:after="0"/>
              <w:rPr>
                <w:sz w:val="16"/>
                <w:szCs w:val="16"/>
                <w:color w:val="auto"/>
              </w:rPr>
            </w:pPr>
          </w:p>
        </w:tc>
        <w:tc>
          <w:tcPr>
            <w:tcW w:w="8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(1)(2)</w:t>
            </w:r>
          </w:p>
        </w:tc>
        <w:tc>
          <w:tcPr>
            <w:tcW w:w="6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85,962</w:t>
            </w:r>
          </w:p>
        </w:tc>
        <w:tc>
          <w:tcPr>
            <w:tcW w:w="80" w:type="dxa"/>
            <w:vAlign w:val="bottom"/>
          </w:tcPr>
          <w:p>
            <w:pPr>
              <w:spacing w:after="0"/>
              <w:rPr>
                <w:sz w:val="16"/>
                <w:szCs w:val="1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576,650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60" w:firstLine="6"/>
        <w:spacing w:after="0" w:line="302"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units of limited partnership interest in Boston Properties Limited Partnership (BPLP), of which the Issuer is the general partner, issued pursuant to the Issuer's equity-based incentive programs. 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ind w:left="40" w:right="2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85,962 LTIP Units were issued pursuant to Section 1(a) of the Transition Benefits Agreement, dated March 10, 2013, by and between the Issuer and the reporting person. Such LTIP Units were fully vested upon issuance.</w:t>
      </w:r>
    </w:p>
    <w:p>
      <w:pPr>
        <w:sectPr>
          <w:pgSz w:w="11900" w:h="16838" w:orient="portrait"/>
          <w:cols w:equalWidth="0" w:num="1">
            <w:col w:w="11520"/>
          </w:cols>
          <w:pgMar w:left="240" w:top="224" w:right="13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Kelli A. DiLuglio,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wp:posOffset>
            </wp:positionV>
            <wp:extent cx="1381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31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134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01/05/2015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0" w:lineRule="exact"/>
        <w:rPr>
          <w:sz w:val="20"/>
          <w:szCs w:val="20"/>
          <w:color w:val="auto"/>
        </w:rPr>
      </w:pPr>
    </w:p>
    <w:p>
      <w:pPr>
        <w:sectPr>
          <w:pgSz w:w="11900" w:h="16838" w:orient="portrait"/>
          <w:cols w:equalWidth="0" w:num="2">
            <w:col w:w="9040" w:space="12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2019-12-06T21:29:02Z</dcterms:created>
  <dcterms:modified xsi:type="dcterms:W3CDTF">2019-12-06T21:29:02Z</dcterms:modified>
</cp:coreProperties>
</file>